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 Screener Product Requirements</w:t>
      </w:r>
    </w:p>
    <w:p>
      <w:r>
        <w:rPr>
          <w:b w:val="0"/>
        </w:rPr>
        <w:t>Product requirements document | Version 1.0 | 29 September 2026</w:t>
      </w:r>
    </w:p>
    <w:p>
      <w:pPr>
        <w:pStyle w:val="Heading1"/>
      </w:pPr>
      <w:r>
        <w:t>Purpose and product decision</w:t>
      </w:r>
    </w:p>
    <w:p>
      <w:r>
        <w:rPr>
          <w:b w:val="0"/>
        </w:rPr>
        <w:t>Build a low-cost web POC that helps a recruiter compare a resume with a job description, inspect the supporting evidence, and record a human decision. The customer should be able to complete the workflow without learning recruitment software or configuring an AI model.</w:t>
      </w:r>
    </w:p>
    <w:p>
      <w:r>
        <w:rPr>
          <w:b w:val="0"/>
        </w:rPr>
        <w:t>The product presents a Job Match Score and a separate ATS Readiness Score. Neither is a prediction of job performance or a universal score used by other ATS products. Shortlist, Talk to Candidate, and Reject are recruiter actions only. Shortlist means progress to the next hiring stage, not an employment offer or onboarding approval.</w:t>
      </w:r>
    </w:p>
    <w:p>
      <w:pPr>
        <w:pStyle w:val="Heading1"/>
      </w:pPr>
      <w:r>
        <w:t>Intended users and pilot assumptions</w:t>
      </w:r>
    </w:p>
    <w:p>
      <w:pPr>
        <w:pStyle w:val="ListBullet"/>
      </w:pPr>
      <w:r>
        <w:rPr>
          <w:b w:val="0"/>
        </w:rPr>
        <w:t>Primary user: an HR recruiter who owns a requisition and reviews candidates.</w:t>
      </w:r>
    </w:p>
    <w:p>
      <w:pPr>
        <w:pStyle w:val="ListBullet"/>
      </w:pPr>
      <w:r>
        <w:rPr>
          <w:b w:val="0"/>
        </w:rPr>
        <w:t>Workspace owner: provisions recruiter access, sets the pilot budget and manages deletion.</w:t>
      </w:r>
    </w:p>
    <w:p>
      <w:pPr>
        <w:pStyle w:val="ListBullet"/>
      </w:pPr>
      <w:r>
        <w:rPr>
          <w:b w:val="0"/>
        </w:rPr>
        <w:t>Pilot envelope: one customer workspace, up to five recruiters, 20 jobs, and 500 screenings per month. These are design assumptions, not purchased service quotas.</w:t>
      </w:r>
    </w:p>
    <w:p>
      <w:pPr>
        <w:pStyle w:val="ListBullet"/>
      </w:pPr>
      <w:r>
        <w:rPr>
          <w:b w:val="0"/>
        </w:rPr>
        <w:t>English JDs and resumes only. One resume per submission. Multiple candidates can belong to the same job.</w:t>
      </w:r>
    </w:p>
    <w:p>
      <w:pPr>
        <w:pStyle w:val="ListBullet"/>
      </w:pPr>
      <w:r>
        <w:rPr>
          <w:b w:val="0"/>
        </w:rPr>
        <w:t>Digital PDF and DOCX resumes; PDF, DOCX and TXT JDs, or pasted JD text. Scanned files, password-protected PDFs and legacy DOC files are outside the POC.</w:t>
      </w:r>
    </w:p>
    <w:p>
      <w:pPr>
        <w:pStyle w:val="Heading1"/>
      </w:pPr>
      <w:r>
        <w:t>Customer outcome</w:t>
      </w:r>
    </w:p>
    <w:p>
      <w:r>
        <w:rPr>
          <w:b w:val="0"/>
        </w:rPr>
        <w:t>HR sees which requirements are supported, partially supported, contradicted, or not evidenced; understands uncertainty; and can prepare useful clarification questions. A usable report must be more valuable than an unexplained score.</w:t>
      </w:r>
    </w:p>
    <w:p>
      <w:pPr>
        <w:pStyle w:val="Heading1"/>
      </w:pPr>
      <w:r>
        <w:t>POC success targets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tblHeader/>
          <w:cantSplit/>
        </w:trPr>
        <w:tc>
          <w:tcPr>
            <w:tcW w:type="dxa" w:w="2880"/>
            <w:shd w:fill="DBE8F1"/>
            <w:tcMar>
              <w:top w:w="80" w:type="dxa"/>
              <w:left w:w="80" w:type="dxa"/>
              <w:bottom w:w="80" w:type="dxa"/>
              <w:right w:w="80" w:type="dxa"/>
            </w:tcMar>
            <w:vAlign w:val="center"/>
          </w:tcPr>
          <w:p>
            <w:pPr>
              <w:spacing w:after="80" w:before="80" w:line="240" w:lineRule="auto"/>
            </w:pPr>
            <w:r>
              <w:rPr>
                <w:b/>
                <w:sz w:val="18"/>
              </w:rPr>
              <w:t>Measure</w:t>
            </w:r>
          </w:p>
        </w:tc>
        <w:tc>
          <w:tcPr>
            <w:tcW w:type="dxa" w:w="7344"/>
            <w:shd w:fill="DBE8F1"/>
            <w:tcMar>
              <w:top w:w="80" w:type="dxa"/>
              <w:left w:w="80" w:type="dxa"/>
              <w:bottom w:w="80" w:type="dxa"/>
              <w:right w:w="80" w:type="dxa"/>
            </w:tcMar>
            <w:vAlign w:val="center"/>
          </w:tcPr>
          <w:p>
            <w:pPr>
              <w:spacing w:after="80" w:before="80" w:line="240" w:lineRule="auto"/>
            </w:pPr>
            <w:r>
              <w:rPr>
                <w:b/>
                <w:sz w:val="18"/>
              </w:rPr>
              <w:t>Pilot acceptance target</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Reviewer usefulness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At least 80 percent of 20 pilot reports rated useful by the customer</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Supported file completion</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At least 95 percent of a curated 30-document digital-file set completes</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Evidence integrity</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Every positive or negative factual finding has a validated source reference</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Scoring reproducibility</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Identical validated analysis and rule version produce identical scores</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Warm analysis latency</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p95 below 90 seconds at two concurrent analyses, excluding uploads and queue wait</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Cost visibility</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All provider attempts record tokens and estimated cost, including retries</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Human control</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No automated hiring decisions or outbound candidate messages</w:t>
            </w:r>
          </w:p>
        </w:tc>
      </w:tr>
    </w:tbl>
    <w:p>
      <w:pPr>
        <w:spacing w:after="0"/>
      </w:pPr>
    </w:p>
    <w:p>
      <w:r>
        <w:rPr>
          <w:b w:val="0"/>
        </w:rPr>
        <w:t>Targets require measurement during the pilot; they are not guaranteed SLAs.</w:t>
      </w:r>
    </w:p>
    <w:p>
      <w:pPr>
        <w:pStyle w:val="Heading1"/>
        <w:pageBreakBefore/>
      </w:pPr>
      <w:r>
        <w:t>Core journey and screens</w:t>
      </w:r>
    </w:p>
    <w:p>
      <w:pPr>
        <w:pStyle w:val="Heading2"/>
      </w:pPr>
      <w:r>
        <w:t>Dashboard</w:t>
      </w:r>
    </w:p>
    <w:p>
      <w:r>
        <w:rPr>
          <w:b w:val="0"/>
        </w:rPr>
        <w:t>Show total candidates, pending review, shortlisted, talk first and rejected counts. List recent jobs with candidate counts and last activity. A clear New Job action opens the JD flow. Search by job title and, when identity is visible, candidate name. Empty states explain the next action; there are no invented live statistics.</w:t>
      </w:r>
    </w:p>
    <w:p>
      <w:pPr>
        <w:pStyle w:val="Heading2"/>
      </w:pPr>
      <w:r>
        <w:t>Job setup and requirement review</w:t>
      </w:r>
    </w:p>
    <w:p>
      <w:r>
        <w:rPr>
          <w:b w:val="0"/>
        </w:rPr>
        <w:t>HR uploads or pastes the JD, sees extracted requirements grouped by category, and corrects the interpretation before confirming it. The system shows exact JD evidence beside each requirement. HR can add an explicitly labeled recruiter-authored criterion with a reason. No candidates are scored against unconfirmed requirements.</w:t>
      </w:r>
    </w:p>
    <w:p>
      <w:r>
        <w:rPr>
          <w:b w:val="0"/>
        </w:rPr>
        <w:t>Confirming freezes a job version. Editing a confirmed JD or its requirements creates a new version. Existing reports retain their original version and are labeled when superseded; reanalysis is explicit and may incur additional cost.</w:t>
      </w:r>
    </w:p>
    <w:p>
      <w:pPr>
        <w:pStyle w:val="Heading2"/>
      </w:pPr>
      <w:r>
        <w:t>Candidate upload and progress</w:t>
      </w:r>
    </w:p>
    <w:p>
      <w:r>
        <w:rPr>
          <w:b w:val="0"/>
        </w:rPr>
        <w:t>HR selects a confirmed job, uploads one resume, optionally enters the candidate name, and reviews extracted text and redaction warnings. Analyze becomes available only after valid extraction and review. Show real stages: Queued, Extracting if needed, Analyzing, Validating, Scoring, Ready. Never animate a fabricated percentage.</w:t>
      </w:r>
    </w:p>
    <w:p>
      <w:pPr>
        <w:pStyle w:val="Heading2"/>
      </w:pPr>
      <w:r>
        <w:t>Candidate report</w:t>
      </w:r>
    </w:p>
    <w:p>
      <w:r>
        <w:rPr>
          <w:b w:val="0"/>
        </w:rPr>
        <w:t>Show the job-match score, evidence coverage and ATS readiness separately. Below them, display category breakdowns, requirement findings, strengths, gaps, clarification questions and original source evidence. The source drawer opens to a PDF page or DOCX paragraph or table cell. Status labels always include text; color is supplementary.</w:t>
      </w:r>
    </w:p>
    <w:p>
      <w:pPr>
        <w:pStyle w:val="Heading2"/>
      </w:pPr>
      <w:r>
        <w:t>Human decision panel</w:t>
      </w:r>
    </w:p>
    <w:p>
      <w:r>
        <w:rPr>
          <w:b w:val="0"/>
        </w:rPr>
        <w:t>A sticky desktop panel and mobile bottom action area provide Shortlist, Talk to Candidate and Reject. Saving requires a reason or note; Talk to Candidate also requires at least one selected or edited question. The action records an internal status only. Show decision author, time and previous decisions. Concurrent edits prompt a refresh instead of silently overwriting another recruiter.</w:t>
      </w:r>
    </w:p>
    <w:p>
      <w:pPr>
        <w:pStyle w:val="Heading1"/>
      </w:pPr>
      <w:r>
        <w:t>Visual and interaction direction</w:t>
      </w:r>
    </w:p>
    <w:p>
      <w:r>
        <w:rPr>
          <w:b w:val="0"/>
        </w:rPr>
        <w:t>Use a calm SaaS interface: warm off-white canvas, white surfaces, dark slate text, indigo primary actions, subtle borders and generous whitespace. Reserve green, amber and red for labeled statuses. Use readable typography, restrained 150 to 200 ms transitions, keyboard navigation, visible focus and reduced-motion support. Prioritize the evidence list over a decorative score gauge.</w:t>
      </w:r>
    </w:p>
    <w:p>
      <w:r>
        <w:rPr>
          <w:b w:val="0"/>
        </w:rPr>
        <w:t>Responsive layouts must work at 390, 768 and 1440 px. Forms retain user input after errors, display per-file validation, and explain the next action. The report must remain readable in print and in a downloaded PDF.</w:t>
      </w:r>
    </w:p>
    <w:p>
      <w:pPr>
        <w:pStyle w:val="Heading1"/>
        <w:pageBreakBefore/>
      </w:pPr>
      <w:r>
        <w:t>Functional requirements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952"/>
        <w:gridCol w:w="6408"/>
      </w:tblGrid>
      <w:tr>
        <w:trPr>
          <w:tblHeader/>
          <w:cantSplit/>
        </w:trPr>
        <w:tc>
          <w:tcPr>
            <w:tcW w:type="dxa" w:w="864"/>
            <w:shd w:fill="DBE8F1"/>
            <w:tcMar>
              <w:top w:w="80" w:type="dxa"/>
              <w:left w:w="80" w:type="dxa"/>
              <w:bottom w:w="80" w:type="dxa"/>
              <w:right w:w="80" w:type="dxa"/>
            </w:tcMar>
            <w:vAlign w:val="center"/>
          </w:tcPr>
          <w:p>
            <w:pPr>
              <w:spacing w:after="80" w:before="80" w:line="240" w:lineRule="auto"/>
            </w:pPr>
            <w:r>
              <w:rPr>
                <w:b/>
                <w:sz w:val="18"/>
              </w:rPr>
              <w:t>ID</w:t>
            </w:r>
          </w:p>
        </w:tc>
        <w:tc>
          <w:tcPr>
            <w:tcW w:type="dxa" w:w="2952"/>
            <w:shd w:fill="DBE8F1"/>
            <w:tcMar>
              <w:top w:w="80" w:type="dxa"/>
              <w:left w:w="80" w:type="dxa"/>
              <w:bottom w:w="80" w:type="dxa"/>
              <w:right w:w="80" w:type="dxa"/>
            </w:tcMar>
            <w:vAlign w:val="center"/>
          </w:tcPr>
          <w:p>
            <w:pPr>
              <w:spacing w:after="80" w:before="80" w:line="240" w:lineRule="auto"/>
            </w:pPr>
            <w:r>
              <w:rPr>
                <w:b/>
                <w:sz w:val="18"/>
              </w:rPr>
              <w:t>Requirement</w:t>
            </w:r>
          </w:p>
        </w:tc>
        <w:tc>
          <w:tcPr>
            <w:tcW w:type="dxa" w:w="6408"/>
            <w:shd w:fill="DBE8F1"/>
            <w:tcMar>
              <w:top w:w="80" w:type="dxa"/>
              <w:left w:w="80" w:type="dxa"/>
              <w:bottom w:w="80" w:type="dxa"/>
              <w:right w:w="80" w:type="dxa"/>
            </w:tcMar>
            <w:vAlign w:val="center"/>
          </w:tcPr>
          <w:p>
            <w:pPr>
              <w:spacing w:after="80" w:before="80" w:line="240" w:lineRule="auto"/>
            </w:pPr>
            <w:r>
              <w:rPr>
                <w:b/>
                <w:sz w:val="18"/>
              </w:rPr>
              <w:t>Acceptance condition</w:t>
            </w:r>
          </w:p>
        </w:tc>
      </w:tr>
      <w:tr>
        <w:trPr>
          <w:cantSplit/>
        </w:trPr>
        <w:tc>
          <w:tcPr>
            <w:tcW w:type="dxa" w:w="864"/>
            <w:shd w:fill="FFFFFF"/>
            <w:tcMar>
              <w:top w:w="80" w:type="dxa"/>
              <w:left w:w="80" w:type="dxa"/>
              <w:bottom w:w="80" w:type="dxa"/>
              <w:right w:w="80" w:type="dxa"/>
            </w:tcMar>
            <w:vAlign w:val="center"/>
          </w:tcPr>
          <w:p>
            <w:pPr>
              <w:spacing w:after="80" w:before="80" w:line="240" w:lineRule="auto"/>
            </w:pPr>
            <w:r>
              <w:rPr>
                <w:b w:val="0"/>
                <w:sz w:val="18"/>
              </w:rPr>
              <w:t>FR01</w:t>
            </w:r>
          </w:p>
        </w:tc>
        <w:tc>
          <w:tcPr>
            <w:tcW w:type="dxa" w:w="2952"/>
            <w:shd w:fill="FFFFFF"/>
            <w:tcMar>
              <w:top w:w="80" w:type="dxa"/>
              <w:left w:w="80" w:type="dxa"/>
              <w:bottom w:w="80" w:type="dxa"/>
              <w:right w:w="80" w:type="dxa"/>
            </w:tcMar>
            <w:vAlign w:val="center"/>
          </w:tcPr>
          <w:p>
            <w:pPr>
              <w:spacing w:after="80" w:before="80" w:line="240" w:lineRule="auto"/>
            </w:pPr>
            <w:r>
              <w:rPr>
                <w:b w:val="0"/>
                <w:sz w:val="18"/>
              </w:rPr>
              <w:t>Invite-only HR authentication</w:t>
            </w:r>
          </w:p>
        </w:tc>
        <w:tc>
          <w:tcPr>
            <w:tcW w:type="dxa" w:w="6408"/>
            <w:shd w:fill="FFFFFF"/>
            <w:tcMar>
              <w:top w:w="80" w:type="dxa"/>
              <w:left w:w="80" w:type="dxa"/>
              <w:bottom w:w="80" w:type="dxa"/>
              <w:right w:w="80" w:type="dxa"/>
            </w:tcMar>
            <w:vAlign w:val="center"/>
          </w:tcPr>
          <w:p>
            <w:pPr>
              <w:spacing w:after="80" w:before="80" w:line="240" w:lineRule="auto"/>
            </w:pPr>
            <w:r>
              <w:rPr>
                <w:b w:val="0"/>
                <w:sz w:val="18"/>
              </w:rPr>
              <w:t>Signed-out users cannot read any workspace resource</w:t>
            </w:r>
          </w:p>
        </w:tc>
      </w:tr>
      <w:tr>
        <w:trPr>
          <w:cantSplit/>
        </w:trPr>
        <w:tc>
          <w:tcPr>
            <w:tcW w:type="dxa" w:w="864"/>
            <w:shd w:fill="F5F7FA"/>
            <w:tcMar>
              <w:top w:w="80" w:type="dxa"/>
              <w:left w:w="80" w:type="dxa"/>
              <w:bottom w:w="80" w:type="dxa"/>
              <w:right w:w="80" w:type="dxa"/>
            </w:tcMar>
            <w:vAlign w:val="center"/>
          </w:tcPr>
          <w:p>
            <w:pPr>
              <w:spacing w:after="80" w:before="80" w:line="240" w:lineRule="auto"/>
            </w:pPr>
            <w:r>
              <w:rPr>
                <w:b w:val="0"/>
                <w:sz w:val="18"/>
              </w:rPr>
              <w:t>FR02</w:t>
            </w:r>
          </w:p>
        </w:tc>
        <w:tc>
          <w:tcPr>
            <w:tcW w:type="dxa" w:w="2952"/>
            <w:shd w:fill="F5F7FA"/>
            <w:tcMar>
              <w:top w:w="80" w:type="dxa"/>
              <w:left w:w="80" w:type="dxa"/>
              <w:bottom w:w="80" w:type="dxa"/>
              <w:right w:w="80" w:type="dxa"/>
            </w:tcMar>
            <w:vAlign w:val="center"/>
          </w:tcPr>
          <w:p>
            <w:pPr>
              <w:spacing w:after="80" w:before="80" w:line="240" w:lineRule="auto"/>
            </w:pPr>
            <w:r>
              <w:rPr>
                <w:b w:val="0"/>
                <w:sz w:val="18"/>
              </w:rPr>
              <w:t>JD upload or paste</w:t>
            </w:r>
          </w:p>
        </w:tc>
        <w:tc>
          <w:tcPr>
            <w:tcW w:type="dxa" w:w="6408"/>
            <w:shd w:fill="F5F7FA"/>
            <w:tcMar>
              <w:top w:w="80" w:type="dxa"/>
              <w:left w:w="80" w:type="dxa"/>
              <w:bottom w:w="80" w:type="dxa"/>
              <w:right w:w="80" w:type="dxa"/>
            </w:tcMar>
            <w:vAlign w:val="center"/>
          </w:tcPr>
          <w:p>
            <w:pPr>
              <w:spacing w:after="80" w:before="80" w:line="240" w:lineRule="auto"/>
            </w:pPr>
            <w:r>
              <w:rPr>
                <w:b w:val="0"/>
                <w:sz w:val="18"/>
              </w:rPr>
              <w:t>Supported content extracts with stable source locations</w:t>
            </w:r>
          </w:p>
        </w:tc>
      </w:tr>
      <w:tr>
        <w:trPr>
          <w:cantSplit/>
        </w:trPr>
        <w:tc>
          <w:tcPr>
            <w:tcW w:type="dxa" w:w="864"/>
            <w:shd w:fill="FFFFFF"/>
            <w:tcMar>
              <w:top w:w="80" w:type="dxa"/>
              <w:left w:w="80" w:type="dxa"/>
              <w:bottom w:w="80" w:type="dxa"/>
              <w:right w:w="80" w:type="dxa"/>
            </w:tcMar>
            <w:vAlign w:val="center"/>
          </w:tcPr>
          <w:p>
            <w:pPr>
              <w:spacing w:after="80" w:before="80" w:line="240" w:lineRule="auto"/>
            </w:pPr>
            <w:r>
              <w:rPr>
                <w:b w:val="0"/>
                <w:sz w:val="18"/>
              </w:rPr>
              <w:t>FR03</w:t>
            </w:r>
          </w:p>
        </w:tc>
        <w:tc>
          <w:tcPr>
            <w:tcW w:type="dxa" w:w="2952"/>
            <w:shd w:fill="FFFFFF"/>
            <w:tcMar>
              <w:top w:w="80" w:type="dxa"/>
              <w:left w:w="80" w:type="dxa"/>
              <w:bottom w:w="80" w:type="dxa"/>
              <w:right w:w="80" w:type="dxa"/>
            </w:tcMar>
            <w:vAlign w:val="center"/>
          </w:tcPr>
          <w:p>
            <w:pPr>
              <w:spacing w:after="80" w:before="80" w:line="240" w:lineRule="auto"/>
            </w:pPr>
            <w:r>
              <w:rPr>
                <w:b w:val="0"/>
                <w:sz w:val="18"/>
              </w:rPr>
              <w:t>Requirement confirmation</w:t>
            </w:r>
          </w:p>
        </w:tc>
        <w:tc>
          <w:tcPr>
            <w:tcW w:type="dxa" w:w="6408"/>
            <w:shd w:fill="FFFFFF"/>
            <w:tcMar>
              <w:top w:w="80" w:type="dxa"/>
              <w:left w:w="80" w:type="dxa"/>
              <w:bottom w:w="80" w:type="dxa"/>
              <w:right w:w="80" w:type="dxa"/>
            </w:tcMar>
            <w:vAlign w:val="center"/>
          </w:tcPr>
          <w:p>
            <w:pPr>
              <w:spacing w:after="80" w:before="80" w:line="240" w:lineRule="auto"/>
            </w:pPr>
            <w:r>
              <w:rPr>
                <w:b w:val="0"/>
                <w:sz w:val="18"/>
              </w:rPr>
              <w:t>HR reviews and confirms criteria before screening</w:t>
            </w:r>
          </w:p>
        </w:tc>
      </w:tr>
      <w:tr>
        <w:trPr>
          <w:cantSplit/>
        </w:trPr>
        <w:tc>
          <w:tcPr>
            <w:tcW w:type="dxa" w:w="864"/>
            <w:shd w:fill="F5F7FA"/>
            <w:tcMar>
              <w:top w:w="80" w:type="dxa"/>
              <w:left w:w="80" w:type="dxa"/>
              <w:bottom w:w="80" w:type="dxa"/>
              <w:right w:w="80" w:type="dxa"/>
            </w:tcMar>
            <w:vAlign w:val="center"/>
          </w:tcPr>
          <w:p>
            <w:pPr>
              <w:spacing w:after="80" w:before="80" w:line="240" w:lineRule="auto"/>
            </w:pPr>
            <w:r>
              <w:rPr>
                <w:b w:val="0"/>
                <w:sz w:val="18"/>
              </w:rPr>
              <w:t>FR04</w:t>
            </w:r>
          </w:p>
        </w:tc>
        <w:tc>
          <w:tcPr>
            <w:tcW w:type="dxa" w:w="2952"/>
            <w:shd w:fill="F5F7FA"/>
            <w:tcMar>
              <w:top w:w="80" w:type="dxa"/>
              <w:left w:w="80" w:type="dxa"/>
              <w:bottom w:w="80" w:type="dxa"/>
              <w:right w:w="80" w:type="dxa"/>
            </w:tcMar>
            <w:vAlign w:val="center"/>
          </w:tcPr>
          <w:p>
            <w:pPr>
              <w:spacing w:after="80" w:before="80" w:line="240" w:lineRule="auto"/>
            </w:pPr>
            <w:r>
              <w:rPr>
                <w:b w:val="0"/>
                <w:sz w:val="18"/>
              </w:rPr>
              <w:t>Resume ingestion</w:t>
            </w:r>
          </w:p>
        </w:tc>
        <w:tc>
          <w:tcPr>
            <w:tcW w:type="dxa" w:w="6408"/>
            <w:shd w:fill="F5F7FA"/>
            <w:tcMar>
              <w:top w:w="80" w:type="dxa"/>
              <w:left w:w="80" w:type="dxa"/>
              <w:bottom w:w="80" w:type="dxa"/>
              <w:right w:w="80" w:type="dxa"/>
            </w:tcMar>
            <w:vAlign w:val="center"/>
          </w:tcPr>
          <w:p>
            <w:pPr>
              <w:spacing w:after="80" w:before="80" w:line="240" w:lineRule="auto"/>
            </w:pPr>
            <w:r>
              <w:rPr>
                <w:b w:val="0"/>
                <w:sz w:val="18"/>
              </w:rPr>
              <w:t>Type, size and extraction failures have actionable errors</w:t>
            </w:r>
          </w:p>
        </w:tc>
      </w:tr>
      <w:tr>
        <w:trPr>
          <w:cantSplit/>
        </w:trPr>
        <w:tc>
          <w:tcPr>
            <w:tcW w:type="dxa" w:w="864"/>
            <w:shd w:fill="FFFFFF"/>
            <w:tcMar>
              <w:top w:w="80" w:type="dxa"/>
              <w:left w:w="80" w:type="dxa"/>
              <w:bottom w:w="80" w:type="dxa"/>
              <w:right w:w="80" w:type="dxa"/>
            </w:tcMar>
            <w:vAlign w:val="center"/>
          </w:tcPr>
          <w:p>
            <w:pPr>
              <w:spacing w:after="80" w:before="80" w:line="240" w:lineRule="auto"/>
            </w:pPr>
            <w:r>
              <w:rPr>
                <w:b w:val="0"/>
                <w:sz w:val="18"/>
              </w:rPr>
              <w:t>FR05</w:t>
            </w:r>
          </w:p>
        </w:tc>
        <w:tc>
          <w:tcPr>
            <w:tcW w:type="dxa" w:w="2952"/>
            <w:shd w:fill="FFFFFF"/>
            <w:tcMar>
              <w:top w:w="80" w:type="dxa"/>
              <w:left w:w="80" w:type="dxa"/>
              <w:bottom w:w="80" w:type="dxa"/>
              <w:right w:w="80" w:type="dxa"/>
            </w:tcMar>
            <w:vAlign w:val="center"/>
          </w:tcPr>
          <w:p>
            <w:pPr>
              <w:spacing w:after="80" w:before="80" w:line="240" w:lineRule="auto"/>
            </w:pPr>
            <w:r>
              <w:rPr>
                <w:b w:val="0"/>
                <w:sz w:val="18"/>
              </w:rPr>
              <w:t>Evidence analysis</w:t>
            </w:r>
          </w:p>
        </w:tc>
        <w:tc>
          <w:tcPr>
            <w:tcW w:type="dxa" w:w="6408"/>
            <w:shd w:fill="FFFFFF"/>
            <w:tcMar>
              <w:top w:w="80" w:type="dxa"/>
              <w:left w:w="80" w:type="dxa"/>
              <w:bottom w:w="80" w:type="dxa"/>
              <w:right w:w="80" w:type="dxa"/>
            </w:tcMar>
            <w:vAlign w:val="center"/>
          </w:tcPr>
          <w:p>
            <w:pPr>
              <w:spacing w:after="80" w:before="80" w:line="240" w:lineRule="auto"/>
            </w:pPr>
            <w:r>
              <w:rPr>
                <w:b w:val="0"/>
                <w:sz w:val="18"/>
              </w:rPr>
              <w:t>Every requirement has one explicit finding status</w:t>
            </w:r>
          </w:p>
        </w:tc>
      </w:tr>
      <w:tr>
        <w:trPr>
          <w:cantSplit/>
        </w:trPr>
        <w:tc>
          <w:tcPr>
            <w:tcW w:type="dxa" w:w="864"/>
            <w:shd w:fill="F5F7FA"/>
            <w:tcMar>
              <w:top w:w="80" w:type="dxa"/>
              <w:left w:w="80" w:type="dxa"/>
              <w:bottom w:w="80" w:type="dxa"/>
              <w:right w:w="80" w:type="dxa"/>
            </w:tcMar>
            <w:vAlign w:val="center"/>
          </w:tcPr>
          <w:p>
            <w:pPr>
              <w:spacing w:after="80" w:before="80" w:line="240" w:lineRule="auto"/>
            </w:pPr>
            <w:r>
              <w:rPr>
                <w:b w:val="0"/>
                <w:sz w:val="18"/>
              </w:rPr>
              <w:t>FR06</w:t>
            </w:r>
          </w:p>
        </w:tc>
        <w:tc>
          <w:tcPr>
            <w:tcW w:type="dxa" w:w="2952"/>
            <w:shd w:fill="F5F7FA"/>
            <w:tcMar>
              <w:top w:w="80" w:type="dxa"/>
              <w:left w:w="80" w:type="dxa"/>
              <w:bottom w:w="80" w:type="dxa"/>
              <w:right w:w="80" w:type="dxa"/>
            </w:tcMar>
            <w:vAlign w:val="center"/>
          </w:tcPr>
          <w:p>
            <w:pPr>
              <w:spacing w:after="80" w:before="80" w:line="240" w:lineRule="auto"/>
            </w:pPr>
            <w:r>
              <w:rPr>
                <w:b w:val="0"/>
                <w:sz w:val="18"/>
              </w:rPr>
              <w:t>Deterministic scoring</w:t>
            </w:r>
          </w:p>
        </w:tc>
        <w:tc>
          <w:tcPr>
            <w:tcW w:type="dxa" w:w="6408"/>
            <w:shd w:fill="F5F7FA"/>
            <w:tcMar>
              <w:top w:w="80" w:type="dxa"/>
              <w:left w:w="80" w:type="dxa"/>
              <w:bottom w:w="80" w:type="dxa"/>
              <w:right w:w="80" w:type="dxa"/>
            </w:tcMar>
            <w:vAlign w:val="center"/>
          </w:tcPr>
          <w:p>
            <w:pPr>
              <w:spacing w:after="80" w:before="80" w:line="240" w:lineRule="auto"/>
            </w:pPr>
            <w:r>
              <w:rPr>
                <w:b w:val="0"/>
                <w:sz w:val="18"/>
              </w:rPr>
              <w:t>Backend computes both scores from versioned rules</w:t>
            </w:r>
          </w:p>
        </w:tc>
      </w:tr>
      <w:tr>
        <w:trPr>
          <w:cantSplit/>
        </w:trPr>
        <w:tc>
          <w:tcPr>
            <w:tcW w:type="dxa" w:w="864"/>
            <w:shd w:fill="FFFFFF"/>
            <w:tcMar>
              <w:top w:w="80" w:type="dxa"/>
              <w:left w:w="80" w:type="dxa"/>
              <w:bottom w:w="80" w:type="dxa"/>
              <w:right w:w="80" w:type="dxa"/>
            </w:tcMar>
            <w:vAlign w:val="center"/>
          </w:tcPr>
          <w:p>
            <w:pPr>
              <w:spacing w:after="80" w:before="80" w:line="240" w:lineRule="auto"/>
            </w:pPr>
            <w:r>
              <w:rPr>
                <w:b w:val="0"/>
                <w:sz w:val="18"/>
              </w:rPr>
              <w:t>FR07</w:t>
            </w:r>
          </w:p>
        </w:tc>
        <w:tc>
          <w:tcPr>
            <w:tcW w:type="dxa" w:w="2952"/>
            <w:shd w:fill="FFFFFF"/>
            <w:tcMar>
              <w:top w:w="80" w:type="dxa"/>
              <w:left w:w="80" w:type="dxa"/>
              <w:bottom w:w="80" w:type="dxa"/>
              <w:right w:w="80" w:type="dxa"/>
            </w:tcMar>
            <w:vAlign w:val="center"/>
          </w:tcPr>
          <w:p>
            <w:pPr>
              <w:spacing w:after="80" w:before="80" w:line="240" w:lineRule="auto"/>
            </w:pPr>
            <w:r>
              <w:rPr>
                <w:b w:val="0"/>
                <w:sz w:val="18"/>
              </w:rPr>
              <w:t>Evidence drawer</w:t>
            </w:r>
          </w:p>
        </w:tc>
        <w:tc>
          <w:tcPr>
            <w:tcW w:type="dxa" w:w="6408"/>
            <w:shd w:fill="FFFFFF"/>
            <w:tcMar>
              <w:top w:w="80" w:type="dxa"/>
              <w:left w:w="80" w:type="dxa"/>
              <w:bottom w:w="80" w:type="dxa"/>
              <w:right w:w="80" w:type="dxa"/>
            </w:tcMar>
            <w:vAlign w:val="center"/>
          </w:tcPr>
          <w:p>
            <w:pPr>
              <w:spacing w:after="80" w:before="80" w:line="240" w:lineRule="auto"/>
            </w:pPr>
            <w:r>
              <w:rPr>
                <w:b w:val="0"/>
                <w:sz w:val="18"/>
              </w:rPr>
              <w:t>Quote and source location are accessible for each cited finding</w:t>
            </w:r>
          </w:p>
        </w:tc>
      </w:tr>
      <w:tr>
        <w:trPr>
          <w:cantSplit/>
        </w:trPr>
        <w:tc>
          <w:tcPr>
            <w:tcW w:type="dxa" w:w="864"/>
            <w:shd w:fill="F5F7FA"/>
            <w:tcMar>
              <w:top w:w="80" w:type="dxa"/>
              <w:left w:w="80" w:type="dxa"/>
              <w:bottom w:w="80" w:type="dxa"/>
              <w:right w:w="80" w:type="dxa"/>
            </w:tcMar>
            <w:vAlign w:val="center"/>
          </w:tcPr>
          <w:p>
            <w:pPr>
              <w:spacing w:after="80" w:before="80" w:line="240" w:lineRule="auto"/>
            </w:pPr>
            <w:r>
              <w:rPr>
                <w:b w:val="0"/>
                <w:sz w:val="18"/>
              </w:rPr>
              <w:t>FR08</w:t>
            </w:r>
          </w:p>
        </w:tc>
        <w:tc>
          <w:tcPr>
            <w:tcW w:type="dxa" w:w="2952"/>
            <w:shd w:fill="F5F7FA"/>
            <w:tcMar>
              <w:top w:w="80" w:type="dxa"/>
              <w:left w:w="80" w:type="dxa"/>
              <w:bottom w:w="80" w:type="dxa"/>
              <w:right w:w="80" w:type="dxa"/>
            </w:tcMar>
            <w:vAlign w:val="center"/>
          </w:tcPr>
          <w:p>
            <w:pPr>
              <w:spacing w:after="80" w:before="80" w:line="240" w:lineRule="auto"/>
            </w:pPr>
            <w:r>
              <w:rPr>
                <w:b w:val="0"/>
                <w:sz w:val="18"/>
              </w:rPr>
              <w:t>Clarification questions</w:t>
            </w:r>
          </w:p>
        </w:tc>
        <w:tc>
          <w:tcPr>
            <w:tcW w:type="dxa" w:w="6408"/>
            <w:shd w:fill="F5F7FA"/>
            <w:tcMar>
              <w:top w:w="80" w:type="dxa"/>
              <w:left w:w="80" w:type="dxa"/>
              <w:bottom w:w="80" w:type="dxa"/>
              <w:right w:w="80" w:type="dxa"/>
            </w:tcMar>
            <w:vAlign w:val="center"/>
          </w:tcPr>
          <w:p>
            <w:pPr>
              <w:spacing w:after="80" w:before="80" w:line="240" w:lineRule="auto"/>
            </w:pPr>
            <w:r>
              <w:rPr>
                <w:b w:val="0"/>
                <w:sz w:val="18"/>
              </w:rPr>
              <w:t>Questions reference an uncertain or partial requirement</w:t>
            </w:r>
          </w:p>
        </w:tc>
      </w:tr>
      <w:tr>
        <w:trPr>
          <w:cantSplit/>
        </w:trPr>
        <w:tc>
          <w:tcPr>
            <w:tcW w:type="dxa" w:w="864"/>
            <w:shd w:fill="FFFFFF"/>
            <w:tcMar>
              <w:top w:w="80" w:type="dxa"/>
              <w:left w:w="80" w:type="dxa"/>
              <w:bottom w:w="80" w:type="dxa"/>
              <w:right w:w="80" w:type="dxa"/>
            </w:tcMar>
            <w:vAlign w:val="center"/>
          </w:tcPr>
          <w:p>
            <w:pPr>
              <w:spacing w:after="80" w:before="80" w:line="240" w:lineRule="auto"/>
            </w:pPr>
            <w:r>
              <w:rPr>
                <w:b w:val="0"/>
                <w:sz w:val="18"/>
              </w:rPr>
              <w:t>FR09</w:t>
            </w:r>
          </w:p>
        </w:tc>
        <w:tc>
          <w:tcPr>
            <w:tcW w:type="dxa" w:w="2952"/>
            <w:shd w:fill="FFFFFF"/>
            <w:tcMar>
              <w:top w:w="80" w:type="dxa"/>
              <w:left w:w="80" w:type="dxa"/>
              <w:bottom w:w="80" w:type="dxa"/>
              <w:right w:w="80" w:type="dxa"/>
            </w:tcMar>
            <w:vAlign w:val="center"/>
          </w:tcPr>
          <w:p>
            <w:pPr>
              <w:spacing w:after="80" w:before="80" w:line="240" w:lineRule="auto"/>
            </w:pPr>
            <w:r>
              <w:rPr>
                <w:b w:val="0"/>
                <w:sz w:val="18"/>
              </w:rPr>
              <w:t>Recruiter decisions</w:t>
            </w:r>
          </w:p>
        </w:tc>
        <w:tc>
          <w:tcPr>
            <w:tcW w:type="dxa" w:w="6408"/>
            <w:shd w:fill="FFFFFF"/>
            <w:tcMar>
              <w:top w:w="80" w:type="dxa"/>
              <w:left w:w="80" w:type="dxa"/>
              <w:bottom w:w="80" w:type="dxa"/>
              <w:right w:w="80" w:type="dxa"/>
            </w:tcMar>
            <w:vAlign w:val="center"/>
          </w:tcPr>
          <w:p>
            <w:pPr>
              <w:spacing w:after="80" w:before="80" w:line="240" w:lineRule="auto"/>
            </w:pPr>
            <w:r>
              <w:rPr>
                <w:b w:val="0"/>
                <w:sz w:val="18"/>
              </w:rPr>
              <w:t>Explicit user action, note and append-only decision history</w:t>
            </w:r>
          </w:p>
        </w:tc>
      </w:tr>
      <w:tr>
        <w:trPr>
          <w:cantSplit/>
        </w:trPr>
        <w:tc>
          <w:tcPr>
            <w:tcW w:type="dxa" w:w="864"/>
            <w:shd w:fill="F5F7FA"/>
            <w:tcMar>
              <w:top w:w="80" w:type="dxa"/>
              <w:left w:w="80" w:type="dxa"/>
              <w:bottom w:w="80" w:type="dxa"/>
              <w:right w:w="80" w:type="dxa"/>
            </w:tcMar>
            <w:vAlign w:val="center"/>
          </w:tcPr>
          <w:p>
            <w:pPr>
              <w:spacing w:after="80" w:before="80" w:line="240" w:lineRule="auto"/>
            </w:pPr>
            <w:r>
              <w:rPr>
                <w:b w:val="0"/>
                <w:sz w:val="18"/>
              </w:rPr>
              <w:t>FR10</w:t>
            </w:r>
          </w:p>
        </w:tc>
        <w:tc>
          <w:tcPr>
            <w:tcW w:type="dxa" w:w="2952"/>
            <w:shd w:fill="F5F7FA"/>
            <w:tcMar>
              <w:top w:w="80" w:type="dxa"/>
              <w:left w:w="80" w:type="dxa"/>
              <w:bottom w:w="80" w:type="dxa"/>
              <w:right w:w="80" w:type="dxa"/>
            </w:tcMar>
            <w:vAlign w:val="center"/>
          </w:tcPr>
          <w:p>
            <w:pPr>
              <w:spacing w:after="80" w:before="80" w:line="240" w:lineRule="auto"/>
            </w:pPr>
            <w:r>
              <w:rPr>
                <w:b w:val="0"/>
                <w:sz w:val="18"/>
              </w:rPr>
              <w:t>History and filters</w:t>
            </w:r>
          </w:p>
        </w:tc>
        <w:tc>
          <w:tcPr>
            <w:tcW w:type="dxa" w:w="6408"/>
            <w:shd w:fill="F5F7FA"/>
            <w:tcMar>
              <w:top w:w="80" w:type="dxa"/>
              <w:left w:w="80" w:type="dxa"/>
              <w:bottom w:w="80" w:type="dxa"/>
              <w:right w:w="80" w:type="dxa"/>
            </w:tcMar>
            <w:vAlign w:val="center"/>
          </w:tcPr>
          <w:p>
            <w:pPr>
              <w:spacing w:after="80" w:before="80" w:line="240" w:lineRule="auto"/>
            </w:pPr>
            <w:r>
              <w:rPr>
                <w:b w:val="0"/>
                <w:sz w:val="18"/>
              </w:rPr>
              <w:t>Filter candidates by job and human decision status</w:t>
            </w:r>
          </w:p>
        </w:tc>
      </w:tr>
      <w:tr>
        <w:trPr>
          <w:cantSplit/>
        </w:trPr>
        <w:tc>
          <w:tcPr>
            <w:tcW w:type="dxa" w:w="864"/>
            <w:shd w:fill="FFFFFF"/>
            <w:tcMar>
              <w:top w:w="80" w:type="dxa"/>
              <w:left w:w="80" w:type="dxa"/>
              <w:bottom w:w="80" w:type="dxa"/>
              <w:right w:w="80" w:type="dxa"/>
            </w:tcMar>
            <w:vAlign w:val="center"/>
          </w:tcPr>
          <w:p>
            <w:pPr>
              <w:spacing w:after="80" w:before="80" w:line="240" w:lineRule="auto"/>
            </w:pPr>
            <w:r>
              <w:rPr>
                <w:b w:val="0"/>
                <w:sz w:val="18"/>
              </w:rPr>
              <w:t>FR11</w:t>
            </w:r>
          </w:p>
        </w:tc>
        <w:tc>
          <w:tcPr>
            <w:tcW w:type="dxa" w:w="2952"/>
            <w:shd w:fill="FFFFFF"/>
            <w:tcMar>
              <w:top w:w="80" w:type="dxa"/>
              <w:left w:w="80" w:type="dxa"/>
              <w:bottom w:w="80" w:type="dxa"/>
              <w:right w:w="80" w:type="dxa"/>
            </w:tcMar>
            <w:vAlign w:val="center"/>
          </w:tcPr>
          <w:p>
            <w:pPr>
              <w:spacing w:after="80" w:before="80" w:line="240" w:lineRule="auto"/>
            </w:pPr>
            <w:r>
              <w:rPr>
                <w:b w:val="0"/>
                <w:sz w:val="18"/>
              </w:rPr>
              <w:t>PDF report download</w:t>
            </w:r>
          </w:p>
        </w:tc>
        <w:tc>
          <w:tcPr>
            <w:tcW w:type="dxa" w:w="6408"/>
            <w:shd w:fill="FFFFFF"/>
            <w:tcMar>
              <w:top w:w="80" w:type="dxa"/>
              <w:left w:w="80" w:type="dxa"/>
              <w:bottom w:w="80" w:type="dxa"/>
              <w:right w:w="80" w:type="dxa"/>
            </w:tcMar>
            <w:vAlign w:val="center"/>
          </w:tcPr>
          <w:p>
            <w:pPr>
              <w:spacing w:after="80" w:before="80" w:line="240" w:lineRule="auto"/>
            </w:pPr>
            <w:r>
              <w:rPr>
                <w:b w:val="0"/>
                <w:sz w:val="18"/>
              </w:rPr>
              <w:t>Export matches the saved report and identifies its versions</w:t>
            </w:r>
          </w:p>
        </w:tc>
      </w:tr>
      <w:tr>
        <w:trPr>
          <w:cantSplit/>
        </w:trPr>
        <w:tc>
          <w:tcPr>
            <w:tcW w:type="dxa" w:w="864"/>
            <w:shd w:fill="F5F7FA"/>
            <w:tcMar>
              <w:top w:w="80" w:type="dxa"/>
              <w:left w:w="80" w:type="dxa"/>
              <w:bottom w:w="80" w:type="dxa"/>
              <w:right w:w="80" w:type="dxa"/>
            </w:tcMar>
            <w:vAlign w:val="center"/>
          </w:tcPr>
          <w:p>
            <w:pPr>
              <w:spacing w:after="80" w:before="80" w:line="240" w:lineRule="auto"/>
            </w:pPr>
            <w:r>
              <w:rPr>
                <w:b w:val="0"/>
                <w:sz w:val="18"/>
              </w:rPr>
              <w:t>FR12</w:t>
            </w:r>
          </w:p>
        </w:tc>
        <w:tc>
          <w:tcPr>
            <w:tcW w:type="dxa" w:w="2952"/>
            <w:shd w:fill="F5F7FA"/>
            <w:tcMar>
              <w:top w:w="80" w:type="dxa"/>
              <w:left w:w="80" w:type="dxa"/>
              <w:bottom w:w="80" w:type="dxa"/>
              <w:right w:w="80" w:type="dxa"/>
            </w:tcMar>
            <w:vAlign w:val="center"/>
          </w:tcPr>
          <w:p>
            <w:pPr>
              <w:spacing w:after="80" w:before="80" w:line="240" w:lineRule="auto"/>
            </w:pPr>
            <w:r>
              <w:rPr>
                <w:b w:val="0"/>
                <w:sz w:val="18"/>
              </w:rPr>
              <w:t>Identity-hidden review</w:t>
            </w:r>
          </w:p>
        </w:tc>
        <w:tc>
          <w:tcPr>
            <w:tcW w:type="dxa" w:w="6408"/>
            <w:shd w:fill="F5F7FA"/>
            <w:tcMar>
              <w:top w:w="80" w:type="dxa"/>
              <w:left w:w="80" w:type="dxa"/>
              <w:bottom w:w="80" w:type="dxa"/>
              <w:right w:w="80" w:type="dxa"/>
            </w:tcMar>
            <w:vAlign w:val="center"/>
          </w:tcPr>
          <w:p>
            <w:pPr>
              <w:spacing w:after="80" w:before="80" w:line="240" w:lineRule="auto"/>
            </w:pPr>
            <w:r>
              <w:rPr>
                <w:b w:val="0"/>
                <w:sz w:val="18"/>
              </w:rPr>
              <w:t>Candidate code replaces direct identifiers throughout UI and export</w:t>
            </w:r>
          </w:p>
        </w:tc>
      </w:tr>
      <w:tr>
        <w:trPr>
          <w:cantSplit/>
        </w:trPr>
        <w:tc>
          <w:tcPr>
            <w:tcW w:type="dxa" w:w="864"/>
            <w:shd w:fill="FFFFFF"/>
            <w:tcMar>
              <w:top w:w="80" w:type="dxa"/>
              <w:left w:w="80" w:type="dxa"/>
              <w:bottom w:w="80" w:type="dxa"/>
              <w:right w:w="80" w:type="dxa"/>
            </w:tcMar>
            <w:vAlign w:val="center"/>
          </w:tcPr>
          <w:p>
            <w:pPr>
              <w:spacing w:after="80" w:before="80" w:line="240" w:lineRule="auto"/>
            </w:pPr>
            <w:r>
              <w:rPr>
                <w:b w:val="0"/>
                <w:sz w:val="18"/>
              </w:rPr>
              <w:t>FR13</w:t>
            </w:r>
          </w:p>
        </w:tc>
        <w:tc>
          <w:tcPr>
            <w:tcW w:type="dxa" w:w="2952"/>
            <w:shd w:fill="FFFFFF"/>
            <w:tcMar>
              <w:top w:w="80" w:type="dxa"/>
              <w:left w:w="80" w:type="dxa"/>
              <w:bottom w:w="80" w:type="dxa"/>
              <w:right w:w="80" w:type="dxa"/>
            </w:tcMar>
            <w:vAlign w:val="center"/>
          </w:tcPr>
          <w:p>
            <w:pPr>
              <w:spacing w:after="80" w:before="80" w:line="240" w:lineRule="auto"/>
            </w:pPr>
            <w:r>
              <w:rPr>
                <w:b w:val="0"/>
                <w:sz w:val="18"/>
              </w:rPr>
              <w:t>Data deletion</w:t>
            </w:r>
          </w:p>
        </w:tc>
        <w:tc>
          <w:tcPr>
            <w:tcW w:type="dxa" w:w="6408"/>
            <w:shd w:fill="FFFFFF"/>
            <w:tcMar>
              <w:top w:w="80" w:type="dxa"/>
              <w:left w:w="80" w:type="dxa"/>
              <w:bottom w:w="80" w:type="dxa"/>
              <w:right w:w="80" w:type="dxa"/>
            </w:tcMar>
            <w:vAlign w:val="center"/>
          </w:tcPr>
          <w:p>
            <w:pPr>
              <w:spacing w:after="80" w:before="80" w:line="240" w:lineRule="auto"/>
            </w:pPr>
            <w:r>
              <w:rPr>
                <w:b w:val="0"/>
                <w:sz w:val="18"/>
              </w:rPr>
              <w:t>Owner deletion removes source files and derived candidate content</w:t>
            </w:r>
          </w:p>
        </w:tc>
      </w:tr>
      <w:tr>
        <w:trPr>
          <w:cantSplit/>
        </w:trPr>
        <w:tc>
          <w:tcPr>
            <w:tcW w:type="dxa" w:w="864"/>
            <w:shd w:fill="F5F7FA"/>
            <w:tcMar>
              <w:top w:w="80" w:type="dxa"/>
              <w:left w:w="80" w:type="dxa"/>
              <w:bottom w:w="80" w:type="dxa"/>
              <w:right w:w="80" w:type="dxa"/>
            </w:tcMar>
            <w:vAlign w:val="center"/>
          </w:tcPr>
          <w:p>
            <w:pPr>
              <w:spacing w:after="80" w:before="80" w:line="240" w:lineRule="auto"/>
            </w:pPr>
            <w:r>
              <w:rPr>
                <w:b w:val="0"/>
                <w:sz w:val="18"/>
              </w:rPr>
              <w:t>FR14</w:t>
            </w:r>
          </w:p>
        </w:tc>
        <w:tc>
          <w:tcPr>
            <w:tcW w:type="dxa" w:w="2952"/>
            <w:shd w:fill="F5F7FA"/>
            <w:tcMar>
              <w:top w:w="80" w:type="dxa"/>
              <w:left w:w="80" w:type="dxa"/>
              <w:bottom w:w="80" w:type="dxa"/>
              <w:right w:w="80" w:type="dxa"/>
            </w:tcMar>
            <w:vAlign w:val="center"/>
          </w:tcPr>
          <w:p>
            <w:pPr>
              <w:spacing w:after="80" w:before="80" w:line="240" w:lineRule="auto"/>
            </w:pPr>
            <w:r>
              <w:rPr>
                <w:b w:val="0"/>
                <w:sz w:val="18"/>
              </w:rPr>
              <w:t>Cost and retry limits</w:t>
            </w:r>
          </w:p>
        </w:tc>
        <w:tc>
          <w:tcPr>
            <w:tcW w:type="dxa" w:w="6408"/>
            <w:shd w:fill="F5F7FA"/>
            <w:tcMar>
              <w:top w:w="80" w:type="dxa"/>
              <w:left w:w="80" w:type="dxa"/>
              <w:bottom w:w="80" w:type="dxa"/>
              <w:right w:w="80" w:type="dxa"/>
            </w:tcMar>
            <w:vAlign w:val="center"/>
          </w:tcPr>
          <w:p>
            <w:pPr>
              <w:spacing w:after="80" w:before="80" w:line="240" w:lineRule="auto"/>
            </w:pPr>
            <w:r>
              <w:rPr>
                <w:b w:val="0"/>
                <w:sz w:val="18"/>
              </w:rPr>
              <w:t>Quota reached blocks new provider calls with a clear message</w:t>
            </w:r>
          </w:p>
        </w:tc>
      </w:tr>
    </w:tbl>
    <w:p>
      <w:pPr>
        <w:spacing w:after="0"/>
      </w:pPr>
    </w:p>
    <w:p>
      <w:pPr>
        <w:pStyle w:val="Heading1"/>
      </w:pPr>
      <w:r>
        <w:t>Analysis behavior</w:t>
      </w:r>
    </w:p>
    <w:p>
      <w:r>
        <w:rPr>
          <w:b w:val="0"/>
        </w:rPr>
        <w:t>The model extracts requirements and job-related evidence. Application code checks references, calculates scores and saves immutable report versions. Resume text cannot override system instructions. No tool execution, link following or external candidate enrichment occurs during analysis.</w:t>
      </w:r>
    </w:p>
    <w:p>
      <w:r>
        <w:rPr>
          <w:b w:val="0"/>
        </w:rPr>
        <w:t>Use four finding statuses: MET, PARTIAL, NOT_EVIDENCED and CONTRADICTED. NOT_EVIDENCED means the document does not establish a claim, not that the candidate lacks a skill. CONTRADICTED requires explicit evidence that fails an objective criterion. Ambiguous dates, unsupported skill duration and conflicting claims generate clarification questions.</w:t>
      </w:r>
    </w:p>
    <w:p>
      <w:r>
        <w:rPr>
          <w:b w:val="0"/>
        </w:rPr>
        <w:t>Exclude age, gender, religion, caste, marital status, disability, nationality, photo, name, contact details and address from scoring. Do not score personality, culture fit, employment gaps or institution prestige. Education and certification criteria apply only when explicitly confirmed as job-related. Work authorization and other sensitive eligibility checks are outside this POC.</w:t>
      </w:r>
    </w:p>
    <w:p>
      <w:pPr>
        <w:pStyle w:val="Heading1"/>
        <w:pageBreakBefore/>
      </w:pPr>
      <w:r>
        <w:t>Scoring contract</w:t>
      </w:r>
    </w:p>
    <w:p>
      <w:r>
        <w:rPr>
          <w:b w:val="0"/>
        </w:rPr>
        <w:t>This specification replaces the earlier mixed score. ATS readiness contributes zero to Job Match. The weights below are product heuristics to calibrate with HR, not validated predictors of hiring success.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tblHeader/>
          <w:cantSplit/>
        </w:trPr>
        <w:tc>
          <w:tcPr>
            <w:tcW w:type="dxa" w:w="2880"/>
            <w:shd w:fill="DBE8F1"/>
            <w:tcMar>
              <w:top w:w="80" w:type="dxa"/>
              <w:left w:w="80" w:type="dxa"/>
              <w:bottom w:w="80" w:type="dxa"/>
              <w:right w:w="80" w:type="dxa"/>
            </w:tcMar>
            <w:vAlign w:val="center"/>
          </w:tcPr>
          <w:p>
            <w:pPr>
              <w:spacing w:after="80" w:before="80" w:line="240" w:lineRule="auto"/>
            </w:pPr>
            <w:r>
              <w:rPr>
                <w:b/>
                <w:sz w:val="18"/>
              </w:rPr>
              <w:t>Job match category</w:t>
            </w:r>
          </w:p>
        </w:tc>
        <w:tc>
          <w:tcPr>
            <w:tcW w:type="dxa" w:w="7344"/>
            <w:shd w:fill="DBE8F1"/>
            <w:tcMar>
              <w:top w:w="80" w:type="dxa"/>
              <w:left w:w="80" w:type="dxa"/>
              <w:bottom w:w="80" w:type="dxa"/>
              <w:right w:w="80" w:type="dxa"/>
            </w:tcMar>
            <w:vAlign w:val="center"/>
          </w:tcPr>
          <w:p>
            <w:pPr>
              <w:spacing w:after="80" w:before="80" w:line="240" w:lineRule="auto"/>
            </w:pPr>
            <w:r>
              <w:rPr>
                <w:b/>
                <w:sz w:val="18"/>
              </w:rPr>
              <w:t>Base weight</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Required skills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35</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Relevant experience</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25</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Responsibilities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20</w:t>
            </w:r>
          </w:p>
        </w:tc>
      </w:tr>
      <w:tr>
        <w:trPr>
          <w:cantSplit/>
        </w:trPr>
        <w:tc>
          <w:tcPr>
            <w:tcW w:type="dxa" w:w="2880"/>
            <w:shd w:fill="F5F7FA"/>
            <w:tcMar>
              <w:top w:w="80" w:type="dxa"/>
              <w:left w:w="80" w:type="dxa"/>
              <w:bottom w:w="80" w:type="dxa"/>
              <w:right w:w="80" w:type="dxa"/>
            </w:tcMar>
            <w:vAlign w:val="center"/>
          </w:tcPr>
          <w:p>
            <w:pPr>
              <w:spacing w:after="80" w:before="80" w:line="240" w:lineRule="auto"/>
            </w:pPr>
            <w:r>
              <w:rPr>
                <w:b w:val="0"/>
                <w:sz w:val="18"/>
              </w:rPr>
              <w:t>Preferred skills</w:t>
            </w:r>
          </w:p>
        </w:tc>
        <w:tc>
          <w:tcPr>
            <w:tcW w:type="dxa" w:w="7344"/>
            <w:shd w:fill="F5F7FA"/>
            <w:tcMar>
              <w:top w:w="80" w:type="dxa"/>
              <w:left w:w="80" w:type="dxa"/>
              <w:bottom w:w="80" w:type="dxa"/>
              <w:right w:w="80" w:type="dxa"/>
            </w:tcMar>
            <w:vAlign w:val="center"/>
          </w:tcPr>
          <w:p>
            <w:pPr>
              <w:spacing w:after="80" w:before="80" w:line="240" w:lineRule="auto"/>
            </w:pPr>
            <w:r>
              <w:rPr>
                <w:b w:val="0"/>
                <w:sz w:val="18"/>
              </w:rPr>
              <w:t>15</w:t>
            </w:r>
          </w:p>
        </w:tc>
      </w:tr>
      <w:tr>
        <w:trPr>
          <w:cantSplit/>
        </w:trPr>
        <w:tc>
          <w:tcPr>
            <w:tcW w:type="dxa" w:w="2880"/>
            <w:shd w:fill="FFFFFF"/>
            <w:tcMar>
              <w:top w:w="80" w:type="dxa"/>
              <w:left w:w="80" w:type="dxa"/>
              <w:bottom w:w="80" w:type="dxa"/>
              <w:right w:w="80" w:type="dxa"/>
            </w:tcMar>
            <w:vAlign w:val="center"/>
          </w:tcPr>
          <w:p>
            <w:pPr>
              <w:spacing w:after="80" w:before="80" w:line="240" w:lineRule="auto"/>
            </w:pPr>
            <w:r>
              <w:rPr>
                <w:b w:val="0"/>
                <w:sz w:val="18"/>
              </w:rPr>
              <w:t>Education and certifications</w:t>
            </w:r>
          </w:p>
        </w:tc>
        <w:tc>
          <w:tcPr>
            <w:tcW w:type="dxa" w:w="7344"/>
            <w:shd w:fill="FFFFFF"/>
            <w:tcMar>
              <w:top w:w="80" w:type="dxa"/>
              <w:left w:w="80" w:type="dxa"/>
              <w:bottom w:w="80" w:type="dxa"/>
              <w:right w:w="80" w:type="dxa"/>
            </w:tcMar>
            <w:vAlign w:val="center"/>
          </w:tcPr>
          <w:p>
            <w:pPr>
              <w:spacing w:after="80" w:before="80" w:line="240" w:lineRule="auto"/>
            </w:pPr>
            <w:r>
              <w:rPr>
                <w:b w:val="0"/>
                <w:sz w:val="18"/>
              </w:rPr>
              <w:t>5</w:t>
            </w:r>
          </w:p>
        </w:tc>
      </w:tr>
    </w:tbl>
    <w:p>
      <w:pPr>
        <w:spacing w:after="0"/>
      </w:pPr>
    </w:p>
    <w:p>
      <w:r>
        <w:rPr>
          <w:b w:val="0"/>
        </w:rPr>
        <w:t>Within each active category, criteria have equal weight. MET earns 1, PARTIAL 0.5, and NOT_EVIDENCED or CONTRADICTED 0. Categories absent from the confirmed JD are excluded and remaining weights are normalized. An empty JD cannot be scored. The LLD specifies the exact formula, experience handling and rounding.</w:t>
      </w:r>
    </w:p>
    <w:p>
      <w:r>
        <w:rPr>
          <w:b w:val="0"/>
        </w:rPr>
        <w:t>Evidence coverage is the weighted share of criteria whose status is not NOT_EVIDENCED. A low score with low coverage must be described as insufficient evidence, not lack of capability. Below 60 percent coverage, add a prominent clarification notice. No score automatically selects or rejects a candidate.</w:t>
      </w:r>
    </w:p>
    <w:p>
      <w:r>
        <w:rPr>
          <w:b w:val="0"/>
        </w:rPr>
        <w:t>ATS readiness evaluates text extraction, reading order, section structure, date readability and machine-readable content. It is a document-formatting heuristic. It cannot guarantee that another ATS will parse the file in the same way. Unreliable extraction blocks job matching and prompts a replacement file.</w:t>
      </w:r>
    </w:p>
    <w:p>
      <w:pPr>
        <w:pStyle w:val="Heading1"/>
      </w:pPr>
      <w:r>
        <w:t>Nonfunctional requirements</w:t>
      </w:r>
    </w:p>
    <w:p>
      <w:pPr>
        <w:pStyle w:val="ListBullet"/>
      </w:pPr>
      <w:r>
        <w:rPr>
          <w:b w:val="0"/>
        </w:rPr>
        <w:t>Default limits: 5 MiB per file, 20 PDF pages, 60,000 extracted characters per document; reject rather than silently truncate. DOCX has no reliable page count, so bound expanded archive size and paragraph count.</w:t>
      </w:r>
    </w:p>
    <w:p>
      <w:pPr>
        <w:pStyle w:val="ListBullet"/>
      </w:pPr>
      <w:r>
        <w:rPr>
          <w:b w:val="0"/>
        </w:rPr>
        <w:t>Use private storage, encrypted transport, workspace isolation and short-lived source access. No resumes, prompts or personal data in operational logs.</w:t>
      </w:r>
    </w:p>
    <w:p>
      <w:pPr>
        <w:pStyle w:val="ListBullet"/>
      </w:pPr>
      <w:r>
        <w:rPr>
          <w:b w:val="0"/>
        </w:rPr>
        <w:t>Save queue state durably so refreshes and process restarts do not lose work. Show recoverable errors and allow bounded manual retry.</w:t>
      </w:r>
    </w:p>
    <w:p>
      <w:pPr>
        <w:pStyle w:val="ListBullet"/>
      </w:pPr>
      <w:r>
        <w:rPr>
          <w:b w:val="0"/>
        </w:rPr>
        <w:t>Default live-pilot retention: 30 days from candidate creation; owner can select 7 to 90 days. Apply to original files, redacted text, reports, decisions and candidate-specific audit payloads.</w:t>
      </w:r>
    </w:p>
    <w:p>
      <w:pPr>
        <w:pStyle w:val="ListBullet"/>
      </w:pPr>
      <w:r>
        <w:rPr>
          <w:b w:val="0"/>
        </w:rPr>
        <w:t>Owner can view usage and delete a candidate. Recruiters can review and decide within their workspace; no public signup or public file URLs.</w:t>
      </w:r>
    </w:p>
    <w:p>
      <w:pPr>
        <w:pStyle w:val="ListBullet"/>
      </w:pPr>
      <w:r>
        <w:rPr>
          <w:b w:val="0"/>
        </w:rPr>
        <w:t>Provide a synthetic demo mode with a persistent Demo label. It must never pretend to have performed live AI analysis.</w:t>
      </w:r>
    </w:p>
    <w:p>
      <w:pPr>
        <w:pStyle w:val="Heading1"/>
        <w:pageBreakBefore/>
      </w:pPr>
      <w:r>
        <w:t>Scope boundaries and delivery</w:t>
      </w:r>
    </w:p>
    <w:p>
      <w:r>
        <w:rPr>
          <w:b w:val="0"/>
        </w:rPr>
        <w:t>Included: login, jobs, JD confirmation, single-resume upload, extraction preview, evidence-based report, deterministic scores, clarification questions, human decisions, history, PDF export, identity-hidden view, deletion and cost controls.</w:t>
      </w:r>
    </w:p>
    <w:p>
      <w:r>
        <w:rPr>
          <w:b w:val="0"/>
        </w:rPr>
        <w:t>Deferred: bulk import, OCR, multilingual evaluation, candidate ranking, emails, interview scheduling, candidate portals, background checks, HRMS integrations, billing, custom scoring UI, vector databases and autonomous agents. The POC does not hire, onboard or contact anyone.</w:t>
      </w:r>
    </w:p>
    <w:p>
      <w:pPr>
        <w:pStyle w:val="Heading1"/>
      </w:pPr>
      <w:r>
        <w:t>Delivery milestones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880"/>
        <w:gridCol w:w="5904"/>
      </w:tblGrid>
      <w:tr>
        <w:trPr>
          <w:tblHeader/>
          <w:cantSplit/>
        </w:trPr>
        <w:tc>
          <w:tcPr>
            <w:tcW w:type="dxa" w:w="1440"/>
            <w:shd w:fill="DBE8F1"/>
            <w:tcMar>
              <w:top w:w="80" w:type="dxa"/>
              <w:left w:w="80" w:type="dxa"/>
              <w:bottom w:w="80" w:type="dxa"/>
              <w:right w:w="80" w:type="dxa"/>
            </w:tcMar>
            <w:vAlign w:val="center"/>
          </w:tcPr>
          <w:p>
            <w:pPr>
              <w:spacing w:after="80" w:before="80" w:line="240" w:lineRule="auto"/>
            </w:pPr>
            <w:r>
              <w:rPr>
                <w:b/>
                <w:sz w:val="18"/>
              </w:rPr>
              <w:t>Milestone</w:t>
            </w:r>
          </w:p>
        </w:tc>
        <w:tc>
          <w:tcPr>
            <w:tcW w:type="dxa" w:w="2880"/>
            <w:shd w:fill="DBE8F1"/>
            <w:tcMar>
              <w:top w:w="80" w:type="dxa"/>
              <w:left w:w="80" w:type="dxa"/>
              <w:bottom w:w="80" w:type="dxa"/>
              <w:right w:w="80" w:type="dxa"/>
            </w:tcMar>
            <w:vAlign w:val="center"/>
          </w:tcPr>
          <w:p>
            <w:pPr>
              <w:spacing w:after="80" w:before="80" w:line="240" w:lineRule="auto"/>
            </w:pPr>
            <w:r>
              <w:rPr>
                <w:b/>
                <w:sz w:val="18"/>
              </w:rPr>
              <w:t>Deliverable</w:t>
            </w:r>
          </w:p>
        </w:tc>
        <w:tc>
          <w:tcPr>
            <w:tcW w:type="dxa" w:w="5904"/>
            <w:shd w:fill="DBE8F1"/>
            <w:tcMar>
              <w:top w:w="80" w:type="dxa"/>
              <w:left w:w="80" w:type="dxa"/>
              <w:bottom w:w="80" w:type="dxa"/>
              <w:right w:w="80" w:type="dxa"/>
            </w:tcMar>
            <w:vAlign w:val="center"/>
          </w:tcPr>
          <w:p>
            <w:pPr>
              <w:spacing w:after="80" w:before="80" w:line="240" w:lineRule="auto"/>
            </w:pPr>
            <w:r>
              <w:rPr>
                <w:b/>
                <w:sz w:val="18"/>
              </w:rPr>
              <w:t>Exit condition</w:t>
            </w:r>
          </w:p>
        </w:tc>
      </w:tr>
      <w:tr>
        <w:trPr>
          <w:cantSplit/>
        </w:trPr>
        <w:tc>
          <w:tcPr>
            <w:tcW w:type="dxa" w:w="1440"/>
            <w:shd w:fill="FFFFFF"/>
            <w:tcMar>
              <w:top w:w="80" w:type="dxa"/>
              <w:left w:w="80" w:type="dxa"/>
              <w:bottom w:w="80" w:type="dxa"/>
              <w:right w:w="80" w:type="dxa"/>
            </w:tcMar>
            <w:vAlign w:val="center"/>
          </w:tcPr>
          <w:p>
            <w:pPr>
              <w:spacing w:after="80" w:before="80" w:line="240" w:lineRule="auto"/>
            </w:pPr>
            <w:r>
              <w:rPr>
                <w:b w:val="0"/>
                <w:sz w:val="18"/>
              </w:rPr>
              <w:t>M1</w:t>
            </w:r>
          </w:p>
        </w:tc>
        <w:tc>
          <w:tcPr>
            <w:tcW w:type="dxa" w:w="2880"/>
            <w:shd w:fill="FFFFFF"/>
            <w:tcMar>
              <w:top w:w="80" w:type="dxa"/>
              <w:left w:w="80" w:type="dxa"/>
              <w:bottom w:w="80" w:type="dxa"/>
              <w:right w:w="80" w:type="dxa"/>
            </w:tcMar>
            <w:vAlign w:val="center"/>
          </w:tcPr>
          <w:p>
            <w:pPr>
              <w:spacing w:after="80" w:before="80" w:line="240" w:lineRule="auto"/>
            </w:pPr>
            <w:r>
              <w:rPr>
                <w:b w:val="0"/>
                <w:sz w:val="18"/>
              </w:rPr>
              <w:t>UI and synthetic demo</w:t>
            </w:r>
          </w:p>
        </w:tc>
        <w:tc>
          <w:tcPr>
            <w:tcW w:type="dxa" w:w="5904"/>
            <w:shd w:fill="FFFFFF"/>
            <w:tcMar>
              <w:top w:w="80" w:type="dxa"/>
              <w:left w:w="80" w:type="dxa"/>
              <w:bottom w:w="80" w:type="dxa"/>
              <w:right w:w="80" w:type="dxa"/>
            </w:tcMar>
            <w:vAlign w:val="center"/>
          </w:tcPr>
          <w:p>
            <w:pPr>
              <w:spacing w:after="80" w:before="80" w:line="240" w:lineRule="auto"/>
            </w:pPr>
            <w:r>
              <w:rPr>
                <w:b w:val="0"/>
                <w:sz w:val="18"/>
              </w:rPr>
              <w:t>Complete keyboard-accessible customer journey</w:t>
            </w:r>
          </w:p>
        </w:tc>
      </w:tr>
      <w:tr>
        <w:trPr>
          <w:cantSplit/>
        </w:trPr>
        <w:tc>
          <w:tcPr>
            <w:tcW w:type="dxa" w:w="1440"/>
            <w:shd w:fill="F5F7FA"/>
            <w:tcMar>
              <w:top w:w="80" w:type="dxa"/>
              <w:left w:w="80" w:type="dxa"/>
              <w:bottom w:w="80" w:type="dxa"/>
              <w:right w:w="80" w:type="dxa"/>
            </w:tcMar>
            <w:vAlign w:val="center"/>
          </w:tcPr>
          <w:p>
            <w:pPr>
              <w:spacing w:after="80" w:before="80" w:line="240" w:lineRule="auto"/>
            </w:pPr>
            <w:r>
              <w:rPr>
                <w:b w:val="0"/>
                <w:sz w:val="18"/>
              </w:rPr>
              <w:t>M2</w:t>
            </w:r>
          </w:p>
        </w:tc>
        <w:tc>
          <w:tcPr>
            <w:tcW w:type="dxa" w:w="2880"/>
            <w:shd w:fill="F5F7FA"/>
            <w:tcMar>
              <w:top w:w="80" w:type="dxa"/>
              <w:left w:w="80" w:type="dxa"/>
              <w:bottom w:w="80" w:type="dxa"/>
              <w:right w:w="80" w:type="dxa"/>
            </w:tcMar>
            <w:vAlign w:val="center"/>
          </w:tcPr>
          <w:p>
            <w:pPr>
              <w:spacing w:after="80" w:before="80" w:line="240" w:lineRule="auto"/>
            </w:pPr>
            <w:r>
              <w:rPr>
                <w:b w:val="0"/>
                <w:sz w:val="18"/>
              </w:rPr>
              <w:t>Authentication and ingestion</w:t>
            </w:r>
          </w:p>
        </w:tc>
        <w:tc>
          <w:tcPr>
            <w:tcW w:type="dxa" w:w="5904"/>
            <w:shd w:fill="F5F7FA"/>
            <w:tcMar>
              <w:top w:w="80" w:type="dxa"/>
              <w:left w:w="80" w:type="dxa"/>
              <w:bottom w:w="80" w:type="dxa"/>
              <w:right w:w="80" w:type="dxa"/>
            </w:tcMar>
            <w:vAlign w:val="center"/>
          </w:tcPr>
          <w:p>
            <w:pPr>
              <w:spacing w:after="80" w:before="80" w:line="240" w:lineRule="auto"/>
            </w:pPr>
            <w:r>
              <w:rPr>
                <w:b w:val="0"/>
                <w:sz w:val="18"/>
              </w:rPr>
              <w:t>Two-workspace isolation and malformed-file checks pass</w:t>
            </w:r>
          </w:p>
        </w:tc>
      </w:tr>
      <w:tr>
        <w:trPr>
          <w:cantSplit/>
        </w:trPr>
        <w:tc>
          <w:tcPr>
            <w:tcW w:type="dxa" w:w="1440"/>
            <w:shd w:fill="FFFFFF"/>
            <w:tcMar>
              <w:top w:w="80" w:type="dxa"/>
              <w:left w:w="80" w:type="dxa"/>
              <w:bottom w:w="80" w:type="dxa"/>
              <w:right w:w="80" w:type="dxa"/>
            </w:tcMar>
            <w:vAlign w:val="center"/>
          </w:tcPr>
          <w:p>
            <w:pPr>
              <w:spacing w:after="80" w:before="80" w:line="240" w:lineRule="auto"/>
            </w:pPr>
            <w:r>
              <w:rPr>
                <w:b w:val="0"/>
                <w:sz w:val="18"/>
              </w:rPr>
              <w:t>M3</w:t>
            </w:r>
          </w:p>
        </w:tc>
        <w:tc>
          <w:tcPr>
            <w:tcW w:type="dxa" w:w="2880"/>
            <w:shd w:fill="FFFFFF"/>
            <w:tcMar>
              <w:top w:w="80" w:type="dxa"/>
              <w:left w:w="80" w:type="dxa"/>
              <w:bottom w:w="80" w:type="dxa"/>
              <w:right w:w="80" w:type="dxa"/>
            </w:tcMar>
            <w:vAlign w:val="center"/>
          </w:tcPr>
          <w:p>
            <w:pPr>
              <w:spacing w:after="80" w:before="80" w:line="240" w:lineRule="auto"/>
            </w:pPr>
            <w:r>
              <w:rPr>
                <w:b w:val="0"/>
                <w:sz w:val="18"/>
              </w:rPr>
              <w:t>Analysis and scoring</w:t>
            </w:r>
          </w:p>
        </w:tc>
        <w:tc>
          <w:tcPr>
            <w:tcW w:type="dxa" w:w="5904"/>
            <w:shd w:fill="FFFFFF"/>
            <w:tcMar>
              <w:top w:w="80" w:type="dxa"/>
              <w:left w:w="80" w:type="dxa"/>
              <w:bottom w:w="80" w:type="dxa"/>
              <w:right w:w="80" w:type="dxa"/>
            </w:tcMar>
            <w:vAlign w:val="center"/>
          </w:tcPr>
          <w:p>
            <w:pPr>
              <w:spacing w:after="80" w:before="80" w:line="240" w:lineRule="auto"/>
            </w:pPr>
            <w:r>
              <w:rPr>
                <w:b w:val="0"/>
                <w:sz w:val="18"/>
              </w:rPr>
              <w:t>Evidence, arithmetic and failure fixtures pass</w:t>
            </w:r>
          </w:p>
        </w:tc>
      </w:tr>
      <w:tr>
        <w:trPr>
          <w:cantSplit/>
        </w:trPr>
        <w:tc>
          <w:tcPr>
            <w:tcW w:type="dxa" w:w="1440"/>
            <w:shd w:fill="F5F7FA"/>
            <w:tcMar>
              <w:top w:w="80" w:type="dxa"/>
              <w:left w:w="80" w:type="dxa"/>
              <w:bottom w:w="80" w:type="dxa"/>
              <w:right w:w="80" w:type="dxa"/>
            </w:tcMar>
            <w:vAlign w:val="center"/>
          </w:tcPr>
          <w:p>
            <w:pPr>
              <w:spacing w:after="80" w:before="80" w:line="240" w:lineRule="auto"/>
            </w:pPr>
            <w:r>
              <w:rPr>
                <w:b w:val="0"/>
                <w:sz w:val="18"/>
              </w:rPr>
              <w:t>M4</w:t>
            </w:r>
          </w:p>
        </w:tc>
        <w:tc>
          <w:tcPr>
            <w:tcW w:type="dxa" w:w="2880"/>
            <w:shd w:fill="F5F7FA"/>
            <w:tcMar>
              <w:top w:w="80" w:type="dxa"/>
              <w:left w:w="80" w:type="dxa"/>
              <w:bottom w:w="80" w:type="dxa"/>
              <w:right w:w="80" w:type="dxa"/>
            </w:tcMar>
            <w:vAlign w:val="center"/>
          </w:tcPr>
          <w:p>
            <w:pPr>
              <w:spacing w:after="80" w:before="80" w:line="240" w:lineRule="auto"/>
            </w:pPr>
            <w:r>
              <w:rPr>
                <w:b w:val="0"/>
                <w:sz w:val="18"/>
              </w:rPr>
              <w:t>Decisions and export</w:t>
            </w:r>
          </w:p>
        </w:tc>
        <w:tc>
          <w:tcPr>
            <w:tcW w:type="dxa" w:w="5904"/>
            <w:shd w:fill="F5F7FA"/>
            <w:tcMar>
              <w:top w:w="80" w:type="dxa"/>
              <w:left w:w="80" w:type="dxa"/>
              <w:bottom w:w="80" w:type="dxa"/>
              <w:right w:w="80" w:type="dxa"/>
            </w:tcMar>
            <w:vAlign w:val="center"/>
          </w:tcPr>
          <w:p>
            <w:pPr>
              <w:spacing w:after="80" w:before="80" w:line="240" w:lineRule="auto"/>
            </w:pPr>
            <w:r>
              <w:rPr>
                <w:b w:val="0"/>
                <w:sz w:val="18"/>
              </w:rPr>
              <w:t>History, concurrency and PDF parity pass</w:t>
            </w:r>
          </w:p>
        </w:tc>
      </w:tr>
      <w:tr>
        <w:trPr>
          <w:cantSplit/>
        </w:trPr>
        <w:tc>
          <w:tcPr>
            <w:tcW w:type="dxa" w:w="1440"/>
            <w:shd w:fill="FFFFFF"/>
            <w:tcMar>
              <w:top w:w="80" w:type="dxa"/>
              <w:left w:w="80" w:type="dxa"/>
              <w:bottom w:w="80" w:type="dxa"/>
              <w:right w:w="80" w:type="dxa"/>
            </w:tcMar>
            <w:vAlign w:val="center"/>
          </w:tcPr>
          <w:p>
            <w:pPr>
              <w:spacing w:after="80" w:before="80" w:line="240" w:lineRule="auto"/>
            </w:pPr>
            <w:r>
              <w:rPr>
                <w:b w:val="0"/>
                <w:sz w:val="18"/>
              </w:rPr>
              <w:t>M5</w:t>
            </w:r>
          </w:p>
        </w:tc>
        <w:tc>
          <w:tcPr>
            <w:tcW w:type="dxa" w:w="2880"/>
            <w:shd w:fill="FFFFFF"/>
            <w:tcMar>
              <w:top w:w="80" w:type="dxa"/>
              <w:left w:w="80" w:type="dxa"/>
              <w:bottom w:w="80" w:type="dxa"/>
              <w:right w:w="80" w:type="dxa"/>
            </w:tcMar>
            <w:vAlign w:val="center"/>
          </w:tcPr>
          <w:p>
            <w:pPr>
              <w:spacing w:after="80" w:before="80" w:line="240" w:lineRule="auto"/>
            </w:pPr>
            <w:r>
              <w:rPr>
                <w:b w:val="0"/>
                <w:sz w:val="18"/>
              </w:rPr>
              <w:t>Pilot validation</w:t>
            </w:r>
          </w:p>
        </w:tc>
        <w:tc>
          <w:tcPr>
            <w:tcW w:type="dxa" w:w="5904"/>
            <w:shd w:fill="FFFFFF"/>
            <w:tcMar>
              <w:top w:w="80" w:type="dxa"/>
              <w:left w:w="80" w:type="dxa"/>
              <w:bottom w:w="80" w:type="dxa"/>
              <w:right w:w="80" w:type="dxa"/>
            </w:tcMar>
            <w:vAlign w:val="center"/>
          </w:tcPr>
          <w:p>
            <w:pPr>
              <w:spacing w:after="80" w:before="80" w:line="240" w:lineRule="auto"/>
            </w:pPr>
            <w:r>
              <w:rPr>
                <w:b w:val="0"/>
                <w:sz w:val="18"/>
              </w:rPr>
              <w:t>Customer accepts benchmark results and spending limit</w:t>
            </w:r>
          </w:p>
        </w:tc>
      </w:tr>
    </w:tbl>
    <w:p>
      <w:pPr>
        <w:spacing w:after="0"/>
      </w:pPr>
    </w:p>
    <w:p>
      <w:r>
        <w:rPr>
          <w:b w:val="0"/>
        </w:rPr>
        <w:t>A 7 to 10 developer-day implementation is an initial estimate for an experienced builder with accounts and credentials ready. Validation, customer feedback and procurement may extend it. Each milestone should be demonstrated independently.</w:t>
      </w:r>
    </w:p>
    <w:p>
      <w:pPr>
        <w:pStyle w:val="Heading1"/>
      </w:pPr>
      <w:r>
        <w:t>Pilot acceptance scenarios</w:t>
      </w:r>
    </w:p>
    <w:p>
      <w:pPr>
        <w:pStyle w:val="ListNumber"/>
      </w:pPr>
      <w:r>
        <w:rPr>
          <w:b w:val="0"/>
        </w:rPr>
        <w:t>An AWS engineer JD is confirmed once and reused for two resumes without another JD extraction call.</w:t>
      </w:r>
    </w:p>
    <w:p>
      <w:pPr>
        <w:pStyle w:val="ListNumber"/>
      </w:pPr>
      <w:r>
        <w:rPr>
          <w:b w:val="0"/>
        </w:rPr>
        <w:t>An AWS skill claim without a duration receives a clarification question; years are not invented.</w:t>
      </w:r>
    </w:p>
    <w:p>
      <w:pPr>
        <w:pStyle w:val="ListNumber"/>
      </w:pPr>
      <w:r>
        <w:rPr>
          <w:b w:val="0"/>
        </w:rPr>
        <w:t>A resume with no Kubernetes reference says Not evidenced, with no false quote.</w:t>
      </w:r>
    </w:p>
    <w:p>
      <w:pPr>
        <w:pStyle w:val="ListNumber"/>
      </w:pPr>
      <w:r>
        <w:rPr>
          <w:b w:val="0"/>
        </w:rPr>
        <w:t>A scanned PDF produces a readable-file request and no fabricated Job Match Score.</w:t>
      </w:r>
    </w:p>
    <w:p>
      <w:pPr>
        <w:pStyle w:val="ListNumber"/>
      </w:pPr>
      <w:r>
        <w:rPr>
          <w:b w:val="0"/>
        </w:rPr>
        <w:t>Repeated Analyze clicks create one active analysis, and restarting the worker resumes durable work.</w:t>
      </w:r>
    </w:p>
    <w:p>
      <w:pPr>
        <w:pStyle w:val="ListNumber"/>
      </w:pPr>
      <w:r>
        <w:rPr>
          <w:b w:val="0"/>
        </w:rPr>
        <w:t>HR records Talk to Candidate with questions, then Shortlist; both decisions remain in history.</w:t>
      </w:r>
    </w:p>
    <w:p>
      <w:pPr>
        <w:pStyle w:val="ListNumber"/>
      </w:pPr>
      <w:r>
        <w:rPr>
          <w:b w:val="0"/>
        </w:rPr>
        <w:t>A user in another workspace cannot access the resume, report, export or decision endpoint.</w:t>
      </w:r>
    </w:p>
    <w:p>
      <w:pPr>
        <w:pStyle w:val="ListNumber"/>
      </w:pPr>
      <w:r>
        <w:rPr>
          <w:b w:val="0"/>
        </w:rPr>
        <w:t>Deleting a candidate hides it immediately and completes file and derived-data cleanup.</w:t>
      </w:r>
    </w:p>
    <w:p>
      <w:pPr>
        <w:pStyle w:val="Heading1"/>
      </w:pPr>
      <w:r>
        <w:t>Decisions to confirm before real candidate data</w:t>
      </w:r>
    </w:p>
    <w:p>
      <w:r>
        <w:rPr>
          <w:b w:val="0"/>
        </w:rPr>
        <w:t>The defaults in this pack unblock development. The customer must choose the live provider account and model, approve data handling and retention, confirm pilot users and confirm the spending limit before a real-data pilot. Use synthetic documents until then. This is a product launch gate, not a blocker to building the POC.</w:t>
      </w:r>
    </w:p>
    <w:p>
      <w:pPr>
        <w:pStyle w:val="Heading1"/>
      </w:pPr>
      <w:r>
        <w:t>Companion documents</w:t>
      </w:r>
    </w:p>
    <w:p>
      <w:r>
        <w:rPr>
          <w:b w:val="0"/>
        </w:rPr>
        <w:t>Read the High Level Design for architecture and cost tradeoffs, the Low Level Design for implementation contracts, and the Codex Build Prompt for execution instructions. Version 1.0 of this four-document pack is internally aligned.</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Resume Screener  |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Screener Product Requirements</dc:title>
  <dc:subject>Resume Screener POC specification version 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