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26c00488a01e2c77776b42ac757fa941f67009"/>
    <w:p>
      <w:pPr>
        <w:pStyle w:val="Heading1"/>
      </w:pPr>
      <w:r>
        <w:t xml:space="preserve">Interview Preparation Series — How Candidates Should Use These Documents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original interview-readiness material contains many important topics. This series breaks them into smaller documents so candidates can prepare systematically rather than treating interview preparation as one large checklist.</w:t>
      </w:r>
    </w:p>
    <w:p>
      <w:pPr>
        <w:pStyle w:val="BodyText"/>
      </w:pPr>
      <w:r>
        <w:t xml:space="preserve">The complete preparation model is:</w:t>
      </w:r>
    </w:p>
    <w:p>
      <w:pPr>
        <w:pStyle w:val="BodyText"/>
      </w:pPr>
      <w:r>
        <w:rPr>
          <w:b/>
          <w:bCs/>
        </w:rPr>
        <w:t xml:space="preserve">CONCEPTS → CODING → PROJECT → DOMAIN → REASONING → CV/GITHUB → COMMUNICATION → MOCK INTERVIEW → FINAL READINESS</w:t>
      </w:r>
    </w:p>
    <w:bookmarkEnd w:id="20"/>
    <w:bookmarkStart w:id="21" w:name="document-1-what-interviewers-expect"/>
    <w:p>
      <w:pPr>
        <w:pStyle w:val="Heading2"/>
      </w:pPr>
      <w:r>
        <w:t xml:space="preserve">Document 1 — What Interviewers Expect</w:t>
      </w:r>
    </w:p>
    <w:p>
      <w:pPr>
        <w:pStyle w:val="FirstParagraph"/>
      </w:pPr>
      <w:r>
        <w:t xml:space="preserve">Use this to understand the standard expected during the interview.</w:t>
      </w:r>
    </w:p>
    <w:p>
      <w:pPr>
        <w:pStyle w:val="BodyText"/>
      </w:pPr>
      <w:r>
        <w:t xml:space="preserve">Focus on: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</w:p>
    <w:p>
      <w:pPr>
        <w:pStyle w:val="Compact"/>
        <w:numPr>
          <w:ilvl w:val="0"/>
          <w:numId w:val="1001"/>
        </w:numPr>
      </w:pPr>
      <w:r>
        <w:t xml:space="preserve">BUSINESS IMPACT</w:t>
      </w:r>
    </w:p>
    <w:p>
      <w:pPr>
        <w:pStyle w:val="Compact"/>
        <w:numPr>
          <w:ilvl w:val="0"/>
          <w:numId w:val="1001"/>
        </w:numPr>
      </w:pPr>
      <w:r>
        <w:t xml:space="preserve">Reasoning</w:t>
      </w:r>
    </w:p>
    <w:p>
      <w:pPr>
        <w:pStyle w:val="Compact"/>
        <w:numPr>
          <w:ilvl w:val="0"/>
          <w:numId w:val="1001"/>
        </w:numPr>
      </w:pPr>
      <w:r>
        <w:t xml:space="preserve">Alternatives</w:t>
      </w:r>
    </w:p>
    <w:p>
      <w:pPr>
        <w:pStyle w:val="Compact"/>
        <w:numPr>
          <w:ilvl w:val="0"/>
          <w:numId w:val="1001"/>
        </w:numPr>
      </w:pPr>
      <w:r>
        <w:t xml:space="preserve">Trade-offs</w:t>
      </w:r>
    </w:p>
    <w:p>
      <w:pPr>
        <w:pStyle w:val="Compact"/>
        <w:numPr>
          <w:ilvl w:val="0"/>
          <w:numId w:val="1001"/>
        </w:numPr>
      </w:pPr>
      <w:r>
        <w:t xml:space="preserve">Individual contribution</w:t>
      </w:r>
    </w:p>
    <w:p>
      <w:pPr>
        <w:pStyle w:val="FirstParagraph"/>
      </w:pPr>
      <w:r>
        <w:t xml:space="preserve">This should be read first.</w:t>
      </w:r>
    </w:p>
    <w:bookmarkEnd w:id="21"/>
    <w:bookmarkStart w:id="22" w:name="document-2-technical-preparation-coding"/>
    <w:p>
      <w:pPr>
        <w:pStyle w:val="Heading2"/>
      </w:pPr>
      <w:r>
        <w:t xml:space="preserve">Document 2 — Technical Preparation &amp; Coding</w:t>
      </w:r>
    </w:p>
    <w:p>
      <w:pPr>
        <w:pStyle w:val="FirstParagraph"/>
      </w:pPr>
      <w:r>
        <w:t xml:space="preserve">Use this for technical revision: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Data Structures</w:t>
      </w:r>
    </w:p>
    <w:p>
      <w:pPr>
        <w:pStyle w:val="Compact"/>
        <w:numPr>
          <w:ilvl w:val="0"/>
          <w:numId w:val="1002"/>
        </w:numPr>
      </w:pPr>
      <w:r>
        <w:t xml:space="preserve">Machine Learning</w:t>
      </w:r>
    </w:p>
    <w:p>
      <w:pPr>
        <w:pStyle w:val="Compact"/>
        <w:numPr>
          <w:ilvl w:val="0"/>
          <w:numId w:val="1002"/>
        </w:numPr>
      </w:pPr>
      <w:r>
        <w:t xml:space="preserve">ML evaluation</w:t>
      </w:r>
    </w:p>
    <w:p>
      <w:pPr>
        <w:pStyle w:val="Compact"/>
        <w:numPr>
          <w:ilvl w:val="0"/>
          <w:numId w:val="1002"/>
        </w:numPr>
      </w:pPr>
      <w:r>
        <w:t xml:space="preserve">Deep Learning</w:t>
      </w:r>
    </w:p>
    <w:p>
      <w:pPr>
        <w:pStyle w:val="Compact"/>
        <w:numPr>
          <w:ilvl w:val="0"/>
          <w:numId w:val="1002"/>
        </w:numPr>
      </w:pPr>
      <w:r>
        <w:t xml:space="preserve">NLP</w:t>
      </w:r>
    </w:p>
    <w:p>
      <w:pPr>
        <w:pStyle w:val="Compact"/>
        <w:numPr>
          <w:ilvl w:val="0"/>
          <w:numId w:val="1002"/>
        </w:numPr>
      </w:pPr>
      <w:r>
        <w:t xml:space="preserve">GenAI</w:t>
      </w:r>
    </w:p>
    <w:p>
      <w:pPr>
        <w:pStyle w:val="Compact"/>
        <w:numPr>
          <w:ilvl w:val="0"/>
          <w:numId w:val="1002"/>
        </w:numPr>
      </w:pPr>
      <w:r>
        <w:t xml:space="preserve">RAG</w:t>
      </w:r>
    </w:p>
    <w:p>
      <w:pPr>
        <w:pStyle w:val="Compact"/>
        <w:numPr>
          <w:ilvl w:val="0"/>
          <w:numId w:val="1002"/>
        </w:numPr>
      </w:pPr>
      <w:r>
        <w:t xml:space="preserve">Agentic AI</w:t>
      </w:r>
    </w:p>
    <w:p>
      <w:pPr>
        <w:pStyle w:val="Compact"/>
        <w:numPr>
          <w:ilvl w:val="0"/>
          <w:numId w:val="1002"/>
        </w:numPr>
      </w:pPr>
      <w:r>
        <w:t xml:space="preserve">MCP</w:t>
      </w:r>
    </w:p>
    <w:p>
      <w:pPr>
        <w:pStyle w:val="Compact"/>
        <w:numPr>
          <w:ilvl w:val="0"/>
          <w:numId w:val="1002"/>
        </w:numPr>
      </w:pPr>
      <w:r>
        <w:t xml:space="preserve">Hands-on coding</w:t>
      </w:r>
    </w:p>
    <w:p>
      <w:pPr>
        <w:pStyle w:val="FirstParagraph"/>
      </w:pPr>
      <w:r>
        <w:t xml:space="preserve">This is your technical revision document.</w:t>
      </w:r>
    </w:p>
    <w:bookmarkEnd w:id="22"/>
    <w:bookmarkStart w:id="23" w:name="document-3-project-deep-dive"/>
    <w:p>
      <w:pPr>
        <w:pStyle w:val="Heading2"/>
      </w:pPr>
      <w:r>
        <w:t xml:space="preserve">Document 3 — Project Deep Dive</w:t>
      </w:r>
    </w:p>
    <w:p>
      <w:pPr>
        <w:pStyle w:val="FirstParagraph"/>
      </w:pPr>
      <w:r>
        <w:t xml:space="preserve">Use this to prepare one or more projects end to end.</w:t>
      </w:r>
    </w:p>
    <w:p>
      <w:pPr>
        <w:pStyle w:val="BodyText"/>
      </w:pPr>
      <w:r>
        <w:t xml:space="preserve">Focus on:</w:t>
      </w:r>
    </w:p>
    <w:p>
      <w:pPr>
        <w:pStyle w:val="Compact"/>
        <w:numPr>
          <w:ilvl w:val="0"/>
          <w:numId w:val="1003"/>
        </w:numPr>
      </w:pPr>
      <w:r>
        <w:t xml:space="preserve">Business problem</w:t>
      </w:r>
    </w:p>
    <w:p>
      <w:pPr>
        <w:pStyle w:val="Compact"/>
        <w:numPr>
          <w:ilvl w:val="0"/>
          <w:numId w:val="1003"/>
        </w:numPr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t xml:space="preserve">Stakeholders</w:t>
      </w:r>
    </w:p>
    <w:p>
      <w:pPr>
        <w:pStyle w:val="Compact"/>
        <w:numPr>
          <w:ilvl w:val="0"/>
          <w:numId w:val="1003"/>
        </w:numPr>
      </w:pPr>
      <w:r>
        <w:t xml:space="preserve">Architecture</w:t>
      </w:r>
    </w:p>
    <w:p>
      <w:pPr>
        <w:pStyle w:val="Compact"/>
        <w:numPr>
          <w:ilvl w:val="0"/>
          <w:numId w:val="1003"/>
        </w:numPr>
      </w:pPr>
      <w:r>
        <w:t xml:space="preserve">Data</w:t>
      </w:r>
    </w:p>
    <w:p>
      <w:pPr>
        <w:pStyle w:val="Compact"/>
        <w:numPr>
          <w:ilvl w:val="0"/>
          <w:numId w:val="1003"/>
        </w:numPr>
      </w:pPr>
      <w:r>
        <w:t xml:space="preserve">Implementation</w:t>
      </w:r>
    </w:p>
    <w:p>
      <w:pPr>
        <w:pStyle w:val="Compact"/>
        <w:numPr>
          <w:ilvl w:val="0"/>
          <w:numId w:val="1003"/>
        </w:numPr>
      </w:pPr>
      <w:r>
        <w:t xml:space="preserve">Individual contribution</w:t>
      </w:r>
    </w:p>
    <w:p>
      <w:pPr>
        <w:pStyle w:val="Compact"/>
        <w:numPr>
          <w:ilvl w:val="0"/>
          <w:numId w:val="1003"/>
        </w:numPr>
      </w:pPr>
      <w:r>
        <w:t xml:space="preserve">Technical decisions</w:t>
      </w:r>
    </w:p>
    <w:p>
      <w:pPr>
        <w:pStyle w:val="Compact"/>
        <w:numPr>
          <w:ilvl w:val="0"/>
          <w:numId w:val="1003"/>
        </w:numPr>
      </w:pPr>
      <w:r>
        <w:t xml:space="preserve">Alternatives</w:t>
      </w:r>
    </w:p>
    <w:p>
      <w:pPr>
        <w:pStyle w:val="Compact"/>
        <w:numPr>
          <w:ilvl w:val="0"/>
          <w:numId w:val="1003"/>
        </w:numPr>
      </w:pPr>
      <w:r>
        <w:t xml:space="preserve">Trade-offs</w:t>
      </w:r>
    </w:p>
    <w:p>
      <w:pPr>
        <w:pStyle w:val="Compact"/>
        <w:numPr>
          <w:ilvl w:val="0"/>
          <w:numId w:val="1003"/>
        </w:numPr>
      </w:pPr>
      <w:r>
        <w:t xml:space="preserve">Evaluation</w:t>
      </w:r>
    </w:p>
    <w:p>
      <w:pPr>
        <w:pStyle w:val="Compact"/>
        <w:numPr>
          <w:ilvl w:val="0"/>
          <w:numId w:val="1003"/>
        </w:numPr>
      </w:pPr>
      <w:r>
        <w:t xml:space="preserve">Results</w:t>
      </w:r>
    </w:p>
    <w:p>
      <w:pPr>
        <w:pStyle w:val="Compact"/>
        <w:numPr>
          <w:ilvl w:val="0"/>
          <w:numId w:val="1003"/>
        </w:numPr>
      </w:pPr>
      <w:r>
        <w:t xml:space="preserve">Production</w:t>
      </w:r>
    </w:p>
    <w:p>
      <w:pPr>
        <w:pStyle w:val="Compact"/>
        <w:numPr>
          <w:ilvl w:val="0"/>
          <w:numId w:val="1003"/>
        </w:numPr>
      </w:pPr>
      <w:r>
        <w:t xml:space="preserve">Limitations</w:t>
      </w:r>
    </w:p>
    <w:p>
      <w:pPr>
        <w:pStyle w:val="Compact"/>
        <w:numPr>
          <w:ilvl w:val="0"/>
          <w:numId w:val="1003"/>
        </w:numPr>
      </w:pPr>
      <w:r>
        <w:t xml:space="preserve">Follow-up questions</w:t>
      </w:r>
    </w:p>
    <w:bookmarkEnd w:id="23"/>
    <w:bookmarkStart w:id="24" w:name="document-4-domain-project-presentation"/>
    <w:p>
      <w:pPr>
        <w:pStyle w:val="Heading2"/>
      </w:pPr>
      <w:r>
        <w:t xml:space="preserve">Document 4 — Domain Project &amp; Presentation</w:t>
      </w:r>
    </w:p>
    <w:p>
      <w:pPr>
        <w:pStyle w:val="FirstParagraph"/>
      </w:pPr>
      <w:r>
        <w:t xml:space="preserve">Use this when converting your previous professional experience into a domain-focused project.</w:t>
      </w:r>
    </w:p>
    <w:p>
      <w:pPr>
        <w:pStyle w:val="BodyText"/>
      </w:pPr>
      <w:r>
        <w:t xml:space="preserve">Especially useful for candidates coming from:</w:t>
      </w:r>
    </w:p>
    <w:p>
      <w:pPr>
        <w:pStyle w:val="Compact"/>
        <w:numPr>
          <w:ilvl w:val="0"/>
          <w:numId w:val="1004"/>
        </w:numPr>
      </w:pPr>
      <w:r>
        <w:t xml:space="preserve">QA</w:t>
      </w:r>
    </w:p>
    <w:p>
      <w:pPr>
        <w:pStyle w:val="Compact"/>
        <w:numPr>
          <w:ilvl w:val="0"/>
          <w:numId w:val="1004"/>
        </w:numPr>
      </w:pPr>
      <w:r>
        <w:t xml:space="preserve">Testing</w:t>
      </w:r>
    </w:p>
    <w:p>
      <w:pPr>
        <w:pStyle w:val="Compact"/>
        <w:numPr>
          <w:ilvl w:val="0"/>
          <w:numId w:val="1004"/>
        </w:numPr>
      </w:pP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t xml:space="preserve">BA</w:t>
      </w:r>
    </w:p>
    <w:p>
      <w:pPr>
        <w:pStyle w:val="Compact"/>
        <w:numPr>
          <w:ilvl w:val="0"/>
          <w:numId w:val="1004"/>
        </w:numPr>
      </w:pPr>
      <w:r>
        <w:t xml:space="preserve">Development</w:t>
      </w:r>
    </w:p>
    <w:p>
      <w:pPr>
        <w:pStyle w:val="Compact"/>
        <w:numPr>
          <w:ilvl w:val="0"/>
          <w:numId w:val="1004"/>
        </w:numPr>
      </w:pPr>
      <w:r>
        <w:t xml:space="preserve">Analytics</w:t>
      </w:r>
    </w:p>
    <w:p>
      <w:pPr>
        <w:pStyle w:val="Compact"/>
        <w:numPr>
          <w:ilvl w:val="0"/>
          <w:numId w:val="1004"/>
        </w:numPr>
      </w:pPr>
      <w:r>
        <w:t xml:space="preserve">Data</w:t>
      </w:r>
    </w:p>
    <w:p>
      <w:pPr>
        <w:pStyle w:val="Compact"/>
        <w:numPr>
          <w:ilvl w:val="0"/>
          <w:numId w:val="1004"/>
        </w:numPr>
      </w:pPr>
      <w:r>
        <w:t xml:space="preserve">Operations</w:t>
      </w:r>
    </w:p>
    <w:p>
      <w:pPr>
        <w:pStyle w:val="FirstParagraph"/>
      </w:pPr>
      <w:r>
        <w:t xml:space="preserve">Do not invent prior AI experience. Use domain knowledge as the starting point and clearly identify POC/course/proposed work.</w:t>
      </w:r>
    </w:p>
    <w:bookmarkEnd w:id="24"/>
    <w:bookmarkStart w:id="25" w:name="X173eaf143af7c39afa5cf095d06e31bec7cf6ba"/>
    <w:p>
      <w:pPr>
        <w:pStyle w:val="Heading2"/>
      </w:pPr>
      <w:r>
        <w:t xml:space="preserve">Document 5 — CV, GitHub &amp; Experience Readiness</w:t>
      </w:r>
    </w:p>
    <w:p>
      <w:pPr>
        <w:pStyle w:val="FirstParagraph"/>
      </w:pPr>
      <w:r>
        <w:t xml:space="preserve">Use this to ensure that everything written on your CV can survive interview questioning.</w:t>
      </w:r>
    </w:p>
    <w:p>
      <w:pPr>
        <w:pStyle w:val="BodyText"/>
      </w:pPr>
      <w:r>
        <w:t xml:space="preserve">Focus on:</w:t>
      </w:r>
    </w:p>
    <w:p>
      <w:pPr>
        <w:pStyle w:val="Compact"/>
        <w:numPr>
          <w:ilvl w:val="0"/>
          <w:numId w:val="1005"/>
        </w:numPr>
      </w:pPr>
      <w:r>
        <w:t xml:space="preserve">Resume claims</w:t>
      </w:r>
    </w:p>
    <w:p>
      <w:pPr>
        <w:pStyle w:val="Compact"/>
        <w:numPr>
          <w:ilvl w:val="0"/>
          <w:numId w:val="1005"/>
        </w:numPr>
      </w:pPr>
      <w:r>
        <w:t xml:space="preserve">Technology claims</w:t>
      </w:r>
    </w:p>
    <w:p>
      <w:pPr>
        <w:pStyle w:val="Compact"/>
        <w:numPr>
          <w:ilvl w:val="0"/>
          <w:numId w:val="1005"/>
        </w:numPr>
      </w:pPr>
      <w:r>
        <w:t xml:space="preserve">Project claims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p>
      <w:pPr>
        <w:pStyle w:val="Compact"/>
        <w:numPr>
          <w:ilvl w:val="0"/>
          <w:numId w:val="1005"/>
        </w:numPr>
      </w:pPr>
      <w:r>
        <w:t xml:space="preserve">Experience duration</w:t>
      </w:r>
    </w:p>
    <w:p>
      <w:pPr>
        <w:pStyle w:val="Compact"/>
        <w:numPr>
          <w:ilvl w:val="0"/>
          <w:numId w:val="1005"/>
        </w:numPr>
      </w:pPr>
      <w:r>
        <w:t xml:space="preserve">GenAI experience</w:t>
      </w:r>
    </w:p>
    <w:p>
      <w:pPr>
        <w:pStyle w:val="Compact"/>
        <w:numPr>
          <w:ilvl w:val="0"/>
          <w:numId w:val="1005"/>
        </w:numPr>
      </w:pPr>
      <w:r>
        <w:t xml:space="preserve">Evidence</w:t>
      </w:r>
    </w:p>
    <w:p>
      <w:pPr>
        <w:pStyle w:val="Compact"/>
        <w:numPr>
          <w:ilvl w:val="0"/>
          <w:numId w:val="1005"/>
        </w:numPr>
      </w:pPr>
      <w:r>
        <w:t xml:space="preserve">Truthful positioning</w:t>
      </w:r>
    </w:p>
    <w:bookmarkEnd w:id="25"/>
    <w:bookmarkStart w:id="26" w:name="document-6-communication-answering"/>
    <w:p>
      <w:pPr>
        <w:pStyle w:val="Heading2"/>
      </w:pPr>
      <w:r>
        <w:t xml:space="preserve">Document 6 — Communication &amp; Answering</w:t>
      </w:r>
    </w:p>
    <w:p>
      <w:pPr>
        <w:pStyle w:val="FirstParagraph"/>
      </w:pPr>
      <w:r>
        <w:t xml:space="preserve">Use this to improve how you answer.</w:t>
      </w:r>
    </w:p>
    <w:p>
      <w:pPr>
        <w:pStyle w:val="BodyText"/>
      </w:pPr>
      <w:r>
        <w:t xml:space="preserve">Focus on:</w:t>
      </w:r>
    </w:p>
    <w:p>
      <w:pPr>
        <w:pStyle w:val="BodyText"/>
      </w:pPr>
      <w:r>
        <w:rPr>
          <w:b/>
          <w:bCs/>
        </w:rPr>
        <w:t xml:space="preserve">Context → Approach → Reason → Implementation → Result</w:t>
      </w:r>
    </w:p>
    <w:p>
      <w:pPr>
        <w:pStyle w:val="BodyText"/>
      </w:pPr>
      <w:r>
        <w:t xml:space="preserve">Also practice:</w:t>
      </w:r>
    </w:p>
    <w:p>
      <w:pPr>
        <w:pStyle w:val="Compact"/>
        <w:numPr>
          <w:ilvl w:val="0"/>
          <w:numId w:val="1006"/>
        </w:numPr>
      </w:pPr>
      <w:r>
        <w:t xml:space="preserve">Concise answers</w:t>
      </w:r>
    </w:p>
    <w:p>
      <w:pPr>
        <w:pStyle w:val="Compact"/>
        <w:numPr>
          <w:ilvl w:val="0"/>
          <w:numId w:val="1006"/>
        </w:numPr>
      </w:pPr>
      <w:r>
        <w:t xml:space="preserve">Technical depth</w:t>
      </w:r>
    </w:p>
    <w:p>
      <w:pPr>
        <w:pStyle w:val="Compact"/>
        <w:numPr>
          <w:ilvl w:val="0"/>
          <w:numId w:val="1006"/>
        </w:numPr>
      </w:pPr>
      <w:r>
        <w:t xml:space="preserve">WHY</w:t>
      </w:r>
    </w:p>
    <w:p>
      <w:pPr>
        <w:pStyle w:val="Compact"/>
        <w:numPr>
          <w:ilvl w:val="0"/>
          <w:numId w:val="1006"/>
        </w:numPr>
      </w:pPr>
      <w:r>
        <w:t xml:space="preserve">Alternatives</w:t>
      </w:r>
    </w:p>
    <w:p>
      <w:pPr>
        <w:pStyle w:val="Compact"/>
        <w:numPr>
          <w:ilvl w:val="0"/>
          <w:numId w:val="1006"/>
        </w:numPr>
      </w:pPr>
      <w:r>
        <w:t xml:space="preserve">Trade-offs</w:t>
      </w:r>
    </w:p>
    <w:p>
      <w:pPr>
        <w:pStyle w:val="Compact"/>
        <w:numPr>
          <w:ilvl w:val="0"/>
          <w:numId w:val="1006"/>
        </w:numPr>
      </w:pPr>
      <w:r>
        <w:t xml:space="preserve">Handling unknowns</w:t>
      </w:r>
    </w:p>
    <w:p>
      <w:pPr>
        <w:pStyle w:val="Compact"/>
        <w:numPr>
          <w:ilvl w:val="0"/>
          <w:numId w:val="1006"/>
        </w:numPr>
      </w:pPr>
      <w:r>
        <w:t xml:space="preserve">Avoiding memorized scripts</w:t>
      </w:r>
    </w:p>
    <w:bookmarkEnd w:id="26"/>
    <w:bookmarkStart w:id="27" w:name="document-7-mock-interview-playbook"/>
    <w:p>
      <w:pPr>
        <w:pStyle w:val="Heading2"/>
      </w:pPr>
      <w:r>
        <w:t xml:space="preserve">Document 7 — Mock Interview Playbook</w:t>
      </w:r>
    </w:p>
    <w:p>
      <w:pPr>
        <w:pStyle w:val="FirstParagraph"/>
      </w:pPr>
      <w:r>
        <w:t xml:space="preserve">Use this after completing the preparation documents.</w:t>
      </w:r>
    </w:p>
    <w:p>
      <w:pPr>
        <w:pStyle w:val="BodyText"/>
      </w:pPr>
      <w:r>
        <w:t xml:space="preserve">Run:</w:t>
      </w:r>
    </w:p>
    <w:p>
      <w:pPr>
        <w:pStyle w:val="Compact"/>
        <w:numPr>
          <w:ilvl w:val="0"/>
          <w:numId w:val="1007"/>
        </w:numPr>
      </w:pPr>
      <w:r>
        <w:t xml:space="preserve">Fundamentals round</w:t>
      </w:r>
    </w:p>
    <w:p>
      <w:pPr>
        <w:pStyle w:val="Compact"/>
        <w:numPr>
          <w:ilvl w:val="0"/>
          <w:numId w:val="1007"/>
        </w:numPr>
      </w:pPr>
      <w:r>
        <w:t xml:space="preserve">Coding round</w:t>
      </w:r>
    </w:p>
    <w:p>
      <w:pPr>
        <w:pStyle w:val="Compact"/>
        <w:numPr>
          <w:ilvl w:val="0"/>
          <w:numId w:val="1007"/>
        </w:numPr>
      </w:pPr>
      <w:r>
        <w:t xml:space="preserve">Project round</w:t>
      </w:r>
    </w:p>
    <w:p>
      <w:pPr>
        <w:pStyle w:val="Compact"/>
        <w:numPr>
          <w:ilvl w:val="0"/>
          <w:numId w:val="1007"/>
        </w:numPr>
      </w:pPr>
      <w:r>
        <w:t xml:space="preserve">Deep technical round</w:t>
      </w:r>
    </w:p>
    <w:p>
      <w:pPr>
        <w:pStyle w:val="FirstParagraph"/>
      </w:pPr>
      <w:r>
        <w:t xml:space="preserve">Use repeated WHY questions to identify gaps.</w:t>
      </w:r>
    </w:p>
    <w:bookmarkEnd w:id="27"/>
    <w:bookmarkStart w:id="28" w:name="X0bc2d6df723d25149a1f5d4b43fae6f7cd8ef93"/>
    <w:p>
      <w:pPr>
        <w:pStyle w:val="Heading2"/>
      </w:pPr>
      <w:r>
        <w:t xml:space="preserve">Document 8 — Final Checklist &amp; Readiness Test</w:t>
      </w:r>
    </w:p>
    <w:p>
      <w:pPr>
        <w:pStyle w:val="FirstParagraph"/>
      </w:pPr>
      <w:r>
        <w:t xml:space="preserve">Use this immediately before interviews.</w:t>
      </w:r>
    </w:p>
    <w:p>
      <w:pPr>
        <w:pStyle w:val="BodyText"/>
      </w:pPr>
      <w:r>
        <w:t xml:space="preserve">Do not treat it as a reading document.</w:t>
      </w:r>
    </w:p>
    <w:p>
      <w:pPr>
        <w:pStyle w:val="BodyText"/>
      </w:pPr>
      <w:r>
        <w:t xml:space="preserve">Treat it as a</w:t>
      </w:r>
      <w:r>
        <w:t xml:space="preserve"> </w:t>
      </w:r>
      <w:r>
        <w:rPr>
          <w:b/>
          <w:bCs/>
        </w:rPr>
        <w:t xml:space="preserve">gate</w:t>
      </w:r>
      <w:r>
        <w:t xml:space="preserve">.</w:t>
      </w:r>
    </w:p>
    <w:p>
      <w:pPr>
        <w:pStyle w:val="BodyText"/>
      </w:pPr>
      <w:r>
        <w:t xml:space="preserve">Every unchecked item represents a preparation gap.</w:t>
      </w:r>
    </w:p>
    <w:bookmarkEnd w:id="28"/>
    <w:bookmarkStart w:id="37" w:name="recommended-preparation-sequence"/>
    <w:p>
      <w:pPr>
        <w:pStyle w:val="Heading2"/>
      </w:pPr>
      <w:r>
        <w:t xml:space="preserve">Recommended Preparation Sequence</w:t>
      </w:r>
    </w:p>
    <w:bookmarkStart w:id="29" w:name="phase-1-foundation"/>
    <w:p>
      <w:pPr>
        <w:pStyle w:val="Heading3"/>
      </w:pPr>
      <w:r>
        <w:t xml:space="preserve">Phase 1 — Foundation</w:t>
      </w:r>
    </w:p>
    <w:p>
      <w:pPr>
        <w:pStyle w:val="FirstParagraph"/>
      </w:pPr>
      <w:r>
        <w:t xml:space="preserve">Read Document 1.</w:t>
      </w:r>
    </w:p>
    <w:p>
      <w:pPr>
        <w:pStyle w:val="BodyText"/>
      </w:pPr>
      <w:r>
        <w:t xml:space="preserve">Understand what the interviewer is actually evaluating.</w:t>
      </w:r>
    </w:p>
    <w:bookmarkEnd w:id="29"/>
    <w:bookmarkStart w:id="30" w:name="phase-2-technical"/>
    <w:p>
      <w:pPr>
        <w:pStyle w:val="Heading3"/>
      </w:pPr>
      <w:r>
        <w:t xml:space="preserve">Phase 2 — Technical</w:t>
      </w:r>
    </w:p>
    <w:p>
      <w:pPr>
        <w:pStyle w:val="FirstParagraph"/>
      </w:pPr>
      <w:r>
        <w:t xml:space="preserve">Complete Document 2.</w:t>
      </w:r>
    </w:p>
    <w:p>
      <w:pPr>
        <w:pStyle w:val="BodyText"/>
      </w:pPr>
      <w:r>
        <w:t xml:space="preserve">Run and modify your code.</w:t>
      </w:r>
    </w:p>
    <w:bookmarkEnd w:id="30"/>
    <w:bookmarkStart w:id="31" w:name="phase-3-project"/>
    <w:p>
      <w:pPr>
        <w:pStyle w:val="Heading3"/>
      </w:pPr>
      <w:r>
        <w:t xml:space="preserve">Phase 3 — Project</w:t>
      </w:r>
    </w:p>
    <w:p>
      <w:pPr>
        <w:pStyle w:val="FirstParagraph"/>
      </w:pPr>
      <w:r>
        <w:t xml:space="preserve">Complete Document 3.</w:t>
      </w:r>
    </w:p>
    <w:p>
      <w:pPr>
        <w:pStyle w:val="BodyText"/>
      </w:pPr>
      <w:r>
        <w:t xml:space="preserve">Prepare your strongest project.</w:t>
      </w:r>
    </w:p>
    <w:bookmarkEnd w:id="31"/>
    <w:bookmarkStart w:id="32" w:name="phase-4-domain"/>
    <w:p>
      <w:pPr>
        <w:pStyle w:val="Heading3"/>
      </w:pPr>
      <w:r>
        <w:t xml:space="preserve">Phase 4 — Domain</w:t>
      </w:r>
    </w:p>
    <w:p>
      <w:pPr>
        <w:pStyle w:val="FirstParagraph"/>
      </w:pPr>
      <w:r>
        <w:t xml:space="preserve">Complete Document 4.</w:t>
      </w:r>
    </w:p>
    <w:p>
      <w:pPr>
        <w:pStyle w:val="BodyText"/>
      </w:pPr>
      <w:r>
        <w:t xml:space="preserve">Connect your project to your real domain/background.</w:t>
      </w:r>
    </w:p>
    <w:bookmarkEnd w:id="32"/>
    <w:bookmarkStart w:id="33" w:name="phase-5-credibility"/>
    <w:p>
      <w:pPr>
        <w:pStyle w:val="Heading3"/>
      </w:pPr>
      <w:r>
        <w:t xml:space="preserve">Phase 5 — Credibility</w:t>
      </w:r>
    </w:p>
    <w:p>
      <w:pPr>
        <w:pStyle w:val="FirstParagraph"/>
      </w:pPr>
      <w:r>
        <w:t xml:space="preserve">Complete Document 5.</w:t>
      </w:r>
    </w:p>
    <w:p>
      <w:pPr>
        <w:pStyle w:val="BodyText"/>
      </w:pPr>
      <w:r>
        <w:t xml:space="preserve">Clean your CV and GitHub.</w:t>
      </w:r>
    </w:p>
    <w:bookmarkEnd w:id="33"/>
    <w:bookmarkStart w:id="34" w:name="phase-6-communication"/>
    <w:p>
      <w:pPr>
        <w:pStyle w:val="Heading3"/>
      </w:pPr>
      <w:r>
        <w:t xml:space="preserve">Phase 6 — Communication</w:t>
      </w:r>
    </w:p>
    <w:p>
      <w:pPr>
        <w:pStyle w:val="FirstParagraph"/>
      </w:pPr>
      <w:r>
        <w:t xml:space="preserve">Complete Document 6.</w:t>
      </w:r>
    </w:p>
    <w:p>
      <w:pPr>
        <w:pStyle w:val="BodyText"/>
      </w:pPr>
      <w:r>
        <w:t xml:space="preserve">Practice 30-second, 2-minute and 5-minute answers.</w:t>
      </w:r>
    </w:p>
    <w:bookmarkEnd w:id="34"/>
    <w:bookmarkStart w:id="35" w:name="phase-7-mock"/>
    <w:p>
      <w:pPr>
        <w:pStyle w:val="Heading3"/>
      </w:pPr>
      <w:r>
        <w:t xml:space="preserve">Phase 7 — Mock</w:t>
      </w:r>
    </w:p>
    <w:p>
      <w:pPr>
        <w:pStyle w:val="FirstParagraph"/>
      </w:pPr>
      <w:r>
        <w:t xml:space="preserve">Complete Document 7.</w:t>
      </w:r>
    </w:p>
    <w:p>
      <w:pPr>
        <w:pStyle w:val="BodyText"/>
      </w:pPr>
      <w:r>
        <w:t xml:space="preserve">Identify weak areas.</w:t>
      </w:r>
    </w:p>
    <w:bookmarkEnd w:id="35"/>
    <w:bookmarkStart w:id="36" w:name="phase-8-final-gate"/>
    <w:p>
      <w:pPr>
        <w:pStyle w:val="Heading3"/>
      </w:pPr>
      <w:r>
        <w:t xml:space="preserve">Phase 8 — Final Gate</w:t>
      </w:r>
    </w:p>
    <w:p>
      <w:pPr>
        <w:pStyle w:val="FirstParagraph"/>
      </w:pPr>
      <w:r>
        <w:t xml:space="preserve">Complete Document 8.</w:t>
      </w:r>
    </w:p>
    <w:p>
      <w:pPr>
        <w:pStyle w:val="BodyText"/>
      </w:pPr>
      <w:r>
        <w:t xml:space="preserve">Only then start actively interviewing.</w:t>
      </w:r>
    </w:p>
    <w:bookmarkEnd w:id="36"/>
    <w:bookmarkEnd w:id="37"/>
    <w:bookmarkStart w:id="38" w:name="important-principle"/>
    <w:p>
      <w:pPr>
        <w:pStyle w:val="Heading2"/>
      </w:pPr>
      <w:r>
        <w:t xml:space="preserve">Important Principle</w:t>
      </w:r>
    </w:p>
    <w:p>
      <w:pPr>
        <w:pStyle w:val="FirstParagraph"/>
      </w:pPr>
      <w:r>
        <w:t xml:space="preserve">These documents are complementary.</w:t>
      </w:r>
    </w:p>
    <w:p>
      <w:pPr>
        <w:pStyle w:val="BodyText"/>
      </w:pPr>
      <w:r>
        <w:t xml:space="preserve">Do not prepare only the domain project.</w:t>
      </w:r>
    </w:p>
    <w:p>
      <w:pPr>
        <w:pStyle w:val="BodyText"/>
      </w:pPr>
      <w:r>
        <w:t xml:space="preserve">Do not prepare only technical definitions.</w:t>
      </w:r>
    </w:p>
    <w:p>
      <w:pPr>
        <w:pStyle w:val="BodyText"/>
      </w:pPr>
      <w:r>
        <w:t xml:space="preserve">Do not prepare only the CV.</w:t>
      </w:r>
    </w:p>
    <w:p>
      <w:pPr>
        <w:pStyle w:val="BodyText"/>
      </w:pPr>
      <w:r>
        <w:t xml:space="preserve">Interview readiness requires the complete chain:</w:t>
      </w:r>
    </w:p>
    <w:p>
      <w:pPr>
        <w:pStyle w:val="BodyText"/>
      </w:pPr>
      <w:r>
        <w:rPr>
          <w:b/>
          <w:bCs/>
        </w:rPr>
        <w:t xml:space="preserve">Know → Build → Explain → Justify → Relate → Defend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2026-09-26T04:54:59Z</dcterms:created>
  <dcterms:modified xsi:type="dcterms:W3CDTF">2026-09-26T04:54:59Z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