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2744"/>
          <w:sz w:val="56"/>
        </w:rPr>
        <w:t>SKILL SYNC AI</w:t>
      </w:r>
    </w:p>
    <w:p>
      <w:pPr>
        <w:spacing w:before="0" w:after="160"/>
      </w:pPr>
      <w:r>
        <w:rPr>
          <w:rFonts w:ascii="Calibri" w:hAnsi="Calibri"/>
          <w:b/>
          <w:color w:val="1E5AA8"/>
          <w:sz w:val="28"/>
        </w:rPr>
        <w:t>System Architecture, Algorithmic Methodology, Tech Stack &amp; Operational Specifications</w:t>
      </w:r>
    </w:p>
    <w:p>
      <w:pPr>
        <w:spacing w:before="0" w:after="280"/>
      </w:pPr>
      <w:r>
        <w:rPr>
          <w:rFonts w:ascii="Calibri" w:hAnsi="Calibri"/>
          <w:i/>
          <w:color w:val="475569"/>
          <w:sz w:val="22"/>
        </w:rPr>
        <w:t>Bridging Industry Demand and Workforce Skills — Enterprise TVET Platform Specification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F8FAFC"/>
            <w:tcMar>
              <w:top w:w="80" w:type="dxa"/>
              <w:bottom w:w="80" w:type="dxa"/>
              <w:left w:w="120" w:type="dxa"/>
              <w:right w:w="120" w:type="dxa"/>
            </w:tcMar>
          </w:tcPr>
          <w:p>
            <w:pPr>
              <w:spacing w:after="0" w:before="0"/>
            </w:pPr>
            <w:r>
              <w:rPr>
                <w:b/>
                <w:color w:val="0F2744"/>
                <w:sz w:val="18"/>
              </w:rPr>
              <w:t xml:space="preserve">Document Version: </w:t>
            </w:r>
            <w:r>
              <w:rPr>
                <w:color w:val="1E293B"/>
                <w:sz w:val="18"/>
              </w:rPr>
              <w:t>2.4 Enterprise Edition</w:t>
            </w:r>
          </w:p>
        </w:tc>
        <w:tc>
          <w:tcPr>
            <w:tcW w:type="dxa" w:w="3120"/>
            <w:shd w:fill="F8FAFC"/>
            <w:tcMar>
              <w:top w:w="80" w:type="dxa"/>
              <w:bottom w:w="80" w:type="dxa"/>
              <w:left w:w="120" w:type="dxa"/>
              <w:right w:w="120" w:type="dxa"/>
            </w:tcMar>
          </w:tcPr>
          <w:p>
            <w:pPr>
              <w:spacing w:after="0" w:before="0"/>
            </w:pPr>
            <w:r>
              <w:rPr>
                <w:b/>
                <w:color w:val="0F2744"/>
                <w:sz w:val="18"/>
              </w:rPr>
              <w:t xml:space="preserve">Target Platform: </w:t>
            </w:r>
            <w:r>
              <w:rPr>
                <w:color w:val="1E293B"/>
                <w:sz w:val="18"/>
              </w:rPr>
              <w:t>TVET &amp; State Labour-Market System</w:t>
            </w:r>
          </w:p>
        </w:tc>
        <w:tc>
          <w:tcPr>
            <w:tcW w:type="dxa" w:w="3120"/>
            <w:shd w:fill="F8FAFC"/>
            <w:tcMar>
              <w:top w:w="80" w:type="dxa"/>
              <w:bottom w:w="80" w:type="dxa"/>
              <w:left w:w="120" w:type="dxa"/>
              <w:right w:w="120" w:type="dxa"/>
            </w:tcMar>
          </w:tcPr>
          <w:p>
            <w:pPr>
              <w:spacing w:after="0" w:before="0"/>
            </w:pPr>
            <w:r>
              <w:rPr>
                <w:b/>
                <w:color w:val="0F2744"/>
                <w:sz w:val="18"/>
              </w:rPr>
              <w:t xml:space="preserve">Environment Mode: </w:t>
            </w:r>
            <w:r>
              <w:rPr>
                <w:color w:val="1E293B"/>
                <w:sz w:val="18"/>
              </w:rPr>
              <w:t>Dual Cloud / Offline Resilient</w:t>
            </w:r>
          </w:p>
        </w:tc>
      </w:tr>
      <w:tr>
        <w:tc>
          <w:tcPr>
            <w:tcW w:type="dxa" w:w="3120"/>
            <w:shd w:fill="F8FAFC"/>
            <w:tcMar>
              <w:top w:w="80" w:type="dxa"/>
              <w:bottom w:w="80" w:type="dxa"/>
              <w:left w:w="120" w:type="dxa"/>
              <w:right w:w="120" w:type="dxa"/>
            </w:tcMar>
          </w:tcPr>
          <w:p>
            <w:pPr>
              <w:spacing w:after="0" w:before="0"/>
            </w:pPr>
            <w:r>
              <w:rPr>
                <w:b/>
                <w:color w:val="0F2744"/>
                <w:sz w:val="18"/>
              </w:rPr>
              <w:t xml:space="preserve">Architecture Tier: </w:t>
            </w:r>
            <w:r>
              <w:rPr>
                <w:color w:val="1E293B"/>
                <w:sz w:val="18"/>
              </w:rPr>
              <w:t>Full-Stack Microservices &amp; BFF</w:t>
            </w:r>
          </w:p>
        </w:tc>
        <w:tc>
          <w:tcPr>
            <w:tcW w:type="dxa" w:w="3120"/>
            <w:shd w:fill="F8FAFC"/>
            <w:tcMar>
              <w:top w:w="80" w:type="dxa"/>
              <w:bottom w:w="80" w:type="dxa"/>
              <w:left w:w="120" w:type="dxa"/>
              <w:right w:w="120" w:type="dxa"/>
            </w:tcMar>
          </w:tcPr>
          <w:p>
            <w:pPr>
              <w:spacing w:after="0" w:before="0"/>
            </w:pPr>
            <w:r>
              <w:rPr>
                <w:b/>
                <w:color w:val="0F2744"/>
                <w:sz w:val="18"/>
              </w:rPr>
              <w:t xml:space="preserve">Automated Tests: </w:t>
            </w:r>
            <w:r>
              <w:rPr>
                <w:color w:val="1E293B"/>
                <w:sz w:val="18"/>
              </w:rPr>
              <w:t>516 Passing Test Cases</w:t>
            </w:r>
          </w:p>
        </w:tc>
        <w:tc>
          <w:tcPr>
            <w:tcW w:type="dxa" w:w="3120"/>
            <w:shd w:fill="F8FAFC"/>
            <w:tcMar>
              <w:top w:w="80" w:type="dxa"/>
              <w:bottom w:w="80" w:type="dxa"/>
              <w:left w:w="120" w:type="dxa"/>
              <w:right w:w="120" w:type="dxa"/>
            </w:tcMar>
          </w:tcPr>
          <w:p>
            <w:pPr>
              <w:spacing w:after="0" w:before="0"/>
            </w:pPr>
            <w:r>
              <w:rPr>
                <w:b/>
                <w:color w:val="0F2744"/>
                <w:sz w:val="18"/>
              </w:rPr>
              <w:t xml:space="preserve">Security Level: </w:t>
            </w:r>
            <w:r>
              <w:rPr>
                <w:color w:val="1E293B"/>
                <w:sz w:val="18"/>
              </w:rPr>
              <w:t>PII Scrubbed &amp; CSRF/Rate Protected</w:t>
            </w:r>
          </w:p>
        </w:tc>
      </w:tr>
    </w:tbl>
    <w:p>
      <w:pPr>
        <w:spacing w:after="240"/>
      </w:pPr>
    </w:p>
    <w:p>
      <w:pPr>
        <w:keepNext/>
        <w:spacing w:before="360" w:after="120"/>
      </w:pPr>
      <w:r>
        <w:rPr>
          <w:rFonts w:ascii="Calibri" w:hAnsi="Calibri"/>
          <w:b/>
          <w:color w:val="0F2744"/>
          <w:sz w:val="32"/>
        </w:rPr>
        <w:t>1. Executive Summary &amp; Architectural Philosophy</w:t>
      </w:r>
    </w:p>
    <w:p>
      <w:pPr>
        <w:spacing w:before="40" w:after="120" w:line="276" w:lineRule="auto"/>
      </w:pPr>
      <w:r>
        <w:t>Skill Sync AI is an enterprise-grade labor-market intelligence and workforce skill-alignment platform. Its primary objective is to translate dynamic, fast-evolving industrial hiring demand into deterministic, actionable interventions across vocational curricula, institutional capacity, faculty training, workshop machinery, and candidate career pathways.</w:t>
      </w:r>
    </w:p>
    <w:p>
      <w:pPr>
        <w:keepNext/>
        <w:spacing w:before="240" w:after="80"/>
      </w:pPr>
      <w:r>
        <w:rPr>
          <w:rFonts w:ascii="Calibri" w:hAnsi="Calibri"/>
          <w:b/>
          <w:color w:val="1E5AA8"/>
          <w:sz w:val="26"/>
        </w:rPr>
        <w:t>Core Architectural Tenets</w:t>
      </w:r>
    </w:p>
    <w:p>
      <w:pPr>
        <w:pStyle w:val="ListBullet"/>
        <w:spacing w:before="40" w:after="60" w:line="276" w:lineRule="auto"/>
      </w:pPr>
      <w:r>
        <w:rPr>
          <w:b/>
          <w:color w:val="0F2744"/>
        </w:rPr>
        <w:t xml:space="preserve">Deterministic Core Analytics: </w:t>
      </w:r>
      <w:r>
        <w:t>Critical educational policy, public budget allocations, and curriculum audits rely on pure, reproducible mathematical formulas rather than stochastic LLM outputs.</w:t>
      </w:r>
    </w:p>
    <w:p>
      <w:pPr>
        <w:pStyle w:val="ListBullet"/>
        <w:spacing w:before="40" w:after="60" w:line="276" w:lineRule="auto"/>
      </w:pPr>
      <w:r>
        <w:rPr>
          <w:b/>
          <w:color w:val="0F2744"/>
        </w:rPr>
        <w:t xml:space="preserve">Defensive AI Integration: </w:t>
      </w:r>
      <w:r>
        <w:t>Large Language Models (LLMs) are restricted to unstructured-to-structured parsing tasks (job postings to competencies) with strict PII scrubbing, prompt injection containment, schema validation, and verbatim evidence grounding.</w:t>
      </w:r>
    </w:p>
    <w:p>
      <w:pPr>
        <w:pStyle w:val="ListBullet"/>
        <w:spacing w:before="40" w:after="60" w:line="276" w:lineRule="auto"/>
      </w:pPr>
      <w:r>
        <w:rPr>
          <w:b/>
          <w:color w:val="0F2744"/>
        </w:rPr>
        <w:t xml:space="preserve">Relational Topological Integrity: </w:t>
      </w:r>
      <w:r>
        <w:t>The entire vocational ecosystem is mapped as an interconnected relational graph (rendered via React Flow) linking employers, job roles, skills, courses, modules, instructors, training centers, and geographic districts without hardcoding.</w:t>
      </w:r>
    </w:p>
    <w:p>
      <w:pPr>
        <w:pStyle w:val="ListBullet"/>
        <w:spacing w:before="40" w:after="60" w:line="276" w:lineRule="auto"/>
      </w:pPr>
      <w:r>
        <w:rPr>
          <w:b/>
          <w:color w:val="0F2744"/>
        </w:rPr>
        <w:t xml:space="preserve">Resilient Dual-Mode Operation: </w:t>
      </w:r>
      <w:r>
        <w:t>Built with high availability: seamlessly connects to Supabase PostgreSQL and cloud AI inference (Groq Llama-3) when configured, while operating fully offline with zero 500 errors in verified local demonstration mode.</w:t>
      </w:r>
    </w:p>
    <w:p>
      <w:pPr>
        <w:keepNext/>
        <w:spacing w:before="360" w:after="120"/>
      </w:pPr>
      <w:r>
        <w:rPr>
          <w:rFonts w:ascii="Calibri" w:hAnsi="Calibri"/>
          <w:b/>
          <w:color w:val="0F2744"/>
          <w:sz w:val="32"/>
        </w:rPr>
        <w:t>2. High-Level System Architecture</w:t>
      </w:r>
    </w:p>
    <w:p>
      <w:pPr>
        <w:spacing w:before="40" w:after="120" w:line="276" w:lineRule="auto"/>
      </w:pPr>
      <w:r>
        <w:t>Skill Sync AI employs a layered architectural model separating browser-rendered interactive visualizers, secure Backend-For-Frontend (BFF) API routing, defensive AI intelligence services, deterministic analytical engines, and resilient database persistence tiers.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4" w:space="0" w:color="1E5AA8"/>
              <w:bottom w:val="none"/>
              <w:right w:val="none"/>
            </w:tcBorders>
          </w:tcPr>
          <w:p>
            <w:pPr>
              <w:spacing w:before="40" w:after="40" w:line="276" w:lineRule="auto"/>
            </w:pPr>
            <w:r>
              <w:rPr>
                <w:b/>
                <w:color w:val="0F2744"/>
                <w:sz w:val="21"/>
              </w:rPr>
              <w:t>Layered System Architecture Diagram</w:t>
              <w:br/>
            </w:r>
          </w:p>
          <w:p>
            <w:pPr>
              <w:spacing w:before="40" w:after="40" w:line="276" w:lineRule="auto"/>
            </w:pPr>
            <w:r>
              <w:rPr>
                <w:rFonts w:ascii="Calibri" w:hAnsi="Calibri"/>
                <w:color w:val="334155"/>
                <w:sz w:val="19"/>
              </w:rPr>
              <w:t>CLIENT TIER (BROWSER)</w:t>
            </w:r>
          </w:p>
          <w:p>
            <w:pPr>
              <w:spacing w:before="40" w:after="40" w:line="276" w:lineRule="auto"/>
            </w:pPr>
            <w:r>
              <w:rPr>
                <w:rFonts w:ascii="Calibri" w:hAnsi="Calibri"/>
                <w:color w:val="334155"/>
                <w:sz w:val="19"/>
              </w:rPr>
              <w:t xml:space="preserve">  • Next.js 14 App Router (React 18 Server &amp; Client Components)</w:t>
            </w:r>
          </w:p>
          <w:p>
            <w:pPr>
              <w:spacing w:before="40" w:after="40" w:line="276" w:lineRule="auto"/>
            </w:pPr>
            <w:r>
              <w:rPr>
                <w:rFonts w:ascii="Calibri" w:hAnsi="Calibri"/>
                <w:color w:val="334155"/>
                <w:sz w:val="19"/>
              </w:rPr>
              <w:t xml:space="preserve">  • React Flow (@xyflow/react) Virtualized Graph Visualizer</w:t>
            </w:r>
          </w:p>
          <w:p>
            <w:pPr>
              <w:spacing w:before="40" w:after="40" w:line="276" w:lineRule="auto"/>
            </w:pPr>
            <w:r>
              <w:rPr>
                <w:rFonts w:ascii="Calibri" w:hAnsi="Calibri"/>
                <w:color w:val="334155"/>
                <w:sz w:val="19"/>
              </w:rPr>
              <w:t xml:space="preserve">  • Responsive Tailwind UI &amp; Radix UI Headless Primitives</w:t>
            </w:r>
          </w:p>
          <w:p>
            <w:pPr>
              <w:spacing w:before="40" w:after="40" w:line="276" w:lineRule="auto"/>
            </w:pPr>
            <w:r>
              <w:rPr>
                <w:rFonts w:ascii="Calibri" w:hAnsi="Calibri"/>
                <w:color w:val="334155"/>
                <w:sz w:val="19"/>
              </w:rPr>
            </w:r>
          </w:p>
          <w:p>
            <w:pPr>
              <w:spacing w:before="40" w:after="40" w:line="276" w:lineRule="auto"/>
            </w:pPr>
            <w:r>
              <w:rPr>
                <w:rFonts w:ascii="Calibri" w:hAnsi="Calibri"/>
                <w:color w:val="334155"/>
                <w:sz w:val="19"/>
              </w:rPr>
              <w:t>BACKEND-FOR-FRONTEND (BFF) / API GATEWAY TIER</w:t>
            </w:r>
          </w:p>
          <w:p>
            <w:pPr>
              <w:spacing w:before="40" w:after="40" w:line="276" w:lineRule="auto"/>
            </w:pPr>
            <w:r>
              <w:rPr>
                <w:rFonts w:ascii="Calibri" w:hAnsi="Calibri"/>
                <w:color w:val="334155"/>
                <w:sz w:val="19"/>
              </w:rPr>
              <w:t xml:space="preserve">  • Rate Limiting &amp; Token Bucket IP Throttle (20 req/min)</w:t>
            </w:r>
          </w:p>
          <w:p>
            <w:pPr>
              <w:spacing w:before="40" w:after="40" w:line="276" w:lineRule="auto"/>
            </w:pPr>
            <w:r>
              <w:rPr>
                <w:rFonts w:ascii="Calibri" w:hAnsi="Calibri"/>
                <w:color w:val="334155"/>
                <w:sz w:val="19"/>
              </w:rPr>
              <w:t xml:space="preserve">  • Origin/CSRF Verification &amp; Path Traversal Sanitization</w:t>
            </w:r>
          </w:p>
          <w:p>
            <w:pPr>
              <w:spacing w:before="40" w:after="40" w:line="276" w:lineRule="auto"/>
            </w:pPr>
            <w:r>
              <w:rPr>
                <w:rFonts w:ascii="Calibri" w:hAnsi="Calibri"/>
                <w:color w:val="334155"/>
                <w:sz w:val="19"/>
              </w:rPr>
              <w:t xml:space="preserve">  • Server Route Handlers: /api/ai/extract, /api/curriculum/xray, /api/simulator,</w:t>
            </w:r>
          </w:p>
          <w:p>
            <w:pPr>
              <w:spacing w:before="40" w:after="40" w:line="276" w:lineRule="auto"/>
            </w:pPr>
            <w:r>
              <w:rPr>
                <w:rFonts w:ascii="Calibri" w:hAnsi="Calibri"/>
                <w:color w:val="334155"/>
                <w:sz w:val="19"/>
              </w:rPr>
              <w:t xml:space="preserve">    /api/analytics/radar, /api/skill-gaps, /api/career-path, /api/graph, /api/health</w:t>
            </w:r>
          </w:p>
          <w:p>
            <w:pPr>
              <w:spacing w:before="40" w:after="40" w:line="276" w:lineRule="auto"/>
            </w:pPr>
            <w:r>
              <w:rPr>
                <w:rFonts w:ascii="Calibri" w:hAnsi="Calibri"/>
                <w:color w:val="334155"/>
                <w:sz w:val="19"/>
              </w:rPr>
            </w:r>
          </w:p>
          <w:p>
            <w:pPr>
              <w:spacing w:before="40" w:after="40" w:line="276" w:lineRule="auto"/>
            </w:pPr>
            <w:r>
              <w:rPr>
                <w:rFonts w:ascii="Calibri" w:hAnsi="Calibri"/>
                <w:color w:val="334155"/>
                <w:sz w:val="19"/>
              </w:rPr>
              <w:t>AI SKILL INTELLIGENCE SERVICE</w:t>
            </w:r>
          </w:p>
          <w:p>
            <w:pPr>
              <w:spacing w:before="40" w:after="40" w:line="276" w:lineRule="auto"/>
            </w:pPr>
            <w:r>
              <w:rPr>
                <w:rFonts w:ascii="Calibri" w:hAnsi="Calibri"/>
                <w:color w:val="334155"/>
                <w:sz w:val="19"/>
              </w:rPr>
              <w:t xml:space="preserve">  • PII Sanitizer (Scrubs emails, phone numbers, URLs)</w:t>
            </w:r>
          </w:p>
          <w:p>
            <w:pPr>
              <w:spacing w:before="40" w:after="40" w:line="276" w:lineRule="auto"/>
            </w:pPr>
            <w:r>
              <w:rPr>
                <w:rFonts w:ascii="Calibri" w:hAnsi="Calibri"/>
                <w:color w:val="334155"/>
                <w:sz w:val="19"/>
              </w:rPr>
              <w:t xml:space="preserve">  • Prompt Injection Shield (&lt;untrusted_document_content&gt; encapsulation)</w:t>
            </w:r>
          </w:p>
          <w:p>
            <w:pPr>
              <w:spacing w:before="40" w:after="40" w:line="276" w:lineRule="auto"/>
            </w:pPr>
            <w:r>
              <w:rPr>
                <w:rFonts w:ascii="Calibri" w:hAnsi="Calibri"/>
                <w:color w:val="334155"/>
                <w:sz w:val="19"/>
              </w:rPr>
              <w:t xml:space="preserve">  • Canonical Taxonomy Deduplication &amp; Alias Normalization</w:t>
            </w:r>
          </w:p>
          <w:p>
            <w:pPr>
              <w:spacing w:before="40" w:after="40" w:line="276" w:lineRule="auto"/>
            </w:pPr>
            <w:r>
              <w:rPr>
                <w:rFonts w:ascii="Calibri" w:hAnsi="Calibri"/>
                <w:color w:val="334155"/>
                <w:sz w:val="19"/>
              </w:rPr>
              <w:t xml:space="preserve">  • Groq Llama-3.3-70b-versatile (JSON Mode) OR Deterministic Heuristic Provider</w:t>
            </w:r>
          </w:p>
          <w:p>
            <w:pPr>
              <w:spacing w:before="40" w:after="40" w:line="276" w:lineRule="auto"/>
            </w:pPr>
            <w:r>
              <w:rPr>
                <w:rFonts w:ascii="Calibri" w:hAnsi="Calibri"/>
                <w:color w:val="334155"/>
                <w:sz w:val="19"/>
              </w:rPr>
              <w:t xml:space="preserve">  • Verbatim Evidence Grounding Verification</w:t>
            </w:r>
          </w:p>
          <w:p>
            <w:pPr>
              <w:spacing w:before="40" w:after="40" w:line="276" w:lineRule="auto"/>
            </w:pPr>
            <w:r>
              <w:rPr>
                <w:rFonts w:ascii="Calibri" w:hAnsi="Calibri"/>
                <w:color w:val="334155"/>
                <w:sz w:val="19"/>
              </w:rPr>
            </w:r>
          </w:p>
          <w:p>
            <w:pPr>
              <w:spacing w:before="40" w:after="40" w:line="276" w:lineRule="auto"/>
            </w:pPr>
            <w:r>
              <w:rPr>
                <w:rFonts w:ascii="Calibri" w:hAnsi="Calibri"/>
                <w:color w:val="334155"/>
                <w:sz w:val="19"/>
              </w:rPr>
              <w:t>ANALYTICS &amp; SIMULATION ENGINE</w:t>
            </w:r>
          </w:p>
          <w:p>
            <w:pPr>
              <w:spacing w:before="40" w:after="40" w:line="276" w:lineRule="auto"/>
            </w:pPr>
            <w:r>
              <w:rPr>
                <w:rFonts w:ascii="Calibri" w:hAnsi="Calibri"/>
                <w:color w:val="334155"/>
                <w:sz w:val="19"/>
              </w:rPr>
              <w:t xml:space="preserve">  • Vacancy-Weighted Skill Velocity &amp; Trajectory Models</w:t>
            </w:r>
          </w:p>
          <w:p>
            <w:pPr>
              <w:spacing w:before="40" w:after="40" w:line="276" w:lineRule="auto"/>
            </w:pPr>
            <w:r>
              <w:rPr>
                <w:rFonts w:ascii="Calibri" w:hAnsi="Calibri"/>
                <w:color w:val="334155"/>
                <w:sz w:val="19"/>
              </w:rPr>
              <w:t xml:space="preserve">  • Curriculum Alignment Scoring &amp; Obsolete Instructional Hour Audits</w:t>
            </w:r>
          </w:p>
          <w:p>
            <w:pPr>
              <w:spacing w:before="40" w:after="40" w:line="276" w:lineRule="auto"/>
            </w:pPr>
            <w:r>
              <w:rPr>
                <w:rFonts w:ascii="Calibri" w:hAnsi="Calibri"/>
                <w:color w:val="334155"/>
                <w:sz w:val="19"/>
              </w:rPr>
              <w:t xml:space="preserve">  • What-If Policy Simulation Matrix (Budget, Seat Shifts, TVET ROI)</w:t>
            </w:r>
          </w:p>
          <w:p>
            <w:pPr>
              <w:spacing w:before="40" w:after="40" w:line="276" w:lineRule="auto"/>
            </w:pPr>
            <w:r>
              <w:rPr>
                <w:rFonts w:ascii="Calibri" w:hAnsi="Calibri"/>
                <w:color w:val="334155"/>
                <w:sz w:val="19"/>
              </w:rPr>
              <w:t xml:space="preserve">  • Employer Validation Consensus &amp; Tamper-Evident Audit Logging</w:t>
            </w:r>
          </w:p>
          <w:p>
            <w:pPr>
              <w:spacing w:before="40" w:after="40" w:line="276" w:lineRule="auto"/>
            </w:pPr>
            <w:r>
              <w:rPr>
                <w:rFonts w:ascii="Calibri" w:hAnsi="Calibri"/>
                <w:color w:val="334155"/>
                <w:sz w:val="19"/>
              </w:rPr>
            </w:r>
          </w:p>
          <w:p>
            <w:pPr>
              <w:spacing w:before="40" w:after="40" w:line="276" w:lineRule="auto"/>
            </w:pPr>
            <w:r>
              <w:rPr>
                <w:rFonts w:ascii="Calibri" w:hAnsi="Calibri"/>
                <w:color w:val="334155"/>
                <w:sz w:val="19"/>
              </w:rPr>
              <w:t>PERSISTENCE &amp; REPOSITORY TIER</w:t>
            </w:r>
          </w:p>
          <w:p>
            <w:pPr>
              <w:spacing w:before="40" w:after="40" w:line="276" w:lineRule="auto"/>
            </w:pPr>
            <w:r>
              <w:rPr>
                <w:rFonts w:ascii="Calibri" w:hAnsi="Calibri"/>
                <w:color w:val="334155"/>
                <w:sz w:val="19"/>
              </w:rPr>
              <w:t xml:space="preserve">  • Primary Live: Supabase PostgreSQL 15 (20 Relational Tables, RLS Active)</w:t>
            </w:r>
          </w:p>
          <w:p>
            <w:pPr>
              <w:spacing w:before="40" w:after="40" w:line="276" w:lineRule="auto"/>
            </w:pPr>
            <w:r>
              <w:rPr>
                <w:rFonts w:ascii="Calibri" w:hAnsi="Calibri"/>
                <w:color w:val="334155"/>
                <w:sz w:val="19"/>
              </w:rPr>
              <w:t xml:space="preserve">  • Offline Fallback: Verified Demonstration Repository (Indexed JSON/CSV Data)</w:t>
            </w:r>
          </w:p>
        </w:tc>
      </w:tr>
    </w:tbl>
    <w:p>
      <w:pPr>
        <w:spacing w:after="80"/>
      </w:pPr>
    </w:p>
    <w:p>
      <w:pPr>
        <w:keepNext/>
        <w:spacing w:before="360" w:after="120"/>
      </w:pPr>
      <w:r>
        <w:rPr>
          <w:rFonts w:ascii="Calibri" w:hAnsi="Calibri"/>
          <w:b/>
          <w:color w:val="0F2744"/>
          <w:sz w:val="32"/>
        </w:rPr>
        <w:t>3. Technology Stack Specification</w:t>
      </w:r>
    </w:p>
    <w:p>
      <w:pPr>
        <w:spacing w:before="40" w:after="120" w:line="276" w:lineRule="auto"/>
      </w:pPr>
      <w:r>
        <w:t>The platform is engineered using modern, production-grade open-source and enterprise technologies: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1872"/>
            <w:shd w:fill="0F2744"/>
            <w:tcMar>
              <w:top w:w="120" w:type="dxa"/>
              <w:bottom w:w="120" w:type="dxa"/>
              <w:left w:w="100" w:type="dxa"/>
              <w:right w:w="100" w:type="dxa"/>
            </w:tcMar>
          </w:tcPr>
          <w:p>
            <w:r>
              <w:rPr>
                <w:b/>
                <w:color w:val="FFFFFF"/>
                <w:sz w:val="19"/>
              </w:rPr>
              <w:t>Tier / Layer</w:t>
            </w:r>
          </w:p>
        </w:tc>
        <w:tc>
          <w:tcPr>
            <w:tcW w:type="dxa" w:w="2160"/>
            <w:shd w:fill="0F2744"/>
            <w:tcMar>
              <w:top w:w="120" w:type="dxa"/>
              <w:bottom w:w="120" w:type="dxa"/>
              <w:left w:w="100" w:type="dxa"/>
              <w:right w:w="100" w:type="dxa"/>
            </w:tcMar>
          </w:tcPr>
          <w:p>
            <w:r>
              <w:rPr>
                <w:b/>
                <w:color w:val="FFFFFF"/>
                <w:sz w:val="19"/>
              </w:rPr>
              <w:t>Technology</w:t>
            </w:r>
          </w:p>
        </w:tc>
        <w:tc>
          <w:tcPr>
            <w:tcW w:type="dxa" w:w="1296"/>
            <w:shd w:fill="0F2744"/>
            <w:tcMar>
              <w:top w:w="120" w:type="dxa"/>
              <w:bottom w:w="120" w:type="dxa"/>
              <w:left w:w="100" w:type="dxa"/>
              <w:right w:w="100" w:type="dxa"/>
            </w:tcMar>
          </w:tcPr>
          <w:p>
            <w:r>
              <w:rPr>
                <w:b/>
                <w:color w:val="FFFFFF"/>
                <w:sz w:val="19"/>
              </w:rPr>
              <w:t>Version</w:t>
            </w:r>
          </w:p>
        </w:tc>
        <w:tc>
          <w:tcPr>
            <w:tcW w:type="dxa" w:w="4032"/>
            <w:shd w:fill="0F2744"/>
            <w:tcMar>
              <w:top w:w="120" w:type="dxa"/>
              <w:bottom w:w="120" w:type="dxa"/>
              <w:left w:w="100" w:type="dxa"/>
              <w:right w:w="100" w:type="dxa"/>
            </w:tcMar>
          </w:tcPr>
          <w:p>
            <w:r>
              <w:rPr>
                <w:b/>
                <w:color w:val="FFFFFF"/>
                <w:sz w:val="19"/>
              </w:rPr>
              <w:t>Purpose &amp; Architectural Rationale</w:t>
            </w:r>
          </w:p>
        </w:tc>
      </w:tr>
      <w:tr>
        <w:tc>
          <w:tcPr>
            <w:tcW w:type="dxa" w:w="1872"/>
            <w:shd w:fill="FFFFFF"/>
            <w:tcMar>
              <w:top w:w="80" w:type="dxa"/>
              <w:bottom w:w="80" w:type="dxa"/>
              <w:left w:w="100" w:type="dxa"/>
              <w:right w:w="100" w:type="dxa"/>
            </w:tcMar>
          </w:tcPr>
          <w:p>
            <w:r>
              <w:rPr>
                <w:b/>
                <w:color w:val="0F2744"/>
                <w:sz w:val="18"/>
              </w:rPr>
              <w:t>Frontend Framework</w:t>
            </w:r>
          </w:p>
        </w:tc>
        <w:tc>
          <w:tcPr>
            <w:tcW w:type="dxa" w:w="2160"/>
            <w:shd w:fill="FFFFFF"/>
            <w:tcMar>
              <w:top w:w="80" w:type="dxa"/>
              <w:bottom w:w="80" w:type="dxa"/>
              <w:left w:w="100" w:type="dxa"/>
              <w:right w:w="100" w:type="dxa"/>
            </w:tcMar>
          </w:tcPr>
          <w:p>
            <w:r>
              <w:rPr>
                <w:sz w:val="18"/>
              </w:rPr>
              <w:t>Next.js (App Router)</w:t>
            </w:r>
          </w:p>
        </w:tc>
        <w:tc>
          <w:tcPr>
            <w:tcW w:type="dxa" w:w="1296"/>
            <w:shd w:fill="FFFFFF"/>
            <w:tcMar>
              <w:top w:w="80" w:type="dxa"/>
              <w:bottom w:w="80" w:type="dxa"/>
              <w:left w:w="100" w:type="dxa"/>
              <w:right w:w="100" w:type="dxa"/>
            </w:tcMar>
          </w:tcPr>
          <w:p>
            <w:r>
              <w:rPr>
                <w:sz w:val="18"/>
              </w:rPr>
              <w:t>14.2.15</w:t>
            </w:r>
          </w:p>
        </w:tc>
        <w:tc>
          <w:tcPr>
            <w:tcW w:type="dxa" w:w="4032"/>
            <w:shd w:fill="FFFFFF"/>
            <w:tcMar>
              <w:top w:w="80" w:type="dxa"/>
              <w:bottom w:w="80" w:type="dxa"/>
              <w:left w:w="100" w:type="dxa"/>
              <w:right w:w="100" w:type="dxa"/>
            </w:tcMar>
          </w:tcPr>
          <w:p>
            <w:r>
              <w:rPr>
                <w:sz w:val="18"/>
              </w:rPr>
              <w:t>Hybrid Server/Client rendering, optimized code-splitting, streaming SSR, and secure BFF route handlers.</w:t>
            </w:r>
          </w:p>
        </w:tc>
      </w:tr>
      <w:tr>
        <w:tc>
          <w:tcPr>
            <w:tcW w:type="dxa" w:w="1872"/>
            <w:shd w:fill="F8FAFC"/>
            <w:tcMar>
              <w:top w:w="80" w:type="dxa"/>
              <w:bottom w:w="80" w:type="dxa"/>
              <w:left w:w="100" w:type="dxa"/>
              <w:right w:w="100" w:type="dxa"/>
            </w:tcMar>
          </w:tcPr>
          <w:p>
            <w:r>
              <w:rPr>
                <w:b/>
                <w:color w:val="0F2744"/>
                <w:sz w:val="18"/>
              </w:rPr>
              <w:t>Programming Language</w:t>
            </w:r>
          </w:p>
        </w:tc>
        <w:tc>
          <w:tcPr>
            <w:tcW w:type="dxa" w:w="2160"/>
            <w:shd w:fill="F8FAFC"/>
            <w:tcMar>
              <w:top w:w="80" w:type="dxa"/>
              <w:bottom w:w="80" w:type="dxa"/>
              <w:left w:w="100" w:type="dxa"/>
              <w:right w:w="100" w:type="dxa"/>
            </w:tcMar>
          </w:tcPr>
          <w:p>
            <w:r>
              <w:rPr>
                <w:sz w:val="18"/>
              </w:rPr>
              <w:t>TypeScript</w:t>
            </w:r>
          </w:p>
        </w:tc>
        <w:tc>
          <w:tcPr>
            <w:tcW w:type="dxa" w:w="1296"/>
            <w:shd w:fill="F8FAFC"/>
            <w:tcMar>
              <w:top w:w="80" w:type="dxa"/>
              <w:bottom w:w="80" w:type="dxa"/>
              <w:left w:w="100" w:type="dxa"/>
              <w:right w:w="100" w:type="dxa"/>
            </w:tcMar>
          </w:tcPr>
          <w:p>
            <w:r>
              <w:rPr>
                <w:sz w:val="18"/>
              </w:rPr>
              <w:t>5.x</w:t>
            </w:r>
          </w:p>
        </w:tc>
        <w:tc>
          <w:tcPr>
            <w:tcW w:type="dxa" w:w="4032"/>
            <w:shd w:fill="F8FAFC"/>
            <w:tcMar>
              <w:top w:w="80" w:type="dxa"/>
              <w:bottom w:w="80" w:type="dxa"/>
              <w:left w:w="100" w:type="dxa"/>
              <w:right w:w="100" w:type="dxa"/>
            </w:tcMar>
          </w:tcPr>
          <w:p>
            <w:r>
              <w:rPr>
                <w:sz w:val="18"/>
              </w:rPr>
              <w:t>Strict type safety across business logic, API contracts, Zod schemas, and relational database interfaces.</w:t>
            </w:r>
          </w:p>
        </w:tc>
      </w:tr>
      <w:tr>
        <w:tc>
          <w:tcPr>
            <w:tcW w:type="dxa" w:w="1872"/>
            <w:shd w:fill="FFFFFF"/>
            <w:tcMar>
              <w:top w:w="80" w:type="dxa"/>
              <w:bottom w:w="80" w:type="dxa"/>
              <w:left w:w="100" w:type="dxa"/>
              <w:right w:w="100" w:type="dxa"/>
            </w:tcMar>
          </w:tcPr>
          <w:p>
            <w:r>
              <w:rPr>
                <w:b/>
                <w:color w:val="0F2744"/>
                <w:sz w:val="18"/>
              </w:rPr>
              <w:t>UI &amp; Styling</w:t>
            </w:r>
          </w:p>
        </w:tc>
        <w:tc>
          <w:tcPr>
            <w:tcW w:type="dxa" w:w="2160"/>
            <w:shd w:fill="FFFFFF"/>
            <w:tcMar>
              <w:top w:w="80" w:type="dxa"/>
              <w:bottom w:w="80" w:type="dxa"/>
              <w:left w:w="100" w:type="dxa"/>
              <w:right w:w="100" w:type="dxa"/>
            </w:tcMar>
          </w:tcPr>
          <w:p>
            <w:r>
              <w:rPr>
                <w:sz w:val="18"/>
              </w:rPr>
              <w:t>Tailwind CSS</w:t>
            </w:r>
          </w:p>
        </w:tc>
        <w:tc>
          <w:tcPr>
            <w:tcW w:type="dxa" w:w="1296"/>
            <w:shd w:fill="FFFFFF"/>
            <w:tcMar>
              <w:top w:w="80" w:type="dxa"/>
              <w:bottom w:w="80" w:type="dxa"/>
              <w:left w:w="100" w:type="dxa"/>
              <w:right w:w="100" w:type="dxa"/>
            </w:tcMar>
          </w:tcPr>
          <w:p>
            <w:r>
              <w:rPr>
                <w:sz w:val="18"/>
              </w:rPr>
              <w:t>3.4.1</w:t>
            </w:r>
          </w:p>
        </w:tc>
        <w:tc>
          <w:tcPr>
            <w:tcW w:type="dxa" w:w="4032"/>
            <w:shd w:fill="FFFFFF"/>
            <w:tcMar>
              <w:top w:w="80" w:type="dxa"/>
              <w:bottom w:w="80" w:type="dxa"/>
              <w:left w:w="100" w:type="dxa"/>
              <w:right w:w="100" w:type="dxa"/>
            </w:tcMar>
          </w:tcPr>
          <w:p>
            <w:r>
              <w:rPr>
                <w:sz w:val="18"/>
              </w:rPr>
              <w:t>Utility-first design system; zero CSS bundle overhead; responsive mobile-to-desktop layout.</w:t>
            </w:r>
          </w:p>
        </w:tc>
      </w:tr>
      <w:tr>
        <w:tc>
          <w:tcPr>
            <w:tcW w:type="dxa" w:w="1872"/>
            <w:shd w:fill="F8FAFC"/>
            <w:tcMar>
              <w:top w:w="80" w:type="dxa"/>
              <w:bottom w:w="80" w:type="dxa"/>
              <w:left w:w="100" w:type="dxa"/>
              <w:right w:w="100" w:type="dxa"/>
            </w:tcMar>
          </w:tcPr>
          <w:p>
            <w:r>
              <w:rPr>
                <w:b/>
                <w:color w:val="0F2744"/>
                <w:sz w:val="18"/>
              </w:rPr>
              <w:t>UI Primitives</w:t>
            </w:r>
          </w:p>
        </w:tc>
        <w:tc>
          <w:tcPr>
            <w:tcW w:type="dxa" w:w="2160"/>
            <w:shd w:fill="F8FAFC"/>
            <w:tcMar>
              <w:top w:w="80" w:type="dxa"/>
              <w:bottom w:w="80" w:type="dxa"/>
              <w:left w:w="100" w:type="dxa"/>
              <w:right w:w="100" w:type="dxa"/>
            </w:tcMar>
          </w:tcPr>
          <w:p>
            <w:r>
              <w:rPr>
                <w:sz w:val="18"/>
              </w:rPr>
              <w:t>Radix UI / Shadcn</w:t>
            </w:r>
          </w:p>
        </w:tc>
        <w:tc>
          <w:tcPr>
            <w:tcW w:type="dxa" w:w="1296"/>
            <w:shd w:fill="F8FAFC"/>
            <w:tcMar>
              <w:top w:w="80" w:type="dxa"/>
              <w:bottom w:w="80" w:type="dxa"/>
              <w:left w:w="100" w:type="dxa"/>
              <w:right w:w="100" w:type="dxa"/>
            </w:tcMar>
          </w:tcPr>
          <w:p>
            <w:r>
              <w:rPr>
                <w:sz w:val="18"/>
              </w:rPr>
              <w:t>Latest</w:t>
            </w:r>
          </w:p>
        </w:tc>
        <w:tc>
          <w:tcPr>
            <w:tcW w:type="dxa" w:w="4032"/>
            <w:shd w:fill="F8FAFC"/>
            <w:tcMar>
              <w:top w:w="80" w:type="dxa"/>
              <w:bottom w:w="80" w:type="dxa"/>
              <w:left w:w="100" w:type="dxa"/>
              <w:right w:w="100" w:type="dxa"/>
            </w:tcMar>
          </w:tcPr>
          <w:p>
            <w:r>
              <w:rPr>
                <w:sz w:val="18"/>
              </w:rPr>
              <w:t>Accessible, headless primitives ensuring WAI-ARIA compliance, modal focus traps, and keyboard navigation.</w:t>
            </w:r>
          </w:p>
        </w:tc>
      </w:tr>
      <w:tr>
        <w:tc>
          <w:tcPr>
            <w:tcW w:type="dxa" w:w="1872"/>
            <w:shd w:fill="FFFFFF"/>
            <w:tcMar>
              <w:top w:w="80" w:type="dxa"/>
              <w:bottom w:w="80" w:type="dxa"/>
              <w:left w:w="100" w:type="dxa"/>
              <w:right w:w="100" w:type="dxa"/>
            </w:tcMar>
          </w:tcPr>
          <w:p>
            <w:r>
              <w:rPr>
                <w:b/>
                <w:color w:val="0F2744"/>
                <w:sz w:val="18"/>
              </w:rPr>
              <w:t>Iconography</w:t>
            </w:r>
          </w:p>
        </w:tc>
        <w:tc>
          <w:tcPr>
            <w:tcW w:type="dxa" w:w="2160"/>
            <w:shd w:fill="FFFFFF"/>
            <w:tcMar>
              <w:top w:w="80" w:type="dxa"/>
              <w:bottom w:w="80" w:type="dxa"/>
              <w:left w:w="100" w:type="dxa"/>
              <w:right w:w="100" w:type="dxa"/>
            </w:tcMar>
          </w:tcPr>
          <w:p>
            <w:r>
              <w:rPr>
                <w:sz w:val="18"/>
              </w:rPr>
              <w:t>Lucide React</w:t>
            </w:r>
          </w:p>
        </w:tc>
        <w:tc>
          <w:tcPr>
            <w:tcW w:type="dxa" w:w="1296"/>
            <w:shd w:fill="FFFFFF"/>
            <w:tcMar>
              <w:top w:w="80" w:type="dxa"/>
              <w:bottom w:w="80" w:type="dxa"/>
              <w:left w:w="100" w:type="dxa"/>
              <w:right w:w="100" w:type="dxa"/>
            </w:tcMar>
          </w:tcPr>
          <w:p>
            <w:r>
              <w:rPr>
                <w:sz w:val="18"/>
              </w:rPr>
              <w:t>0.446.0</w:t>
            </w:r>
          </w:p>
        </w:tc>
        <w:tc>
          <w:tcPr>
            <w:tcW w:type="dxa" w:w="4032"/>
            <w:shd w:fill="FFFFFF"/>
            <w:tcMar>
              <w:top w:w="80" w:type="dxa"/>
              <w:bottom w:w="80" w:type="dxa"/>
              <w:left w:w="100" w:type="dxa"/>
              <w:right w:w="100" w:type="dxa"/>
            </w:tcMar>
          </w:tcPr>
          <w:p>
            <w:r>
              <w:rPr>
                <w:sz w:val="18"/>
              </w:rPr>
              <w:t>Consistent, lightweight SVG iconography across all 16 intelligence and planning screens.</w:t>
            </w:r>
          </w:p>
        </w:tc>
      </w:tr>
      <w:tr>
        <w:tc>
          <w:tcPr>
            <w:tcW w:type="dxa" w:w="1872"/>
            <w:shd w:fill="F8FAFC"/>
            <w:tcMar>
              <w:top w:w="80" w:type="dxa"/>
              <w:bottom w:w="80" w:type="dxa"/>
              <w:left w:w="100" w:type="dxa"/>
              <w:right w:w="100" w:type="dxa"/>
            </w:tcMar>
          </w:tcPr>
          <w:p>
            <w:r>
              <w:rPr>
                <w:b/>
                <w:color w:val="0F2744"/>
                <w:sz w:val="18"/>
              </w:rPr>
              <w:t>Graph Visualization</w:t>
            </w:r>
          </w:p>
        </w:tc>
        <w:tc>
          <w:tcPr>
            <w:tcW w:type="dxa" w:w="2160"/>
            <w:shd w:fill="F8FAFC"/>
            <w:tcMar>
              <w:top w:w="80" w:type="dxa"/>
              <w:bottom w:w="80" w:type="dxa"/>
              <w:left w:w="100" w:type="dxa"/>
              <w:right w:w="100" w:type="dxa"/>
            </w:tcMar>
          </w:tcPr>
          <w:p>
            <w:r>
              <w:rPr>
                <w:sz w:val="18"/>
              </w:rPr>
              <w:t>React Flow (@xyflow/react)</w:t>
            </w:r>
          </w:p>
        </w:tc>
        <w:tc>
          <w:tcPr>
            <w:tcW w:type="dxa" w:w="1296"/>
            <w:shd w:fill="F8FAFC"/>
            <w:tcMar>
              <w:top w:w="80" w:type="dxa"/>
              <w:bottom w:w="80" w:type="dxa"/>
              <w:left w:w="100" w:type="dxa"/>
              <w:right w:w="100" w:type="dxa"/>
            </w:tcMar>
          </w:tcPr>
          <w:p>
            <w:r>
              <w:rPr>
                <w:sz w:val="18"/>
              </w:rPr>
              <w:t>12.3.2</w:t>
            </w:r>
          </w:p>
        </w:tc>
        <w:tc>
          <w:tcPr>
            <w:tcW w:type="dxa" w:w="4032"/>
            <w:shd w:fill="F8FAFC"/>
            <w:tcMar>
              <w:top w:w="80" w:type="dxa"/>
              <w:bottom w:w="80" w:type="dxa"/>
              <w:left w:w="100" w:type="dxa"/>
              <w:right w:w="100" w:type="dxa"/>
            </w:tcMar>
          </w:tcPr>
          <w:p>
            <w:r>
              <w:rPr>
                <w:sz w:val="18"/>
              </w:rPr>
              <w:t>High-performance canvas engine with stratified hierarchical layouts, minimap, search, and node inspection.</w:t>
            </w:r>
          </w:p>
        </w:tc>
      </w:tr>
      <w:tr>
        <w:tc>
          <w:tcPr>
            <w:tcW w:type="dxa" w:w="1872"/>
            <w:shd w:fill="FFFFFF"/>
            <w:tcMar>
              <w:top w:w="80" w:type="dxa"/>
              <w:bottom w:w="80" w:type="dxa"/>
              <w:left w:w="100" w:type="dxa"/>
              <w:right w:w="100" w:type="dxa"/>
            </w:tcMar>
          </w:tcPr>
          <w:p>
            <w:r>
              <w:rPr>
                <w:b/>
                <w:color w:val="0F2744"/>
                <w:sz w:val="18"/>
              </w:rPr>
              <w:t>AI LLM Inference</w:t>
            </w:r>
          </w:p>
        </w:tc>
        <w:tc>
          <w:tcPr>
            <w:tcW w:type="dxa" w:w="2160"/>
            <w:shd w:fill="FFFFFF"/>
            <w:tcMar>
              <w:top w:w="80" w:type="dxa"/>
              <w:bottom w:w="80" w:type="dxa"/>
              <w:left w:w="100" w:type="dxa"/>
              <w:right w:w="100" w:type="dxa"/>
            </w:tcMar>
          </w:tcPr>
          <w:p>
            <w:r>
              <w:rPr>
                <w:sz w:val="18"/>
              </w:rPr>
              <w:t>Groq Llama-3.3-70b</w:t>
            </w:r>
          </w:p>
        </w:tc>
        <w:tc>
          <w:tcPr>
            <w:tcW w:type="dxa" w:w="1296"/>
            <w:shd w:fill="FFFFFF"/>
            <w:tcMar>
              <w:top w:w="80" w:type="dxa"/>
              <w:bottom w:w="80" w:type="dxa"/>
              <w:left w:w="100" w:type="dxa"/>
              <w:right w:w="100" w:type="dxa"/>
            </w:tcMar>
          </w:tcPr>
          <w:p>
            <w:r>
              <w:rPr>
                <w:sz w:val="18"/>
              </w:rPr>
              <w:t>Cloud API</w:t>
            </w:r>
          </w:p>
        </w:tc>
        <w:tc>
          <w:tcPr>
            <w:tcW w:type="dxa" w:w="4032"/>
            <w:shd w:fill="FFFFFF"/>
            <w:tcMar>
              <w:top w:w="80" w:type="dxa"/>
              <w:bottom w:w="80" w:type="dxa"/>
              <w:left w:w="100" w:type="dxa"/>
              <w:right w:w="100" w:type="dxa"/>
            </w:tcMar>
          </w:tcPr>
          <w:p>
            <w:r>
              <w:rPr>
                <w:sz w:val="18"/>
              </w:rPr>
              <w:t>High-speed JSON-mode extraction of competencies from raw text. Confined strictly to server runtime.</w:t>
            </w:r>
          </w:p>
        </w:tc>
      </w:tr>
      <w:tr>
        <w:tc>
          <w:tcPr>
            <w:tcW w:type="dxa" w:w="1872"/>
            <w:shd w:fill="F8FAFC"/>
            <w:tcMar>
              <w:top w:w="80" w:type="dxa"/>
              <w:bottom w:w="80" w:type="dxa"/>
              <w:left w:w="100" w:type="dxa"/>
              <w:right w:w="100" w:type="dxa"/>
            </w:tcMar>
          </w:tcPr>
          <w:p>
            <w:r>
              <w:rPr>
                <w:b/>
                <w:color w:val="0F2744"/>
                <w:sz w:val="18"/>
              </w:rPr>
              <w:t>AI Fallback Engine</w:t>
            </w:r>
          </w:p>
        </w:tc>
        <w:tc>
          <w:tcPr>
            <w:tcW w:type="dxa" w:w="2160"/>
            <w:shd w:fill="F8FAFC"/>
            <w:tcMar>
              <w:top w:w="80" w:type="dxa"/>
              <w:bottom w:w="80" w:type="dxa"/>
              <w:left w:w="100" w:type="dxa"/>
              <w:right w:w="100" w:type="dxa"/>
            </w:tcMar>
          </w:tcPr>
          <w:p>
            <w:r>
              <w:rPr>
                <w:sz w:val="18"/>
              </w:rPr>
              <w:t>Deterministic Heuristic</w:t>
            </w:r>
          </w:p>
        </w:tc>
        <w:tc>
          <w:tcPr>
            <w:tcW w:type="dxa" w:w="1296"/>
            <w:shd w:fill="F8FAFC"/>
            <w:tcMar>
              <w:top w:w="80" w:type="dxa"/>
              <w:bottom w:w="80" w:type="dxa"/>
              <w:left w:w="100" w:type="dxa"/>
              <w:right w:w="100" w:type="dxa"/>
            </w:tcMar>
          </w:tcPr>
          <w:p>
            <w:r>
              <w:rPr>
                <w:sz w:val="18"/>
              </w:rPr>
              <w:t>Native TS</w:t>
            </w:r>
          </w:p>
        </w:tc>
        <w:tc>
          <w:tcPr>
            <w:tcW w:type="dxa" w:w="4032"/>
            <w:shd w:fill="F8FAFC"/>
            <w:tcMar>
              <w:top w:w="80" w:type="dxa"/>
              <w:bottom w:w="80" w:type="dxa"/>
              <w:left w:w="100" w:type="dxa"/>
              <w:right w:w="100" w:type="dxa"/>
            </w:tcMar>
          </w:tcPr>
          <w:p>
            <w:r>
              <w:rPr>
                <w:sz w:val="18"/>
              </w:rPr>
              <w:t>Zero-latency, zero-cost, offline parsing engine matching canonical taxonomy dictionaries with evidence quotes.</w:t>
            </w:r>
          </w:p>
        </w:tc>
      </w:tr>
      <w:tr>
        <w:tc>
          <w:tcPr>
            <w:tcW w:type="dxa" w:w="1872"/>
            <w:shd w:fill="FFFFFF"/>
            <w:tcMar>
              <w:top w:w="80" w:type="dxa"/>
              <w:bottom w:w="80" w:type="dxa"/>
              <w:left w:w="100" w:type="dxa"/>
              <w:right w:w="100" w:type="dxa"/>
            </w:tcMar>
          </w:tcPr>
          <w:p>
            <w:r>
              <w:rPr>
                <w:b/>
                <w:color w:val="0F2744"/>
                <w:sz w:val="18"/>
              </w:rPr>
              <w:t>Database &amp; Auth</w:t>
            </w:r>
          </w:p>
        </w:tc>
        <w:tc>
          <w:tcPr>
            <w:tcW w:type="dxa" w:w="2160"/>
            <w:shd w:fill="FFFFFF"/>
            <w:tcMar>
              <w:top w:w="80" w:type="dxa"/>
              <w:bottom w:w="80" w:type="dxa"/>
              <w:left w:w="100" w:type="dxa"/>
              <w:right w:w="100" w:type="dxa"/>
            </w:tcMar>
          </w:tcPr>
          <w:p>
            <w:r>
              <w:rPr>
                <w:sz w:val="18"/>
              </w:rPr>
              <w:t>Supabase PostgreSQL 15</w:t>
            </w:r>
          </w:p>
        </w:tc>
        <w:tc>
          <w:tcPr>
            <w:tcW w:type="dxa" w:w="1296"/>
            <w:shd w:fill="FFFFFF"/>
            <w:tcMar>
              <w:top w:w="80" w:type="dxa"/>
              <w:bottom w:w="80" w:type="dxa"/>
              <w:left w:w="100" w:type="dxa"/>
              <w:right w:w="100" w:type="dxa"/>
            </w:tcMar>
          </w:tcPr>
          <w:p>
            <w:r>
              <w:rPr>
                <w:sz w:val="18"/>
              </w:rPr>
              <w:t>Cloud / SSR</w:t>
            </w:r>
          </w:p>
        </w:tc>
        <w:tc>
          <w:tcPr>
            <w:tcW w:type="dxa" w:w="4032"/>
            <w:shd w:fill="FFFFFF"/>
            <w:tcMar>
              <w:top w:w="80" w:type="dxa"/>
              <w:bottom w:w="80" w:type="dxa"/>
              <w:left w:w="100" w:type="dxa"/>
              <w:right w:w="100" w:type="dxa"/>
            </w:tcMar>
          </w:tcPr>
          <w:p>
            <w:r>
              <w:rPr>
                <w:sz w:val="18"/>
              </w:rPr>
              <w:t>ACID relational storage, Row-Level Security (RLS) authorization, and dual-key compatibility.</w:t>
            </w:r>
          </w:p>
        </w:tc>
      </w:tr>
      <w:tr>
        <w:tc>
          <w:tcPr>
            <w:tcW w:type="dxa" w:w="1872"/>
            <w:shd w:fill="F8FAFC"/>
            <w:tcMar>
              <w:top w:w="80" w:type="dxa"/>
              <w:bottom w:w="80" w:type="dxa"/>
              <w:left w:w="100" w:type="dxa"/>
              <w:right w:w="100" w:type="dxa"/>
            </w:tcMar>
          </w:tcPr>
          <w:p>
            <w:r>
              <w:rPr>
                <w:b/>
                <w:color w:val="0F2744"/>
                <w:sz w:val="18"/>
              </w:rPr>
              <w:t>Backend Analytics</w:t>
            </w:r>
          </w:p>
        </w:tc>
        <w:tc>
          <w:tcPr>
            <w:tcW w:type="dxa" w:w="2160"/>
            <w:shd w:fill="F8FAFC"/>
            <w:tcMar>
              <w:top w:w="80" w:type="dxa"/>
              <w:bottom w:w="80" w:type="dxa"/>
              <w:left w:w="100" w:type="dxa"/>
              <w:right w:w="100" w:type="dxa"/>
            </w:tcMar>
          </w:tcPr>
          <w:p>
            <w:r>
              <w:rPr>
                <w:sz w:val="18"/>
              </w:rPr>
              <w:t>FastAPI / Python</w:t>
            </w:r>
          </w:p>
        </w:tc>
        <w:tc>
          <w:tcPr>
            <w:tcW w:type="dxa" w:w="1296"/>
            <w:shd w:fill="F8FAFC"/>
            <w:tcMar>
              <w:top w:w="80" w:type="dxa"/>
              <w:bottom w:w="80" w:type="dxa"/>
              <w:left w:w="100" w:type="dxa"/>
              <w:right w:w="100" w:type="dxa"/>
            </w:tcMar>
          </w:tcPr>
          <w:p>
            <w:r>
              <w:rPr>
                <w:sz w:val="18"/>
              </w:rPr>
              <w:t>3.12+ / 0.110.0</w:t>
            </w:r>
          </w:p>
        </w:tc>
        <w:tc>
          <w:tcPr>
            <w:tcW w:type="dxa" w:w="4032"/>
            <w:shd w:fill="F8FAFC"/>
            <w:tcMar>
              <w:top w:w="80" w:type="dxa"/>
              <w:bottom w:w="80" w:type="dxa"/>
              <w:left w:w="100" w:type="dxa"/>
              <w:right w:w="100" w:type="dxa"/>
            </w:tcMar>
          </w:tcPr>
          <w:p>
            <w:r>
              <w:rPr>
                <w:sz w:val="18"/>
              </w:rPr>
              <w:t>High-performance numerical computations, Pandas data aggregation, and Pydantic schema validation.</w:t>
            </w:r>
          </w:p>
        </w:tc>
      </w:tr>
      <w:tr>
        <w:tc>
          <w:tcPr>
            <w:tcW w:type="dxa" w:w="1872"/>
            <w:shd w:fill="FFFFFF"/>
            <w:tcMar>
              <w:top w:w="80" w:type="dxa"/>
              <w:bottom w:w="80" w:type="dxa"/>
              <w:left w:w="100" w:type="dxa"/>
              <w:right w:w="100" w:type="dxa"/>
            </w:tcMar>
          </w:tcPr>
          <w:p>
            <w:r>
              <w:rPr>
                <w:b/>
                <w:color w:val="0F2744"/>
                <w:sz w:val="18"/>
              </w:rPr>
              <w:t>Schema Validation</w:t>
            </w:r>
          </w:p>
        </w:tc>
        <w:tc>
          <w:tcPr>
            <w:tcW w:type="dxa" w:w="2160"/>
            <w:shd w:fill="FFFFFF"/>
            <w:tcMar>
              <w:top w:w="80" w:type="dxa"/>
              <w:bottom w:w="80" w:type="dxa"/>
              <w:left w:w="100" w:type="dxa"/>
              <w:right w:w="100" w:type="dxa"/>
            </w:tcMar>
          </w:tcPr>
          <w:p>
            <w:r>
              <w:rPr>
                <w:sz w:val="18"/>
              </w:rPr>
              <w:t>Zod</w:t>
            </w:r>
          </w:p>
        </w:tc>
        <w:tc>
          <w:tcPr>
            <w:tcW w:type="dxa" w:w="1296"/>
            <w:shd w:fill="FFFFFF"/>
            <w:tcMar>
              <w:top w:w="80" w:type="dxa"/>
              <w:bottom w:w="80" w:type="dxa"/>
              <w:left w:w="100" w:type="dxa"/>
              <w:right w:w="100" w:type="dxa"/>
            </w:tcMar>
          </w:tcPr>
          <w:p>
            <w:r>
              <w:rPr>
                <w:sz w:val="18"/>
              </w:rPr>
              <w:t>3.23.8</w:t>
            </w:r>
          </w:p>
        </w:tc>
        <w:tc>
          <w:tcPr>
            <w:tcW w:type="dxa" w:w="4032"/>
            <w:shd w:fill="FFFFFF"/>
            <w:tcMar>
              <w:top w:w="80" w:type="dxa"/>
              <w:bottom w:w="80" w:type="dxa"/>
              <w:left w:w="100" w:type="dxa"/>
              <w:right w:w="100" w:type="dxa"/>
            </w:tcMar>
          </w:tcPr>
          <w:p>
            <w:r>
              <w:rPr>
                <w:sz w:val="18"/>
              </w:rPr>
              <w:t>Runtime schema enforcement for API payloads, AI extraction outputs, and spreadsheet ingestion validation.</w:t>
            </w:r>
          </w:p>
        </w:tc>
      </w:tr>
      <w:tr>
        <w:tc>
          <w:tcPr>
            <w:tcW w:type="dxa" w:w="1872"/>
            <w:shd w:fill="F8FAFC"/>
            <w:tcMar>
              <w:top w:w="80" w:type="dxa"/>
              <w:bottom w:w="80" w:type="dxa"/>
              <w:left w:w="100" w:type="dxa"/>
              <w:right w:w="100" w:type="dxa"/>
            </w:tcMar>
          </w:tcPr>
          <w:p>
            <w:r>
              <w:rPr>
                <w:b/>
                <w:color w:val="0F2744"/>
                <w:sz w:val="18"/>
              </w:rPr>
              <w:t>Spreadsheet Parsing</w:t>
            </w:r>
          </w:p>
        </w:tc>
        <w:tc>
          <w:tcPr>
            <w:tcW w:type="dxa" w:w="2160"/>
            <w:shd w:fill="F8FAFC"/>
            <w:tcMar>
              <w:top w:w="80" w:type="dxa"/>
              <w:bottom w:w="80" w:type="dxa"/>
              <w:left w:w="100" w:type="dxa"/>
              <w:right w:w="100" w:type="dxa"/>
            </w:tcMar>
          </w:tcPr>
          <w:p>
            <w:r>
              <w:rPr>
                <w:sz w:val="18"/>
              </w:rPr>
              <w:t>XLSX / CSV Parse</w:t>
            </w:r>
          </w:p>
        </w:tc>
        <w:tc>
          <w:tcPr>
            <w:tcW w:type="dxa" w:w="1296"/>
            <w:shd w:fill="F8FAFC"/>
            <w:tcMar>
              <w:top w:w="80" w:type="dxa"/>
              <w:bottom w:w="80" w:type="dxa"/>
              <w:left w:w="100" w:type="dxa"/>
              <w:right w:w="100" w:type="dxa"/>
            </w:tcMar>
          </w:tcPr>
          <w:p>
            <w:r>
              <w:rPr>
                <w:sz w:val="18"/>
              </w:rPr>
              <w:t>0.18.5</w:t>
            </w:r>
          </w:p>
        </w:tc>
        <w:tc>
          <w:tcPr>
            <w:tcW w:type="dxa" w:w="4032"/>
            <w:shd w:fill="F8FAFC"/>
            <w:tcMar>
              <w:top w:w="80" w:type="dxa"/>
              <w:bottom w:w="80" w:type="dxa"/>
              <w:left w:w="100" w:type="dxa"/>
              <w:right w:w="100" w:type="dxa"/>
            </w:tcMar>
          </w:tcPr>
          <w:p>
            <w:r>
              <w:rPr>
                <w:sz w:val="18"/>
              </w:rPr>
              <w:t>In-memory spreadsheet parsing, row-level validation, and duplicate detection for bulk industry job imports.</w:t>
            </w:r>
          </w:p>
        </w:tc>
      </w:tr>
      <w:tr>
        <w:tc>
          <w:tcPr>
            <w:tcW w:type="dxa" w:w="1872"/>
            <w:shd w:fill="FFFFFF"/>
            <w:tcMar>
              <w:top w:w="80" w:type="dxa"/>
              <w:bottom w:w="80" w:type="dxa"/>
              <w:left w:w="100" w:type="dxa"/>
              <w:right w:w="100" w:type="dxa"/>
            </w:tcMar>
          </w:tcPr>
          <w:p>
            <w:r>
              <w:rPr>
                <w:b/>
                <w:color w:val="0F2744"/>
                <w:sz w:val="18"/>
              </w:rPr>
              <w:t>Security Layer</w:t>
            </w:r>
          </w:p>
        </w:tc>
        <w:tc>
          <w:tcPr>
            <w:tcW w:type="dxa" w:w="2160"/>
            <w:shd w:fill="FFFFFF"/>
            <w:tcMar>
              <w:top w:w="80" w:type="dxa"/>
              <w:bottom w:w="80" w:type="dxa"/>
              <w:left w:w="100" w:type="dxa"/>
              <w:right w:w="100" w:type="dxa"/>
            </w:tcMar>
          </w:tcPr>
          <w:p>
            <w:r>
              <w:rPr>
                <w:sz w:val="18"/>
              </w:rPr>
              <w:t>Custom Crypto Guards</w:t>
            </w:r>
          </w:p>
        </w:tc>
        <w:tc>
          <w:tcPr>
            <w:tcW w:type="dxa" w:w="1296"/>
            <w:shd w:fill="FFFFFF"/>
            <w:tcMar>
              <w:top w:w="80" w:type="dxa"/>
              <w:bottom w:w="80" w:type="dxa"/>
              <w:left w:w="100" w:type="dxa"/>
              <w:right w:w="100" w:type="dxa"/>
            </w:tcMar>
          </w:tcPr>
          <w:p>
            <w:r>
              <w:rPr>
                <w:sz w:val="18"/>
              </w:rPr>
              <w:t>Web Crypto</w:t>
            </w:r>
          </w:p>
        </w:tc>
        <w:tc>
          <w:tcPr>
            <w:tcW w:type="dxa" w:w="4032"/>
            <w:shd w:fill="FFFFFF"/>
            <w:tcMar>
              <w:top w:w="80" w:type="dxa"/>
              <w:bottom w:w="80" w:type="dxa"/>
              <w:left w:w="100" w:type="dxa"/>
              <w:right w:w="100" w:type="dxa"/>
            </w:tcMar>
          </w:tcPr>
          <w:p>
            <w:r>
              <w:rPr>
                <w:sz w:val="18"/>
              </w:rPr>
              <w:t>IP rate limiting, CSRF origin verification, path traversal sanitation, and dynamic secret redaction.</w:t>
            </w:r>
          </w:p>
        </w:tc>
      </w:tr>
    </w:tbl>
    <w:p>
      <w:pPr>
        <w:spacing w:after="160"/>
      </w:pPr>
    </w:p>
    <w:p>
      <w:pPr>
        <w:keepNext/>
        <w:spacing w:before="360" w:after="120"/>
      </w:pPr>
      <w:r>
        <w:rPr>
          <w:rFonts w:ascii="Calibri" w:hAnsi="Calibri"/>
          <w:b/>
          <w:color w:val="0F2744"/>
          <w:sz w:val="32"/>
        </w:rPr>
        <w:t>4. Algorithmic Methodology &amp; Mathematical Formulations</w:t>
      </w:r>
    </w:p>
    <w:p>
      <w:pPr>
        <w:keepNext/>
        <w:spacing w:before="240" w:after="80"/>
      </w:pPr>
      <w:r>
        <w:rPr>
          <w:rFonts w:ascii="Calibri" w:hAnsi="Calibri"/>
          <w:b/>
          <w:color w:val="1E5AA8"/>
          <w:sz w:val="26"/>
        </w:rPr>
        <w:t>4.1 Labour Market Demand &amp; Skill Velocity Formulas</w:t>
      </w:r>
    </w:p>
    <w:p>
      <w:pPr>
        <w:spacing w:before="40" w:after="120" w:line="276" w:lineRule="auto"/>
      </w:pPr>
      <w:r>
        <w:t>To eliminate speculative forecasting, skill trajectories are computed using historical and active vacancy-weighted demand signals over rolling observation windows (T_current vs T_previous):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4" w:space="0" w:color="1E5AA8"/>
              <w:bottom w:val="none"/>
              <w:right w:val="none"/>
            </w:tcBorders>
          </w:tcPr>
          <w:p>
            <w:pPr>
              <w:spacing w:before="40" w:after="40" w:line="276" w:lineRule="auto"/>
            </w:pPr>
            <w:r>
              <w:rPr>
                <w:b/>
                <w:color w:val="0F2744"/>
                <w:sz w:val="21"/>
              </w:rPr>
              <w:t>Skill Velocity Mathematical Formulation</w:t>
              <w:br/>
            </w:r>
          </w:p>
          <w:p>
            <w:pPr>
              <w:spacing w:before="40" w:after="40" w:line="276" w:lineRule="auto"/>
            </w:pPr>
            <w:r>
              <w:rPr>
                <w:rFonts w:ascii="Calibri" w:hAnsi="Calibri"/>
                <w:color w:val="334155"/>
                <w:sz w:val="19"/>
              </w:rPr>
              <w:t>1. Absolute Posting Frequency: F_s = Σ [I(s in p.skills)] for all postings p in P</w:t>
            </w:r>
          </w:p>
          <w:p>
            <w:pPr>
              <w:spacing w:before="40" w:after="40" w:line="276" w:lineRule="auto"/>
            </w:pPr>
            <w:r>
              <w:rPr>
                <w:rFonts w:ascii="Calibri" w:hAnsi="Calibri"/>
                <w:color w:val="334155"/>
                <w:sz w:val="19"/>
              </w:rPr>
              <w:t>2. Vacancy-Weighted Demand: D_s = Σ [p.vacancies * I(s in p.skills)]</w:t>
            </w:r>
          </w:p>
          <w:p>
            <w:pPr>
              <w:spacing w:before="40" w:after="40" w:line="276" w:lineRule="auto"/>
            </w:pPr>
            <w:r>
              <w:rPr>
                <w:rFonts w:ascii="Calibri" w:hAnsi="Calibri"/>
                <w:color w:val="334155"/>
                <w:sz w:val="19"/>
              </w:rPr>
              <w:t>3. Relative Market Demand Fraction: R_s = F_s / |P|</w:t>
            </w:r>
          </w:p>
          <w:p>
            <w:pPr>
              <w:spacing w:before="40" w:after="40" w:line="276" w:lineRule="auto"/>
            </w:pPr>
            <w:r>
              <w:rPr>
                <w:rFonts w:ascii="Calibri" w:hAnsi="Calibri"/>
                <w:color w:val="334155"/>
                <w:sz w:val="19"/>
              </w:rPr>
              <w:t>4. Velocity Growth Rate (G_s):</w:t>
            </w:r>
          </w:p>
          <w:p>
            <w:pPr>
              <w:spacing w:before="40" w:after="40" w:line="276" w:lineRule="auto"/>
            </w:pPr>
            <w:r>
              <w:rPr>
                <w:rFonts w:ascii="Calibri" w:hAnsi="Calibri"/>
                <w:color w:val="334155"/>
                <w:sz w:val="19"/>
              </w:rPr>
              <w:t xml:space="preserve">     G_s = ((D_s(t) - D_s(t-1)) / D_s(t-1)) * 100%   [if D_s(t-1) &gt; 0]</w:t>
            </w:r>
          </w:p>
          <w:p>
            <w:pPr>
              <w:spacing w:before="40" w:after="40" w:line="276" w:lineRule="auto"/>
            </w:pPr>
            <w:r>
              <w:rPr>
                <w:rFonts w:ascii="Calibri" w:hAnsi="Calibri"/>
                <w:color w:val="334155"/>
                <w:sz w:val="19"/>
              </w:rPr>
              <w:t xml:space="preserve">     G_s = +100.0%                                    [if D_s(t-1) = 0 and D_s(t) &gt; 0]</w:t>
            </w:r>
          </w:p>
          <w:p>
            <w:pPr>
              <w:spacing w:before="40" w:after="40" w:line="276" w:lineRule="auto"/>
            </w:pPr>
            <w:r>
              <w:rPr>
                <w:rFonts w:ascii="Calibri" w:hAnsi="Calibri"/>
                <w:color w:val="334155"/>
                <w:sz w:val="19"/>
              </w:rPr>
              <w:t xml:space="preserve">     G_s = 0.0%                                       [if D_s(t-1) = 0 and D_s(t) = 0]</w:t>
            </w:r>
          </w:p>
          <w:p>
            <w:pPr>
              <w:spacing w:before="40" w:after="40" w:line="276" w:lineRule="auto"/>
            </w:pPr>
            <w:r>
              <w:rPr>
                <w:rFonts w:ascii="Calibri" w:hAnsi="Calibri"/>
                <w:color w:val="334155"/>
                <w:sz w:val="19"/>
              </w:rPr>
            </w:r>
          </w:p>
          <w:p>
            <w:pPr>
              <w:spacing w:before="40" w:after="40" w:line="276" w:lineRule="auto"/>
            </w:pPr>
            <w:r>
              <w:rPr>
                <w:rFonts w:ascii="Calibri" w:hAnsi="Calibri"/>
                <w:color w:val="334155"/>
                <w:sz w:val="19"/>
              </w:rPr>
              <w:t>Trajectory Categorization Rules:</w:t>
            </w:r>
          </w:p>
          <w:p>
            <w:pPr>
              <w:spacing w:before="40" w:after="40" w:line="276" w:lineRule="auto"/>
            </w:pPr>
            <w:r>
              <w:rPr>
                <w:rFonts w:ascii="Calibri" w:hAnsi="Calibri"/>
                <w:color w:val="334155"/>
                <w:sz w:val="19"/>
              </w:rPr>
              <w:t xml:space="preserve">  • Emerging:  G_s &gt;= +150% OR (D_s(t-1) = 0 with D_s(t) &gt;= 10 vacancies across &gt;= 2 employers)</w:t>
            </w:r>
          </w:p>
          <w:p>
            <w:pPr>
              <w:spacing w:before="40" w:after="40" w:line="276" w:lineRule="auto"/>
            </w:pPr>
            <w:r>
              <w:rPr>
                <w:rFonts w:ascii="Calibri" w:hAnsi="Calibri"/>
                <w:color w:val="334155"/>
                <w:sz w:val="19"/>
              </w:rPr>
              <w:t xml:space="preserve">  • Growing:   +15% &lt;= G_s &lt; +150%</w:t>
            </w:r>
          </w:p>
          <w:p>
            <w:pPr>
              <w:spacing w:before="40" w:after="40" w:line="276" w:lineRule="auto"/>
            </w:pPr>
            <w:r>
              <w:rPr>
                <w:rFonts w:ascii="Calibri" w:hAnsi="Calibri"/>
                <w:color w:val="334155"/>
                <w:sz w:val="19"/>
              </w:rPr>
              <w:t xml:space="preserve">  • Stable:    -15% &lt;= G_s &lt; +15%</w:t>
            </w:r>
          </w:p>
          <w:p>
            <w:pPr>
              <w:spacing w:before="40" w:after="40" w:line="276" w:lineRule="auto"/>
            </w:pPr>
            <w:r>
              <w:rPr>
                <w:rFonts w:ascii="Calibri" w:hAnsi="Calibri"/>
                <w:color w:val="334155"/>
                <w:sz w:val="19"/>
              </w:rPr>
              <w:t xml:space="preserve">  • Declining: G_s &lt; -15%</w:t>
            </w:r>
          </w:p>
        </w:tc>
      </w:tr>
    </w:tbl>
    <w:p>
      <w:pPr>
        <w:spacing w:after="80"/>
      </w:pPr>
    </w:p>
    <w:p>
      <w:pPr>
        <w:keepNext/>
        <w:spacing w:before="240" w:after="80"/>
      </w:pPr>
      <w:r>
        <w:rPr>
          <w:rFonts w:ascii="Calibri" w:hAnsi="Calibri"/>
          <w:b/>
          <w:color w:val="1E5AA8"/>
          <w:sz w:val="26"/>
        </w:rPr>
        <w:t>4.2 AI Skill Extraction, Normalization &amp; Evidence Grounding</w:t>
      </w:r>
    </w:p>
    <w:p>
      <w:pPr>
        <w:spacing w:before="40" w:after="120" w:line="276" w:lineRule="auto"/>
      </w:pPr>
      <w:r>
        <w:t>The AI ingestion pipeline converts noisy job listings into validated competencies through a 5-stage defensive sequence:</w:t>
      </w:r>
    </w:p>
    <w:p>
      <w:pPr>
        <w:pStyle w:val="ListBullet"/>
        <w:spacing w:before="40" w:after="60" w:line="276" w:lineRule="auto"/>
      </w:pPr>
      <w:r>
        <w:rPr>
          <w:b/>
          <w:color w:val="0F2744"/>
        </w:rPr>
        <w:t xml:space="preserve">Stage 1 - PII Sanitization: </w:t>
      </w:r>
      <w:r>
        <w:t>Redacts emails ([EMAIL REDACTED]), phone numbers ([PHONE REDACTED]), and URLs before sending text to the model.</w:t>
      </w:r>
    </w:p>
    <w:p>
      <w:pPr>
        <w:pStyle w:val="ListBullet"/>
        <w:spacing w:before="40" w:after="60" w:line="276" w:lineRule="auto"/>
      </w:pPr>
      <w:r>
        <w:rPr>
          <w:b/>
          <w:color w:val="0F2744"/>
        </w:rPr>
        <w:t xml:space="preserve">Stage 2 - Injection Containment: </w:t>
      </w:r>
      <w:r>
        <w:t>Encapsulates untrusted job postings within &lt;untrusted_document_content&gt; boundary tags and neutralizes command overrides.</w:t>
      </w:r>
    </w:p>
    <w:p>
      <w:pPr>
        <w:pStyle w:val="ListBullet"/>
        <w:spacing w:before="40" w:after="60" w:line="276" w:lineRule="auto"/>
      </w:pPr>
      <w:r>
        <w:rPr>
          <w:b/>
          <w:color w:val="0F2744"/>
        </w:rPr>
        <w:t xml:space="preserve">Stage 3 - Structured Inference: </w:t>
      </w:r>
      <w:r>
        <w:t>Invokes Groq Llama-3.3-70b (JSON Mode) or the Deterministic Heuristic Provider with strict Zod schema parsing.</w:t>
      </w:r>
    </w:p>
    <w:p>
      <w:pPr>
        <w:pStyle w:val="ListBullet"/>
        <w:spacing w:before="40" w:after="60" w:line="276" w:lineRule="auto"/>
      </w:pPr>
      <w:r>
        <w:rPr>
          <w:b/>
          <w:color w:val="0F2744"/>
        </w:rPr>
        <w:t xml:space="preserve">Stage 4 - Canonical Entity Deduplication: </w:t>
      </w:r>
      <w:r>
        <w:t>Normalizes aliases (e.g. 'can bus', 'can-bus', 'canbus' map to 'Automotive CAN Bus Protocol').</w:t>
      </w:r>
    </w:p>
    <w:p>
      <w:pPr>
        <w:pStyle w:val="ListBullet"/>
        <w:spacing w:before="40" w:after="60" w:line="276" w:lineRule="auto"/>
      </w:pPr>
      <w:r>
        <w:rPr>
          <w:b/>
          <w:color w:val="0F2744"/>
        </w:rPr>
        <w:t xml:space="preserve">Stage 5 - Verbatim Grounding Verification: </w:t>
      </w:r>
      <w:r>
        <w:t>Verifies that extracted skill evidence appears verbatim in the raw text; if missing, flags isGroundedInText=false and penalizes confidence to 0.35.</w:t>
      </w:r>
    </w:p>
    <w:p>
      <w:pPr>
        <w:keepNext/>
        <w:spacing w:before="240" w:after="80"/>
      </w:pPr>
      <w:r>
        <w:rPr>
          <w:rFonts w:ascii="Calibri" w:hAnsi="Calibri"/>
          <w:b/>
          <w:color w:val="1E5AA8"/>
          <w:sz w:val="26"/>
        </w:rPr>
        <w:t>4.3 Curriculum X-Ray &amp; Alignment Diagnostics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4" w:space="0" w:color="1E5AA8"/>
              <w:bottom w:val="none"/>
              <w:right w:val="none"/>
            </w:tcBorders>
          </w:tcPr>
          <w:p>
            <w:pPr>
              <w:spacing w:before="40" w:after="40" w:line="276" w:lineRule="auto"/>
            </w:pPr>
            <w:r>
              <w:rPr>
                <w:b/>
                <w:color w:val="0F2744"/>
                <w:sz w:val="21"/>
              </w:rPr>
              <w:t>Curriculum X-Ray Audit Formulations</w:t>
              <w:br/>
            </w:r>
          </w:p>
          <w:p>
            <w:pPr>
              <w:spacing w:before="40" w:after="40" w:line="276" w:lineRule="auto"/>
            </w:pPr>
            <w:r>
              <w:rPr>
                <w:rFonts w:ascii="Calibri" w:hAnsi="Calibri"/>
                <w:color w:val="334155"/>
                <w:sz w:val="19"/>
              </w:rPr>
              <w:t>1. Curriculum Alignment Score: A_C = (|Skills(C) ∩ Skills(I)| / |Skills(I)|) * 100%</w:t>
            </w:r>
          </w:p>
          <w:p>
            <w:pPr>
              <w:spacing w:before="40" w:after="40" w:line="276" w:lineRule="auto"/>
            </w:pPr>
            <w:r>
              <w:rPr>
                <w:rFonts w:ascii="Calibri" w:hAnsi="Calibri"/>
                <w:color w:val="334155"/>
                <w:sz w:val="19"/>
              </w:rPr>
              <w:t>2. Obsolete Instructional Hours: H_obsolete = Σ Hours(m) for all modules where Skills(m) ⊆ DecliningSkills</w:t>
            </w:r>
          </w:p>
          <w:p>
            <w:pPr>
              <w:spacing w:before="40" w:after="40" w:line="276" w:lineRule="auto"/>
            </w:pPr>
            <w:r>
              <w:rPr>
                <w:rFonts w:ascii="Calibri" w:hAnsi="Calibri"/>
                <w:color w:val="334155"/>
                <w:sz w:val="19"/>
              </w:rPr>
              <w:t xml:space="preserve">   Example: An automotive course spending 60 practical hours on legacy carburetor tuning</w:t>
            </w:r>
          </w:p>
          <w:p>
            <w:pPr>
              <w:spacing w:before="40" w:after="40" w:line="276" w:lineRule="auto"/>
            </w:pPr>
            <w:r>
              <w:rPr>
                <w:rFonts w:ascii="Calibri" w:hAnsi="Calibri"/>
                <w:color w:val="334155"/>
                <w:sz w:val="19"/>
              </w:rPr>
              <w:t xml:space="preserve">   (demand declined by -85%) yields H_obsolete = 60 instructional hours.</w:t>
            </w:r>
          </w:p>
          <w:p>
            <w:pPr>
              <w:spacing w:before="40" w:after="40" w:line="276" w:lineRule="auto"/>
            </w:pPr>
            <w:r>
              <w:rPr>
                <w:rFonts w:ascii="Calibri" w:hAnsi="Calibri"/>
                <w:color w:val="334155"/>
                <w:sz w:val="19"/>
              </w:rPr>
              <w:t>3. Critical Deficit Identification: Gaps_C = { s in Skills(I) | s not in Skills(C) AND Trajectory(s) in {Emerging, Growing} }</w:t>
            </w:r>
          </w:p>
        </w:tc>
      </w:tr>
    </w:tbl>
    <w:p>
      <w:pPr>
        <w:spacing w:after="80"/>
      </w:pPr>
    </w:p>
    <w:p>
      <w:pPr>
        <w:keepNext/>
        <w:spacing w:before="240" w:after="80"/>
      </w:pPr>
      <w:r>
        <w:rPr>
          <w:rFonts w:ascii="Calibri" w:hAnsi="Calibri"/>
          <w:b/>
          <w:color w:val="1E5AA8"/>
          <w:sz w:val="26"/>
        </w:rPr>
        <w:t>4.4 Employer Validation Consensus &amp; Audit Logging</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4" w:space="0" w:color="1E5AA8"/>
              <w:bottom w:val="none"/>
              <w:right w:val="none"/>
            </w:tcBorders>
          </w:tcPr>
          <w:p>
            <w:pPr>
              <w:spacing w:before="40" w:after="40" w:line="276" w:lineRule="auto"/>
            </w:pPr>
            <w:r>
              <w:rPr>
                <w:b/>
                <w:color w:val="0F2744"/>
                <w:sz w:val="21"/>
              </w:rPr>
              <w:t>Employer Validation Consensus Formulations</w:t>
              <w:br/>
            </w:r>
          </w:p>
          <w:p>
            <w:pPr>
              <w:spacing w:before="40" w:after="40" w:line="276" w:lineRule="auto"/>
            </w:pPr>
            <w:r>
              <w:rPr>
                <w:rFonts w:ascii="Calibri" w:hAnsi="Calibri"/>
                <w:color w:val="334155"/>
                <w:sz w:val="19"/>
              </w:rPr>
              <w:t>1. Confirmation Ratio: CR_r = (N_confirmed / N_total_reviews) * 100%  (e.g., '8 of 10 employers confirmed')</w:t>
            </w:r>
          </w:p>
          <w:p>
            <w:pPr>
              <w:spacing w:before="40" w:after="40" w:line="276" w:lineRule="auto"/>
            </w:pPr>
            <w:r>
              <w:rPr>
                <w:rFonts w:ascii="Calibri" w:hAnsi="Calibri"/>
                <w:color w:val="334155"/>
                <w:sz w:val="19"/>
              </w:rPr>
              <w:t>2. Hiring Difficulty Index: HDI_r = (Σ w_difficulty(i)) / n, where w in {low: 1, moderate: 2, high: 3, acute_shortage: 4}</w:t>
            </w:r>
          </w:p>
          <w:p>
            <w:pPr>
              <w:spacing w:before="40" w:after="40" w:line="276" w:lineRule="auto"/>
            </w:pPr>
            <w:r>
              <w:rPr>
                <w:rFonts w:ascii="Calibri" w:hAnsi="Calibri"/>
                <w:color w:val="334155"/>
                <w:sz w:val="19"/>
              </w:rPr>
              <w:t>3. Tamper-Evident Audit Record: AuditEntry = &lt;Timestamp, EmployerID, Reviewer, Stance, Modifications, IPAddress&gt;</w:t>
            </w:r>
          </w:p>
        </w:tc>
      </w:tr>
    </w:tbl>
    <w:p>
      <w:pPr>
        <w:spacing w:after="80"/>
      </w:pPr>
    </w:p>
    <w:p>
      <w:pPr>
        <w:keepNext/>
        <w:spacing w:before="240" w:after="80"/>
      </w:pPr>
      <w:r>
        <w:rPr>
          <w:rFonts w:ascii="Calibri" w:hAnsi="Calibri"/>
          <w:b/>
          <w:color w:val="1E5AA8"/>
          <w:sz w:val="26"/>
        </w:rPr>
        <w:t>4.5 What-If Policy Simulation Mathematical Model</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4" w:space="0" w:color="1E5AA8"/>
              <w:bottom w:val="none"/>
              <w:right w:val="none"/>
            </w:tcBorders>
          </w:tcPr>
          <w:p>
            <w:pPr>
              <w:spacing w:before="40" w:after="40" w:line="276" w:lineRule="auto"/>
            </w:pPr>
            <w:r>
              <w:rPr>
                <w:b/>
                <w:color w:val="0F2744"/>
                <w:sz w:val="21"/>
              </w:rPr>
              <w:t>What-If Policy Simulation Mathematical Formulations</w:t>
              <w:br/>
            </w:r>
          </w:p>
          <w:p>
            <w:pPr>
              <w:spacing w:before="40" w:after="40" w:line="276" w:lineRule="auto"/>
            </w:pPr>
            <w:r>
              <w:rPr>
                <w:rFonts w:ascii="Calibri" w:hAnsi="Calibri"/>
                <w:color w:val="334155"/>
                <w:sz w:val="19"/>
              </w:rPr>
              <w:t>1. Capacity Shift Elasticity: ΔGraduates = Σ (ΔSeats_t * CompletionRate_t)</w:t>
            </w:r>
          </w:p>
          <w:p>
            <w:pPr>
              <w:spacing w:before="40" w:after="40" w:line="276" w:lineRule="auto"/>
            </w:pPr>
            <w:r>
              <w:rPr>
                <w:rFonts w:ascii="Calibri" w:hAnsi="Calibri"/>
                <w:color w:val="334155"/>
                <w:sz w:val="19"/>
              </w:rPr>
              <w:t>2. Projected Placement Rate Lift:</w:t>
            </w:r>
          </w:p>
          <w:p>
            <w:pPr>
              <w:spacing w:before="40" w:after="40" w:line="276" w:lineRule="auto"/>
            </w:pPr>
            <w:r>
              <w:rPr>
                <w:rFonts w:ascii="Calibri" w:hAnsi="Calibri"/>
                <w:color w:val="334155"/>
                <w:sz w:val="19"/>
              </w:rPr>
              <w:t xml:space="preserve">   ΔPR = Σ [(ΔSeats_t / TotalSeats) * (PR_target(t) - PR_baseline) * β_equipment * β_faculty]</w:t>
            </w:r>
          </w:p>
          <w:p>
            <w:pPr>
              <w:spacing w:before="40" w:after="40" w:line="276" w:lineRule="auto"/>
            </w:pPr>
            <w:r>
              <w:rPr>
                <w:rFonts w:ascii="Calibri" w:hAnsi="Calibri"/>
                <w:color w:val="334155"/>
                <w:sz w:val="19"/>
              </w:rPr>
              <w:t xml:space="preserve">   Where: β_equipment = 1.0 + (0.15 * ModernizedRatio), β_faculty = 1.0 + (0.12 * UpskilledTrainerRatio)</w:t>
            </w:r>
          </w:p>
          <w:p>
            <w:pPr>
              <w:spacing w:before="40" w:after="40" w:line="276" w:lineRule="auto"/>
            </w:pPr>
            <w:r>
              <w:rPr>
                <w:rFonts w:ascii="Calibri" w:hAnsi="Calibri"/>
                <w:color w:val="334155"/>
                <w:sz w:val="19"/>
              </w:rPr>
              <w:t>3. Public TVET Return on Investment (3-Year):</w:t>
            </w:r>
          </w:p>
          <w:p>
            <w:pPr>
              <w:spacing w:before="40" w:after="40" w:line="276" w:lineRule="auto"/>
            </w:pPr>
            <w:r>
              <w:rPr>
                <w:rFonts w:ascii="Calibri" w:hAnsi="Calibri"/>
                <w:color w:val="334155"/>
                <w:sz w:val="19"/>
              </w:rPr>
              <w:t xml:space="preserve">   ROI_3yr = ((Σ [AnnualWage_i * 3] for placed graduates) - TotalCapex) / TotalCapex * 100%</w:t>
            </w:r>
          </w:p>
        </w:tc>
      </w:tr>
    </w:tbl>
    <w:p>
      <w:pPr>
        <w:spacing w:after="80"/>
      </w:pPr>
    </w:p>
    <w:p>
      <w:pPr>
        <w:keepNext/>
        <w:spacing w:before="240" w:after="80"/>
      </w:pPr>
      <w:r>
        <w:rPr>
          <w:rFonts w:ascii="Calibri" w:hAnsi="Calibri"/>
          <w:b/>
          <w:color w:val="1E5AA8"/>
          <w:sz w:val="26"/>
        </w:rPr>
        <w:t>4.6 Skill Graph Topological Stratification</w:t>
      </w:r>
    </w:p>
    <w:p>
      <w:pPr>
        <w:spacing w:before="40" w:after="120" w:line="276" w:lineRule="auto"/>
      </w:pPr>
      <w:r>
        <w:t>The React Flow Skill Graph models the technical ecosystem across 8 relational strata: District -&gt; Training Center -&gt; Course -&gt; Module -&gt; Trainer -&gt; Skill &lt;- Job Role &lt;- Employer. Every connection is backed by relational database junction tables.</w:t>
      </w:r>
    </w:p>
    <w:p>
      <w:pPr>
        <w:keepNext/>
        <w:spacing w:before="240" w:after="80"/>
      </w:pPr>
      <w:r>
        <w:rPr>
          <w:rFonts w:ascii="Calibri" w:hAnsi="Calibri"/>
          <w:b/>
          <w:color w:val="1E5AA8"/>
          <w:sz w:val="26"/>
        </w:rPr>
        <w:t>4.7 Candidate Career Path Sequencing</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4" w:space="0" w:color="1E5AA8"/>
              <w:bottom w:val="none"/>
              <w:right w:val="none"/>
            </w:tcBorders>
          </w:tcPr>
          <w:p>
            <w:pPr>
              <w:spacing w:before="40" w:after="40" w:line="276" w:lineRule="auto"/>
            </w:pPr>
            <w:r>
              <w:rPr>
                <w:b/>
                <w:color w:val="0F2744"/>
                <w:sz w:val="21"/>
              </w:rPr>
              <w:t>Candidate Career Pathway Model</w:t>
              <w:br/>
            </w:r>
          </w:p>
          <w:p>
            <w:pPr>
              <w:spacing w:before="40" w:after="40" w:line="276" w:lineRule="auto"/>
            </w:pPr>
            <w:r>
              <w:rPr>
                <w:rFonts w:ascii="Calibri" w:hAnsi="Calibri"/>
                <w:color w:val="334155"/>
                <w:sz w:val="19"/>
              </w:rPr>
              <w:t>1. Competency Match Score: CMS = (|AcquiredSkills ∩ RequiredSkills| / |RequiredSkills|) * 100%</w:t>
            </w:r>
          </w:p>
          <w:p>
            <w:pPr>
              <w:spacing w:before="40" w:after="40" w:line="276" w:lineRule="auto"/>
            </w:pPr>
            <w:r>
              <w:rPr>
                <w:rFonts w:ascii="Calibri" w:hAnsi="Calibri"/>
                <w:color w:val="334155"/>
                <w:sz w:val="19"/>
              </w:rPr>
              <w:t>2. Phased Pedagogical Sequencing:</w:t>
            </w:r>
          </w:p>
          <w:p>
            <w:pPr>
              <w:spacing w:before="40" w:after="40" w:line="276" w:lineRule="auto"/>
            </w:pPr>
            <w:r>
              <w:rPr>
                <w:rFonts w:ascii="Calibri" w:hAnsi="Calibri"/>
                <w:color w:val="334155"/>
                <w:sz w:val="19"/>
              </w:rPr>
              <w:t xml:space="preserve">   • Phase 1: Safety, Compliance &amp; Standards (Lockout/Tagout, ISO standards)</w:t>
            </w:r>
          </w:p>
          <w:p>
            <w:pPr>
              <w:spacing w:before="40" w:after="40" w:line="276" w:lineRule="auto"/>
            </w:pPr>
            <w:r>
              <w:rPr>
                <w:rFonts w:ascii="Calibri" w:hAnsi="Calibri"/>
                <w:color w:val="334155"/>
                <w:sz w:val="19"/>
              </w:rPr>
              <w:t xml:space="preserve">   • Phase 2: Core Physical Subsystems (Mechanical assembly, workshop tools)</w:t>
            </w:r>
          </w:p>
          <w:p>
            <w:pPr>
              <w:spacing w:before="40" w:after="40" w:line="276" w:lineRule="auto"/>
            </w:pPr>
            <w:r>
              <w:rPr>
                <w:rFonts w:ascii="Calibri" w:hAnsi="Calibri"/>
                <w:color w:val="334155"/>
                <w:sz w:val="19"/>
              </w:rPr>
              <w:t xml:space="preserve">   • Phase 3: Digital Protocols &amp; Electronics (CAN Bus, BMS telemetry, PLC/CNC)</w:t>
            </w:r>
          </w:p>
          <w:p>
            <w:pPr>
              <w:spacing w:before="40" w:after="40" w:line="276" w:lineRule="auto"/>
            </w:pPr>
            <w:r>
              <w:rPr>
                <w:rFonts w:ascii="Calibri" w:hAnsi="Calibri"/>
                <w:color w:val="334155"/>
                <w:sz w:val="19"/>
              </w:rPr>
              <w:t xml:space="preserve">   • Phase 4: Capstone Apprenticeship &amp; Integration (Shop-floor production project)</w:t>
            </w:r>
          </w:p>
        </w:tc>
      </w:tr>
    </w:tbl>
    <w:p>
      <w:pPr>
        <w:spacing w:after="80"/>
      </w:pPr>
    </w:p>
    <w:p>
      <w:pPr>
        <w:keepNext/>
        <w:spacing w:before="360" w:after="120"/>
      </w:pPr>
      <w:r>
        <w:rPr>
          <w:rFonts w:ascii="Calibri" w:hAnsi="Calibri"/>
          <w:b/>
          <w:color w:val="0F2744"/>
          <w:sz w:val="32"/>
        </w:rPr>
        <w:t>5. End-to-End Operational Workflows</w:t>
      </w:r>
    </w:p>
    <w:p>
      <w:pPr>
        <w:keepNext/>
        <w:spacing w:before="240" w:after="80"/>
      </w:pPr>
      <w:r>
        <w:rPr>
          <w:rFonts w:ascii="Calibri" w:hAnsi="Calibri"/>
          <w:b/>
          <w:color w:val="1E5AA8"/>
          <w:sz w:val="26"/>
        </w:rPr>
        <w:t>Workflow 1: Labour Market Signal Ingestion to Curriculum Diagnostic</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4" w:space="0" w:color="1E5AA8"/>
              <w:bottom w:val="none"/>
              <w:right w:val="none"/>
            </w:tcBorders>
          </w:tcPr>
          <w:p>
            <w:pPr>
              <w:spacing w:before="40" w:after="40" w:line="276" w:lineRule="auto"/>
            </w:pPr>
            <w:r>
              <w:rPr>
                <w:b/>
                <w:color w:val="0F2744"/>
                <w:sz w:val="21"/>
              </w:rPr>
              <w:t>Operational Workflow 1</w:t>
              <w:br/>
            </w:r>
          </w:p>
          <w:p>
            <w:pPr>
              <w:spacing w:before="40" w:after="40" w:line="276" w:lineRule="auto"/>
            </w:pPr>
            <w:r>
              <w:rPr>
                <w:rFonts w:ascii="Calibri" w:hAnsi="Calibri"/>
                <w:color w:val="334155"/>
                <w:sz w:val="19"/>
              </w:rPr>
              <w:t>[1] Raw Job Postings / Spreadsheets Uploaded (CSV / XLSX / API)</w:t>
            </w:r>
          </w:p>
          <w:p>
            <w:pPr>
              <w:spacing w:before="40" w:after="40" w:line="276" w:lineRule="auto"/>
            </w:pPr>
            <w:r>
              <w:rPr>
                <w:rFonts w:ascii="Consolas" w:hAnsi="Consolas"/>
                <w:color w:val="334155"/>
                <w:sz w:val="19"/>
              </w:rPr>
              <w:t xml:space="preserve">      │</w:t>
            </w:r>
          </w:p>
          <w:p>
            <w:pPr>
              <w:spacing w:before="40" w:after="40" w:line="276" w:lineRule="auto"/>
            </w:pPr>
            <w:r>
              <w:rPr>
                <w:rFonts w:ascii="Calibri" w:hAnsi="Calibri"/>
                <w:color w:val="334155"/>
                <w:sz w:val="19"/>
              </w:rPr>
              <w:t xml:space="preserve">      ▼</w:t>
            </w:r>
          </w:p>
          <w:p>
            <w:pPr>
              <w:spacing w:before="40" w:after="40" w:line="276" w:lineRule="auto"/>
            </w:pPr>
            <w:r>
              <w:rPr>
                <w:rFonts w:ascii="Calibri" w:hAnsi="Calibri"/>
                <w:color w:val="334155"/>
                <w:sz w:val="19"/>
              </w:rPr>
              <w:t>[2] Data Ingestion Engine validates schema, sanitizes input, prevents duplicate rows</w:t>
            </w:r>
          </w:p>
          <w:p>
            <w:pPr>
              <w:spacing w:before="40" w:after="40" w:line="276" w:lineRule="auto"/>
            </w:pPr>
            <w:r>
              <w:rPr>
                <w:rFonts w:ascii="Consolas" w:hAnsi="Consolas"/>
                <w:color w:val="334155"/>
                <w:sz w:val="19"/>
              </w:rPr>
              <w:t xml:space="preserve">      │</w:t>
            </w:r>
          </w:p>
          <w:p>
            <w:pPr>
              <w:spacing w:before="40" w:after="40" w:line="276" w:lineRule="auto"/>
            </w:pPr>
            <w:r>
              <w:rPr>
                <w:rFonts w:ascii="Calibri" w:hAnsi="Calibri"/>
                <w:color w:val="334155"/>
                <w:sz w:val="19"/>
              </w:rPr>
              <w:t xml:space="preserve">      ▼</w:t>
            </w:r>
          </w:p>
          <w:p>
            <w:pPr>
              <w:spacing w:before="40" w:after="40" w:line="276" w:lineRule="auto"/>
            </w:pPr>
            <w:r>
              <w:rPr>
                <w:rFonts w:ascii="Calibri" w:hAnsi="Calibri"/>
                <w:color w:val="334155"/>
                <w:sz w:val="19"/>
              </w:rPr>
              <w:t>[3] AI Skill Extractor performs PII redaction, prompt containment, canonical matching &amp; evidence quotes</w:t>
            </w:r>
          </w:p>
          <w:p>
            <w:pPr>
              <w:spacing w:before="40" w:after="40" w:line="276" w:lineRule="auto"/>
            </w:pPr>
            <w:r>
              <w:rPr>
                <w:rFonts w:ascii="Consolas" w:hAnsi="Consolas"/>
                <w:color w:val="334155"/>
                <w:sz w:val="19"/>
              </w:rPr>
              <w:t xml:space="preserve">      │</w:t>
            </w:r>
          </w:p>
          <w:p>
            <w:pPr>
              <w:spacing w:before="40" w:after="40" w:line="276" w:lineRule="auto"/>
            </w:pPr>
            <w:r>
              <w:rPr>
                <w:rFonts w:ascii="Calibri" w:hAnsi="Calibri"/>
                <w:color w:val="334155"/>
                <w:sz w:val="19"/>
              </w:rPr>
              <w:t xml:space="preserve">      ▼</w:t>
            </w:r>
          </w:p>
          <w:p>
            <w:pPr>
              <w:spacing w:before="40" w:after="40" w:line="276" w:lineRule="auto"/>
            </w:pPr>
            <w:r>
              <w:rPr>
                <w:rFonts w:ascii="Calibri" w:hAnsi="Calibri"/>
                <w:color w:val="334155"/>
                <w:sz w:val="19"/>
              </w:rPr>
              <w:t>[4] Analytics Engine calculates velocity growth rates, vacancies, and classifies trajectories</w:t>
            </w:r>
          </w:p>
          <w:p>
            <w:pPr>
              <w:spacing w:before="40" w:after="40" w:line="276" w:lineRule="auto"/>
            </w:pPr>
            <w:r>
              <w:rPr>
                <w:rFonts w:ascii="Consolas" w:hAnsi="Consolas"/>
                <w:color w:val="334155"/>
                <w:sz w:val="19"/>
              </w:rPr>
              <w:t xml:space="preserve">      │</w:t>
            </w:r>
          </w:p>
          <w:p>
            <w:pPr>
              <w:spacing w:before="40" w:after="40" w:line="276" w:lineRule="auto"/>
            </w:pPr>
            <w:r>
              <w:rPr>
                <w:rFonts w:ascii="Calibri" w:hAnsi="Calibri"/>
                <w:color w:val="334155"/>
                <w:sz w:val="19"/>
              </w:rPr>
              <w:t xml:space="preserve">      ▼</w:t>
            </w:r>
          </w:p>
          <w:p>
            <w:pPr>
              <w:spacing w:before="40" w:after="40" w:line="276" w:lineRule="auto"/>
            </w:pPr>
            <w:r>
              <w:rPr>
                <w:rFonts w:ascii="Calibri" w:hAnsi="Calibri"/>
                <w:color w:val="334155"/>
                <w:sz w:val="19"/>
              </w:rPr>
              <w:t>[5] Curriculum X-Ray compares taught syllabi against industry signals and yields modernization checklist</w:t>
            </w:r>
          </w:p>
        </w:tc>
      </w:tr>
    </w:tbl>
    <w:p>
      <w:pPr>
        <w:spacing w:after="80"/>
      </w:pPr>
    </w:p>
    <w:p>
      <w:pPr>
        <w:keepNext/>
        <w:spacing w:before="240" w:after="80"/>
      </w:pPr>
      <w:r>
        <w:rPr>
          <w:rFonts w:ascii="Calibri" w:hAnsi="Calibri"/>
          <w:b/>
          <w:color w:val="1E5AA8"/>
          <w:sz w:val="26"/>
        </w:rPr>
        <w:t>Workflow 2: Employer Validation to Executive Policy Brief</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4" w:space="0" w:color="1E5AA8"/>
              <w:bottom w:val="none"/>
              <w:right w:val="none"/>
            </w:tcBorders>
          </w:tcPr>
          <w:p>
            <w:pPr>
              <w:spacing w:before="40" w:after="40" w:line="276" w:lineRule="auto"/>
            </w:pPr>
            <w:r>
              <w:rPr>
                <w:b/>
                <w:color w:val="0F2744"/>
                <w:sz w:val="21"/>
              </w:rPr>
              <w:t>Operational Workflow 2</w:t>
              <w:br/>
            </w:r>
          </w:p>
          <w:p>
            <w:pPr>
              <w:spacing w:before="40" w:after="40" w:line="276" w:lineRule="auto"/>
            </w:pPr>
            <w:r>
              <w:rPr>
                <w:rFonts w:ascii="Calibri" w:hAnsi="Calibri"/>
                <w:color w:val="334155"/>
                <w:sz w:val="19"/>
              </w:rPr>
              <w:t>[1] Identified Curriculum Shortfall &amp; Deficit Matrix</w:t>
            </w:r>
          </w:p>
          <w:p>
            <w:pPr>
              <w:spacing w:before="40" w:after="40" w:line="276" w:lineRule="auto"/>
            </w:pPr>
            <w:r>
              <w:rPr>
                <w:rFonts w:ascii="Consolas" w:hAnsi="Consolas"/>
                <w:color w:val="334155"/>
                <w:sz w:val="19"/>
              </w:rPr>
              <w:t xml:space="preserve">      │</w:t>
            </w:r>
          </w:p>
          <w:p>
            <w:pPr>
              <w:spacing w:before="40" w:after="40" w:line="276" w:lineRule="auto"/>
            </w:pPr>
            <w:r>
              <w:rPr>
                <w:rFonts w:ascii="Calibri" w:hAnsi="Calibri"/>
                <w:color w:val="334155"/>
                <w:sz w:val="19"/>
              </w:rPr>
              <w:t xml:space="preserve">      ▼</w:t>
            </w:r>
          </w:p>
          <w:p>
            <w:pPr>
              <w:spacing w:before="40" w:after="40" w:line="276" w:lineRule="auto"/>
            </w:pPr>
            <w:r>
              <w:rPr>
                <w:rFonts w:ascii="Calibri" w:hAnsi="Calibri"/>
                <w:color w:val="334155"/>
                <w:sz w:val="19"/>
              </w:rPr>
              <w:t>[2] Employer Validation Portal gathers industry leader consensus (Confirm / Modify / Reject)</w:t>
            </w:r>
          </w:p>
          <w:p>
            <w:pPr>
              <w:spacing w:before="40" w:after="40" w:line="276" w:lineRule="auto"/>
            </w:pPr>
            <w:r>
              <w:rPr>
                <w:rFonts w:ascii="Consolas" w:hAnsi="Consolas"/>
                <w:color w:val="334155"/>
                <w:sz w:val="19"/>
              </w:rPr>
              <w:t xml:space="preserve">      │</w:t>
            </w:r>
          </w:p>
          <w:p>
            <w:pPr>
              <w:spacing w:before="40" w:after="40" w:line="276" w:lineRule="auto"/>
            </w:pPr>
            <w:r>
              <w:rPr>
                <w:rFonts w:ascii="Calibri" w:hAnsi="Calibri"/>
                <w:color w:val="334155"/>
                <w:sz w:val="19"/>
              </w:rPr>
              <w:t xml:space="preserve">      ▼</w:t>
            </w:r>
          </w:p>
          <w:p>
            <w:pPr>
              <w:spacing w:before="40" w:after="40" w:line="276" w:lineRule="auto"/>
            </w:pPr>
            <w:r>
              <w:rPr>
                <w:rFonts w:ascii="Calibri" w:hAnsi="Calibri"/>
                <w:color w:val="334155"/>
                <w:sz w:val="19"/>
              </w:rPr>
              <w:t>[3] What-If Policy Simulator models budget shifts, seat rebalancing, and placement ROI lift</w:t>
            </w:r>
          </w:p>
          <w:p>
            <w:pPr>
              <w:spacing w:before="40" w:after="40" w:line="276" w:lineRule="auto"/>
            </w:pPr>
            <w:r>
              <w:rPr>
                <w:rFonts w:ascii="Consolas" w:hAnsi="Consolas"/>
                <w:color w:val="334155"/>
                <w:sz w:val="19"/>
              </w:rPr>
              <w:t xml:space="preserve">      │</w:t>
            </w:r>
          </w:p>
          <w:p>
            <w:pPr>
              <w:spacing w:before="40" w:after="40" w:line="276" w:lineRule="auto"/>
            </w:pPr>
            <w:r>
              <w:rPr>
                <w:rFonts w:ascii="Calibri" w:hAnsi="Calibri"/>
                <w:color w:val="334155"/>
                <w:sz w:val="19"/>
              </w:rPr>
              <w:t xml:space="preserve">      ▼</w:t>
            </w:r>
          </w:p>
          <w:p>
            <w:pPr>
              <w:spacing w:before="40" w:after="40" w:line="276" w:lineRule="auto"/>
            </w:pPr>
            <w:r>
              <w:rPr>
                <w:rFonts w:ascii="Calibri" w:hAnsi="Calibri"/>
                <w:color w:val="334155"/>
                <w:sz w:val="19"/>
              </w:rPr>
              <w:t>[4] Policy Decision Engine generates a phased, ready-to-sign executive brief with institutional targets</w:t>
            </w:r>
          </w:p>
        </w:tc>
      </w:tr>
    </w:tbl>
    <w:p>
      <w:pPr>
        <w:spacing w:after="80"/>
      </w:pPr>
    </w:p>
    <w:p>
      <w:pPr>
        <w:keepNext/>
        <w:spacing w:before="360" w:after="120"/>
      </w:pPr>
      <w:r>
        <w:rPr>
          <w:rFonts w:ascii="Calibri" w:hAnsi="Calibri"/>
          <w:b/>
          <w:color w:val="0F2744"/>
          <w:sz w:val="32"/>
        </w:rPr>
        <w:t>6. Security, Privacy &amp; Reliability Guarantees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2592"/>
            <w:shd w:fill="0F2744"/>
            <w:tcMar>
              <w:top w:w="120" w:type="dxa"/>
              <w:bottom w:w="120" w:type="dxa"/>
              <w:left w:w="100" w:type="dxa"/>
              <w:right w:w="100" w:type="dxa"/>
            </w:tcMar>
          </w:tcPr>
          <w:p>
            <w:r>
              <w:rPr>
                <w:b/>
                <w:color w:val="FFFFFF"/>
                <w:sz w:val="19"/>
              </w:rPr>
              <w:t>Security Domain</w:t>
            </w:r>
          </w:p>
        </w:tc>
        <w:tc>
          <w:tcPr>
            <w:tcW w:type="dxa" w:w="2592"/>
            <w:shd w:fill="0F2744"/>
            <w:tcMar>
              <w:top w:w="120" w:type="dxa"/>
              <w:bottom w:w="120" w:type="dxa"/>
              <w:left w:w="100" w:type="dxa"/>
              <w:right w:w="100" w:type="dxa"/>
            </w:tcMar>
          </w:tcPr>
          <w:p>
            <w:r>
              <w:rPr>
                <w:b/>
                <w:color w:val="FFFFFF"/>
                <w:sz w:val="19"/>
              </w:rPr>
              <w:t>Architectural Mechanism</w:t>
            </w:r>
          </w:p>
        </w:tc>
        <w:tc>
          <w:tcPr>
            <w:tcW w:type="dxa" w:w="4176"/>
            <w:shd w:fill="0F2744"/>
            <w:tcMar>
              <w:top w:w="120" w:type="dxa"/>
              <w:bottom w:w="120" w:type="dxa"/>
              <w:left w:w="100" w:type="dxa"/>
              <w:right w:w="100" w:type="dxa"/>
            </w:tcMar>
          </w:tcPr>
          <w:p>
            <w:r>
              <w:rPr>
                <w:b/>
                <w:color w:val="FFFFFF"/>
                <w:sz w:val="19"/>
              </w:rPr>
              <w:t>Implementation Standard</w:t>
            </w:r>
          </w:p>
        </w:tc>
      </w:tr>
      <w:tr>
        <w:tc>
          <w:tcPr>
            <w:tcW w:type="dxa" w:w="2592"/>
            <w:shd w:fill="FFFFFF"/>
            <w:tcMar>
              <w:top w:w="80" w:type="dxa"/>
              <w:bottom w:w="80" w:type="dxa"/>
              <w:left w:w="100" w:type="dxa"/>
              <w:right w:w="100" w:type="dxa"/>
            </w:tcMar>
          </w:tcPr>
          <w:p>
            <w:r>
              <w:rPr>
                <w:b/>
                <w:color w:val="0F2744"/>
                <w:sz w:val="18"/>
              </w:rPr>
              <w:t>API Secret Protection</w:t>
            </w:r>
          </w:p>
        </w:tc>
        <w:tc>
          <w:tcPr>
            <w:tcW w:type="dxa" w:w="2592"/>
            <w:shd w:fill="FFFFFF"/>
            <w:tcMar>
              <w:top w:w="80" w:type="dxa"/>
              <w:bottom w:w="80" w:type="dxa"/>
              <w:left w:w="100" w:type="dxa"/>
              <w:right w:w="100" w:type="dxa"/>
            </w:tcMar>
          </w:tcPr>
          <w:p>
            <w:r>
              <w:rPr>
                <w:sz w:val="18"/>
              </w:rPr>
              <w:t>Server-Side Confinement</w:t>
            </w:r>
          </w:p>
        </w:tc>
        <w:tc>
          <w:tcPr>
            <w:tcW w:type="dxa" w:w="4176"/>
            <w:shd w:fill="FFFFFF"/>
            <w:tcMar>
              <w:top w:w="80" w:type="dxa"/>
              <w:bottom w:w="80" w:type="dxa"/>
              <w:left w:w="100" w:type="dxa"/>
              <w:right w:w="100" w:type="dxa"/>
            </w:tcMar>
          </w:tcPr>
          <w:p>
            <w:r>
              <w:rPr>
                <w:sz w:val="18"/>
              </w:rPr>
              <w:t>GROQ_API_KEY and service role keys are strictly excluded from browser bundles. No NEXT_PUBLIC_ prefixes on secrets.</w:t>
            </w:r>
          </w:p>
        </w:tc>
      </w:tr>
      <w:tr>
        <w:tc>
          <w:tcPr>
            <w:tcW w:type="dxa" w:w="2592"/>
            <w:shd w:fill="F8FAFC"/>
            <w:tcMar>
              <w:top w:w="80" w:type="dxa"/>
              <w:bottom w:w="80" w:type="dxa"/>
              <w:left w:w="100" w:type="dxa"/>
              <w:right w:w="100" w:type="dxa"/>
            </w:tcMar>
          </w:tcPr>
          <w:p>
            <w:r>
              <w:rPr>
                <w:b/>
                <w:color w:val="0F2744"/>
                <w:sz w:val="18"/>
              </w:rPr>
              <w:t>Dynamic Secret Redaction</w:t>
            </w:r>
          </w:p>
        </w:tc>
        <w:tc>
          <w:tcPr>
            <w:tcW w:type="dxa" w:w="2592"/>
            <w:shd w:fill="F8FAFC"/>
            <w:tcMar>
              <w:top w:w="80" w:type="dxa"/>
              <w:bottom w:w="80" w:type="dxa"/>
              <w:left w:w="100" w:type="dxa"/>
              <w:right w:w="100" w:type="dxa"/>
            </w:tcMar>
          </w:tcPr>
          <w:p>
            <w:r>
              <w:rPr>
                <w:sz w:val="18"/>
              </w:rPr>
              <w:t>Dynamic Log/Response Redaction</w:t>
            </w:r>
          </w:p>
        </w:tc>
        <w:tc>
          <w:tcPr>
            <w:tcW w:type="dxa" w:w="4176"/>
            <w:shd w:fill="F8FAFC"/>
            <w:tcMar>
              <w:top w:w="80" w:type="dxa"/>
              <w:bottom w:w="80" w:type="dxa"/>
              <w:left w:w="100" w:type="dxa"/>
              <w:right w:w="100" w:type="dxa"/>
            </w:tcMar>
          </w:tcPr>
          <w:p>
            <w:r>
              <w:rPr>
                <w:sz w:val="18"/>
              </w:rPr>
              <w:t>redactSecrets() automatically strips gsk_*, sk-*, Bearer tokens, and active keys from logs and client responses.</w:t>
            </w:r>
          </w:p>
        </w:tc>
      </w:tr>
      <w:tr>
        <w:tc>
          <w:tcPr>
            <w:tcW w:type="dxa" w:w="2592"/>
            <w:shd w:fill="FFFFFF"/>
            <w:tcMar>
              <w:top w:w="80" w:type="dxa"/>
              <w:bottom w:w="80" w:type="dxa"/>
              <w:left w:w="100" w:type="dxa"/>
              <w:right w:w="100" w:type="dxa"/>
            </w:tcMar>
          </w:tcPr>
          <w:p>
            <w:r>
              <w:rPr>
                <w:b/>
                <w:color w:val="0F2744"/>
                <w:sz w:val="18"/>
              </w:rPr>
              <w:t>PII Scrubbing</w:t>
            </w:r>
          </w:p>
        </w:tc>
        <w:tc>
          <w:tcPr>
            <w:tcW w:type="dxa" w:w="2592"/>
            <w:shd w:fill="FFFFFF"/>
            <w:tcMar>
              <w:top w:w="80" w:type="dxa"/>
              <w:bottom w:w="80" w:type="dxa"/>
              <w:left w:w="100" w:type="dxa"/>
              <w:right w:w="100" w:type="dxa"/>
            </w:tcMar>
          </w:tcPr>
          <w:p>
            <w:r>
              <w:rPr>
                <w:sz w:val="18"/>
              </w:rPr>
              <w:t>Regex Pre-Inference Filter</w:t>
            </w:r>
          </w:p>
        </w:tc>
        <w:tc>
          <w:tcPr>
            <w:tcW w:type="dxa" w:w="4176"/>
            <w:shd w:fill="FFFFFF"/>
            <w:tcMar>
              <w:top w:w="80" w:type="dxa"/>
              <w:bottom w:w="80" w:type="dxa"/>
              <w:left w:w="100" w:type="dxa"/>
              <w:right w:w="100" w:type="dxa"/>
            </w:tcMar>
          </w:tcPr>
          <w:p>
            <w:r>
              <w:rPr>
                <w:sz w:val="18"/>
              </w:rPr>
              <w:t>Scrubs emails, phone numbers, and web profiles before passing text to cloud inference models.</w:t>
            </w:r>
          </w:p>
        </w:tc>
      </w:tr>
      <w:tr>
        <w:tc>
          <w:tcPr>
            <w:tcW w:type="dxa" w:w="2592"/>
            <w:shd w:fill="F8FAFC"/>
            <w:tcMar>
              <w:top w:w="80" w:type="dxa"/>
              <w:bottom w:w="80" w:type="dxa"/>
              <w:left w:w="100" w:type="dxa"/>
              <w:right w:w="100" w:type="dxa"/>
            </w:tcMar>
          </w:tcPr>
          <w:p>
            <w:r>
              <w:rPr>
                <w:b/>
                <w:color w:val="0F2744"/>
                <w:sz w:val="18"/>
              </w:rPr>
              <w:t>Prompt Injection Defense</w:t>
            </w:r>
          </w:p>
        </w:tc>
        <w:tc>
          <w:tcPr>
            <w:tcW w:type="dxa" w:w="2592"/>
            <w:shd w:fill="F8FAFC"/>
            <w:tcMar>
              <w:top w:w="80" w:type="dxa"/>
              <w:bottom w:w="80" w:type="dxa"/>
              <w:left w:w="100" w:type="dxa"/>
              <w:right w:w="100" w:type="dxa"/>
            </w:tcMar>
          </w:tcPr>
          <w:p>
            <w:r>
              <w:rPr>
                <w:sz w:val="18"/>
              </w:rPr>
              <w:t>Passive Boundary Encapsulation</w:t>
            </w:r>
          </w:p>
        </w:tc>
        <w:tc>
          <w:tcPr>
            <w:tcW w:type="dxa" w:w="4176"/>
            <w:shd w:fill="F8FAFC"/>
            <w:tcMar>
              <w:top w:w="80" w:type="dxa"/>
              <w:bottom w:w="80" w:type="dxa"/>
              <w:left w:w="100" w:type="dxa"/>
              <w:right w:w="100" w:type="dxa"/>
            </w:tcMar>
          </w:tcPr>
          <w:p>
            <w:r>
              <w:rPr>
                <w:sz w:val="18"/>
              </w:rPr>
              <w:t>Encloses untrusted inputs within &lt;untrusted_document_content&gt; tags, preventing system instruction overrides.</w:t>
            </w:r>
          </w:p>
        </w:tc>
      </w:tr>
      <w:tr>
        <w:tc>
          <w:tcPr>
            <w:tcW w:type="dxa" w:w="2592"/>
            <w:shd w:fill="FFFFFF"/>
            <w:tcMar>
              <w:top w:w="80" w:type="dxa"/>
              <w:bottom w:w="80" w:type="dxa"/>
              <w:left w:w="100" w:type="dxa"/>
              <w:right w:w="100" w:type="dxa"/>
            </w:tcMar>
          </w:tcPr>
          <w:p>
            <w:r>
              <w:rPr>
                <w:b/>
                <w:color w:val="0F2744"/>
                <w:sz w:val="18"/>
              </w:rPr>
              <w:t>Rate Limiting</w:t>
            </w:r>
          </w:p>
        </w:tc>
        <w:tc>
          <w:tcPr>
            <w:tcW w:type="dxa" w:w="2592"/>
            <w:shd w:fill="FFFFFF"/>
            <w:tcMar>
              <w:top w:w="80" w:type="dxa"/>
              <w:bottom w:w="80" w:type="dxa"/>
              <w:left w:w="100" w:type="dxa"/>
              <w:right w:w="100" w:type="dxa"/>
            </w:tcMar>
          </w:tcPr>
          <w:p>
            <w:r>
              <w:rPr>
                <w:sz w:val="18"/>
              </w:rPr>
              <w:t>Token-Bucket IP Limiter</w:t>
            </w:r>
          </w:p>
        </w:tc>
        <w:tc>
          <w:tcPr>
            <w:tcW w:type="dxa" w:w="4176"/>
            <w:shd w:fill="FFFFFF"/>
            <w:tcMar>
              <w:top w:w="80" w:type="dxa"/>
              <w:bottom w:w="80" w:type="dxa"/>
              <w:left w:w="100" w:type="dxa"/>
              <w:right w:w="100" w:type="dxa"/>
            </w:tcMar>
          </w:tcPr>
          <w:p>
            <w:r>
              <w:rPr>
                <w:sz w:val="18"/>
              </w:rPr>
              <w:t>Restricts AI extraction and batch ingestion to 20 requests per minute per IP address.</w:t>
            </w:r>
          </w:p>
        </w:tc>
      </w:tr>
      <w:tr>
        <w:tc>
          <w:tcPr>
            <w:tcW w:type="dxa" w:w="2592"/>
            <w:shd w:fill="F8FAFC"/>
            <w:tcMar>
              <w:top w:w="80" w:type="dxa"/>
              <w:bottom w:w="80" w:type="dxa"/>
              <w:left w:w="100" w:type="dxa"/>
              <w:right w:w="100" w:type="dxa"/>
            </w:tcMar>
          </w:tcPr>
          <w:p>
            <w:r>
              <w:rPr>
                <w:b/>
                <w:color w:val="0F2744"/>
                <w:sz w:val="18"/>
              </w:rPr>
              <w:t>CSRF Verification</w:t>
            </w:r>
          </w:p>
        </w:tc>
        <w:tc>
          <w:tcPr>
            <w:tcW w:type="dxa" w:w="2592"/>
            <w:shd w:fill="F8FAFC"/>
            <w:tcMar>
              <w:top w:w="80" w:type="dxa"/>
              <w:bottom w:w="80" w:type="dxa"/>
              <w:left w:w="100" w:type="dxa"/>
              <w:right w:w="100" w:type="dxa"/>
            </w:tcMar>
          </w:tcPr>
          <w:p>
            <w:r>
              <w:rPr>
                <w:sz w:val="18"/>
              </w:rPr>
              <w:t>Origin &amp; Host Header Enforcement</w:t>
            </w:r>
          </w:p>
        </w:tc>
        <w:tc>
          <w:tcPr>
            <w:tcW w:type="dxa" w:w="4176"/>
            <w:shd w:fill="F8FAFC"/>
            <w:tcMar>
              <w:top w:w="80" w:type="dxa"/>
              <w:bottom w:w="80" w:type="dxa"/>
              <w:left w:w="100" w:type="dxa"/>
              <w:right w:w="100" w:type="dxa"/>
            </w:tcMar>
          </w:tcPr>
          <w:p>
            <w:r>
              <w:rPr>
                <w:sz w:val="18"/>
              </w:rPr>
              <w:t>Blocks cross-origin state mutations (POST, PUT, DELETE) across all /api/* routes.</w:t>
            </w:r>
          </w:p>
        </w:tc>
      </w:tr>
      <w:tr>
        <w:tc>
          <w:tcPr>
            <w:tcW w:type="dxa" w:w="2592"/>
            <w:shd w:fill="FFFFFF"/>
            <w:tcMar>
              <w:top w:w="80" w:type="dxa"/>
              <w:bottom w:w="80" w:type="dxa"/>
              <w:left w:w="100" w:type="dxa"/>
              <w:right w:w="100" w:type="dxa"/>
            </w:tcMar>
          </w:tcPr>
          <w:p>
            <w:r>
              <w:rPr>
                <w:b/>
                <w:color w:val="0F2744"/>
                <w:sz w:val="18"/>
              </w:rPr>
              <w:t>Health &amp; Status Safe Exposure</w:t>
            </w:r>
          </w:p>
        </w:tc>
        <w:tc>
          <w:tcPr>
            <w:tcW w:type="dxa" w:w="2592"/>
            <w:shd w:fill="FFFFFF"/>
            <w:tcMar>
              <w:top w:w="80" w:type="dxa"/>
              <w:bottom w:w="80" w:type="dxa"/>
              <w:left w:w="100" w:type="dxa"/>
              <w:right w:w="100" w:type="dxa"/>
            </w:tcMar>
          </w:tcPr>
          <w:p>
            <w:r>
              <w:rPr>
                <w:sz w:val="18"/>
              </w:rPr>
              <w:t>Zero-Leak Diagnostics</w:t>
            </w:r>
          </w:p>
        </w:tc>
        <w:tc>
          <w:tcPr>
            <w:tcW w:type="dxa" w:w="4176"/>
            <w:shd w:fill="FFFFFF"/>
            <w:tcMar>
              <w:top w:w="80" w:type="dxa"/>
              <w:bottom w:w="80" w:type="dxa"/>
              <w:left w:w="100" w:type="dxa"/>
              <w:right w:w="100" w:type="dxa"/>
            </w:tcMar>
          </w:tcPr>
          <w:p>
            <w:r>
              <w:rPr>
                <w:sz w:val="18"/>
              </w:rPr>
              <w:t>/api/health reports boolean flags (e.g. supabase_configured: bool) without exposing URLs or tokens.</w:t>
            </w:r>
          </w:p>
        </w:tc>
      </w:tr>
    </w:tbl>
    <w:p>
      <w:pPr>
        <w:spacing w:after="160"/>
      </w:pPr>
    </w:p>
    <w:p>
      <w:pPr>
        <w:keepNext/>
        <w:spacing w:before="360" w:after="120"/>
      </w:pPr>
      <w:r>
        <w:rPr>
          <w:rFonts w:ascii="Calibri" w:hAnsi="Calibri"/>
          <w:b/>
          <w:color w:val="0F2744"/>
          <w:sz w:val="32"/>
        </w:rPr>
        <w:t>7. Automated Verification &amp; Production Test Suite</w:t>
      </w:r>
    </w:p>
    <w:p>
      <w:pPr>
        <w:spacing w:before="40" w:after="120" w:line="276" w:lineRule="auto"/>
      </w:pPr>
      <w:r>
        <w:t>Skill Sync AI incorporates a rigorous automated verification suite consisting of 11 test modules comprising 516 total passing tests, complemented by zero-error TypeScript static compilation and a clean production Next.js build:</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4" w:space="0" w:color="1E5AA8"/>
              <w:bottom w:val="none"/>
              <w:right w:val="none"/>
            </w:tcBorders>
          </w:tcPr>
          <w:p>
            <w:pPr>
              <w:spacing w:before="40" w:after="40" w:line="276" w:lineRule="auto"/>
            </w:pPr>
            <w:r>
              <w:rPr>
                <w:b/>
                <w:color w:val="0F2744"/>
                <w:sz w:val="21"/>
              </w:rPr>
              <w:t>Verification Test Matrix</w:t>
              <w:br/>
            </w:r>
          </w:p>
          <w:p>
            <w:pPr>
              <w:spacing w:before="40" w:after="40" w:line="276" w:lineRule="auto"/>
            </w:pPr>
            <w:r>
              <w:rPr>
                <w:rFonts w:ascii="Calibri" w:hAnsi="Calibri"/>
                <w:color w:val="334155"/>
                <w:sz w:val="19"/>
              </w:rPr>
              <w:t>AUTOMATED VERIFICATION SUMMARY:</w:t>
            </w:r>
          </w:p>
          <w:p>
            <w:pPr>
              <w:spacing w:before="40" w:after="40" w:line="276" w:lineRule="auto"/>
            </w:pPr>
            <w:r>
              <w:rPr>
                <w:rFonts w:ascii="Calibri" w:hAnsi="Calibri"/>
                <w:color w:val="334155"/>
                <w:sz w:val="19"/>
              </w:rPr>
              <w:t xml:space="preserve">  ✓ TypeScript Compilation (npx tsc --noEmit)   : 0 Errors (100% Clean)</w:t>
            </w:r>
          </w:p>
          <w:p>
            <w:pPr>
              <w:spacing w:before="40" w:after="40" w:line="276" w:lineRule="auto"/>
            </w:pPr>
            <w:r>
              <w:rPr>
                <w:rFonts w:ascii="Calibri" w:hAnsi="Calibri"/>
                <w:color w:val="334155"/>
                <w:sz w:val="19"/>
              </w:rPr>
              <w:t xml:space="preserve">  ✓ ESLint Static Analysis (npm run lint)       : 0 Warnings, 0 Errors</w:t>
            </w:r>
          </w:p>
          <w:p>
            <w:pPr>
              <w:spacing w:before="40" w:after="40" w:line="276" w:lineRule="auto"/>
            </w:pPr>
            <w:r>
              <w:rPr>
                <w:rFonts w:ascii="Calibri" w:hAnsi="Calibri"/>
                <w:color w:val="334155"/>
                <w:sz w:val="19"/>
              </w:rPr>
              <w:t xml:space="preserve">  ✓ Next.js Production Build (npm run build)    : 100% SUCCESS (27 Static &amp; Dynamic Routes)</w:t>
            </w:r>
          </w:p>
          <w:p>
            <w:pPr>
              <w:spacing w:before="40" w:after="40" w:line="276" w:lineRule="auto"/>
            </w:pPr>
            <w:r>
              <w:rPr>
                <w:rFonts w:ascii="Calibri" w:hAnsi="Calibri"/>
                <w:color w:val="334155"/>
                <w:sz w:val="19"/>
              </w:rPr>
            </w:r>
          </w:p>
          <w:p>
            <w:pPr>
              <w:spacing w:before="40" w:after="40" w:line="276" w:lineRule="auto"/>
            </w:pPr>
            <w:r>
              <w:rPr>
                <w:rFonts w:ascii="Calibri" w:hAnsi="Calibri"/>
                <w:color w:val="334155"/>
                <w:sz w:val="19"/>
              </w:rPr>
              <w:t>TEST SUITE EXECUTION RESULTS:</w:t>
            </w:r>
          </w:p>
          <w:p>
            <w:pPr>
              <w:spacing w:before="40" w:after="40" w:line="276" w:lineRule="auto"/>
            </w:pPr>
            <w:r>
              <w:rPr>
                <w:rFonts w:ascii="Calibri" w:hAnsi="Calibri"/>
                <w:color w:val="334155"/>
                <w:sz w:val="19"/>
              </w:rPr>
              <w:t xml:space="preserve">  1. test_synthetic_demo_dataset.ts             : 59 / 59 PASSED</w:t>
            </w:r>
          </w:p>
          <w:p>
            <w:pPr>
              <w:spacing w:before="40" w:after="40" w:line="276" w:lineRule="auto"/>
            </w:pPr>
            <w:r>
              <w:rPr>
                <w:rFonts w:ascii="Calibri" w:hAnsi="Calibri"/>
                <w:color w:val="334155"/>
                <w:sz w:val="19"/>
              </w:rPr>
              <w:t xml:space="preserve">  2. test_skill_graph.ts                        : 49 / 49 PASSED</w:t>
            </w:r>
          </w:p>
          <w:p>
            <w:pPr>
              <w:spacing w:before="40" w:after="40" w:line="276" w:lineRule="auto"/>
            </w:pPr>
            <w:r>
              <w:rPr>
                <w:rFonts w:ascii="Calibri" w:hAnsi="Calibri"/>
                <w:color w:val="334155"/>
                <w:sz w:val="19"/>
              </w:rPr>
              <w:t xml:space="preserve">  3. test_decision_engine.ts                    : 52 / 52 PASSED</w:t>
            </w:r>
          </w:p>
          <w:p>
            <w:pPr>
              <w:spacing w:before="40" w:after="40" w:line="276" w:lineRule="auto"/>
            </w:pPr>
            <w:r>
              <w:rPr>
                <w:rFonts w:ascii="Calibri" w:hAnsi="Calibri"/>
                <w:color w:val="334155"/>
                <w:sz w:val="19"/>
              </w:rPr>
              <w:t xml:space="preserve">  4. test_curriculum_xray.ts                    : 48 / 48 PASSED</w:t>
            </w:r>
          </w:p>
          <w:p>
            <w:pPr>
              <w:spacing w:before="40" w:after="40" w:line="276" w:lineRule="auto"/>
            </w:pPr>
            <w:r>
              <w:rPr>
                <w:rFonts w:ascii="Calibri" w:hAnsi="Calibri"/>
                <w:color w:val="334155"/>
                <w:sz w:val="19"/>
              </w:rPr>
              <w:t xml:space="preserve">  5. test_whatif_simulator.ts                   : 80 / 80 PASSED</w:t>
            </w:r>
          </w:p>
          <w:p>
            <w:pPr>
              <w:spacing w:before="40" w:after="40" w:line="276" w:lineRule="auto"/>
            </w:pPr>
            <w:r>
              <w:rPr>
                <w:rFonts w:ascii="Calibri" w:hAnsi="Calibri"/>
                <w:color w:val="334155"/>
                <w:sz w:val="19"/>
              </w:rPr>
              <w:t xml:space="preserve">  6. test_candidate_career_path.ts              : 38 / 38 PASSED</w:t>
            </w:r>
          </w:p>
          <w:p>
            <w:pPr>
              <w:spacing w:before="40" w:after="40" w:line="276" w:lineRule="auto"/>
            </w:pPr>
            <w:r>
              <w:rPr>
                <w:rFonts w:ascii="Calibri" w:hAnsi="Calibri"/>
                <w:color w:val="334155"/>
                <w:sz w:val="19"/>
              </w:rPr>
              <w:t xml:space="preserve">  7. test_employer_validation.ts                : 37 / 37 PASSED</w:t>
            </w:r>
          </w:p>
          <w:p>
            <w:pPr>
              <w:spacing w:before="40" w:after="40" w:line="276" w:lineRule="auto"/>
            </w:pPr>
            <w:r>
              <w:rPr>
                <w:rFonts w:ascii="Calibri" w:hAnsi="Calibri"/>
                <w:color w:val="334155"/>
                <w:sz w:val="19"/>
              </w:rPr>
              <w:t xml:space="preserve">  8. test_ai_intelligence.ts                    : 58 / 58 PASSED</w:t>
            </w:r>
          </w:p>
          <w:p>
            <w:pPr>
              <w:spacing w:before="40" w:after="40" w:line="276" w:lineRule="auto"/>
            </w:pPr>
            <w:r>
              <w:rPr>
                <w:rFonts w:ascii="Calibri" w:hAnsi="Calibri"/>
                <w:color w:val="334155"/>
                <w:sz w:val="19"/>
              </w:rPr>
              <w:t xml:space="preserve">  9. test_ingestion.ts                          : 23 / 23 PASSED</w:t>
            </w:r>
          </w:p>
          <w:p>
            <w:pPr>
              <w:spacing w:before="40" w:after="40" w:line="276" w:lineRule="auto"/>
            </w:pPr>
            <w:r>
              <w:rPr>
                <w:rFonts w:ascii="Calibri" w:hAnsi="Calibri"/>
                <w:color w:val="334155"/>
                <w:sz w:val="19"/>
              </w:rPr>
              <w:t xml:space="preserve">  10. test_radar_api.ts                         : 55 / 55 PASSED</w:t>
            </w:r>
          </w:p>
          <w:p>
            <w:pPr>
              <w:spacing w:before="40" w:after="40" w:line="276" w:lineRule="auto"/>
            </w:pPr>
            <w:r>
              <w:rPr>
                <w:rFonts w:ascii="Calibri" w:hAnsi="Calibri"/>
                <w:color w:val="334155"/>
                <w:sz w:val="19"/>
              </w:rPr>
              <w:t xml:space="preserve">  11. test_environment_config.ts                : 17 / 17 PASSED</w:t>
            </w:r>
          </w:p>
          <w:p>
            <w:pPr>
              <w:spacing w:before="40" w:after="40" w:line="276" w:lineRule="auto"/>
            </w:pPr>
            <w:r>
              <w:rPr>
                <w:rFonts w:ascii="Calibri" w:hAnsi="Calibri"/>
                <w:color w:val="334155"/>
                <w:sz w:val="19"/>
              </w:rPr>
              <w:t>------------------------------------------------------------------------</w:t>
            </w:r>
          </w:p>
          <w:p>
            <w:pPr>
              <w:spacing w:before="40" w:after="40" w:line="276" w:lineRule="auto"/>
            </w:pPr>
            <w:r>
              <w:rPr>
                <w:rFonts w:ascii="Calibri" w:hAnsi="Calibri"/>
                <w:color w:val="334155"/>
                <w:sz w:val="19"/>
              </w:rPr>
              <w:t>TOTAL VERIFIED AUTOMATED TESTS                  : 516 PASSED / 0 FAILED</w:t>
            </w:r>
          </w:p>
        </w:tc>
      </w:tr>
    </w:tbl>
    <w:p>
      <w:pPr>
        <w:spacing w:after="80"/>
      </w:pPr>
    </w:p>
    <w:p>
      <w:pPr>
        <w:keepNext/>
        <w:spacing w:before="360" w:after="120"/>
      </w:pPr>
      <w:r>
        <w:rPr>
          <w:rFonts w:ascii="Calibri" w:hAnsi="Calibri"/>
          <w:b/>
          <w:color w:val="0F2744"/>
          <w:sz w:val="32"/>
        </w:rPr>
        <w:t>8. Dashboard Guide: Inputs, Outputs &amp; Purpose by Screen</w:t>
      </w:r>
    </w:p>
    <w:p>
      <w:pPr>
        <w:spacing w:before="40" w:after="120" w:line="276" w:lineRule="auto"/>
      </w:pPr>
      <w:r>
        <w:t>Below is the complete reference guide for every dashboard and intelligence module across Skill Sync AI. Each section is articulated in direct, simple sentences defining what it takes, what it gives, and for which purpose.</w:t>
      </w:r>
    </w:p>
    <w:p>
      <w:pPr>
        <w:keepNext/>
        <w:spacing w:before="240" w:after="80"/>
      </w:pPr>
      <w:r>
        <w:rPr>
          <w:rFonts w:ascii="Calibri" w:hAnsi="Calibri"/>
          <w:b/>
          <w:color w:val="1E5AA8"/>
          <w:sz w:val="26"/>
        </w:rPr>
        <w:t>1. Main Workforce Intelligence Dashboard (`/dashboard`)</w:t>
      </w:r>
    </w:p>
    <w:p>
      <w:pPr>
        <w:pStyle w:val="ListBullet"/>
        <w:spacing w:before="40" w:after="60" w:line="276" w:lineRule="auto"/>
      </w:pPr>
      <w:r>
        <w:rPr>
          <w:b/>
          <w:color w:val="0F2744"/>
        </w:rPr>
        <w:t xml:space="preserve">What it takes (Inputs): </w:t>
      </w:r>
      <w:r>
        <w:t>It collects live job signals, national skill lists, curriculum audit scores, and employer survey feedback across regional industrial hubs.</w:t>
      </w:r>
    </w:p>
    <w:p>
      <w:pPr>
        <w:pStyle w:val="ListBullet"/>
        <w:spacing w:before="40" w:after="60" w:line="276" w:lineRule="auto"/>
      </w:pPr>
      <w:r>
        <w:rPr>
          <w:b/>
          <w:color w:val="0F2744"/>
        </w:rPr>
        <w:t xml:space="preserve">What it gives (Outputs): </w:t>
      </w:r>
      <w:r>
        <w:t>It gives six primary numbers: total job signals, verified skills, critical skill deficits, employer approval percentage, covered districts, and average job placement rate.</w:t>
      </w:r>
    </w:p>
    <w:p>
      <w:pPr>
        <w:pStyle w:val="ListBullet"/>
        <w:spacing w:before="40" w:after="60" w:line="276" w:lineRule="auto"/>
      </w:pPr>
      <w:r>
        <w:rPr>
          <w:b/>
          <w:color w:val="0F2744"/>
        </w:rPr>
        <w:t xml:space="preserve">For which purpose (Purpose): </w:t>
      </w:r>
      <w:r>
        <w:t>It gives state leaders and education directors a quick, high-level overview of the entire workforce ecosystem in one place.</w:t>
      </w:r>
    </w:p>
    <w:p>
      <w:pPr>
        <w:spacing w:after="40"/>
      </w:pPr>
    </w:p>
    <w:p>
      <w:pPr>
        <w:keepNext/>
        <w:spacing w:before="240" w:after="80"/>
      </w:pPr>
      <w:r>
        <w:rPr>
          <w:rFonts w:ascii="Calibri" w:hAnsi="Calibri"/>
          <w:b/>
          <w:color w:val="1E5AA8"/>
          <w:sz w:val="26"/>
        </w:rPr>
        <w:t>2. Labour Market Demand Radar (`/labour-market`)</w:t>
      </w:r>
    </w:p>
    <w:p>
      <w:pPr>
        <w:pStyle w:val="ListBullet"/>
        <w:spacing w:before="40" w:after="60" w:line="276" w:lineRule="auto"/>
      </w:pPr>
      <w:r>
        <w:rPr>
          <w:b/>
          <w:color w:val="0F2744"/>
        </w:rPr>
        <w:t xml:space="preserve">What it takes (Inputs): </w:t>
      </w:r>
      <w:r>
        <w:t>It takes job postings, vacancy numbers, hiring company names, and salary ranges from target districts over 30, 90, and 180 days.</w:t>
      </w:r>
    </w:p>
    <w:p>
      <w:pPr>
        <w:pStyle w:val="ListBullet"/>
        <w:spacing w:before="40" w:after="60" w:line="276" w:lineRule="auto"/>
      </w:pPr>
      <w:r>
        <w:rPr>
          <w:b/>
          <w:color w:val="0F2744"/>
        </w:rPr>
        <w:t xml:space="preserve">What it gives (Outputs): </w:t>
      </w:r>
      <w:r>
        <w:t>It categorizes skills into four clear groups: Emerging (growing very fast), Growing (steady increase), Stable (unchanged), and Declining (shrinking or obsolete).</w:t>
      </w:r>
    </w:p>
    <w:p>
      <w:pPr>
        <w:pStyle w:val="ListBullet"/>
        <w:spacing w:before="40" w:after="60" w:line="276" w:lineRule="auto"/>
      </w:pPr>
      <w:r>
        <w:rPr>
          <w:b/>
          <w:color w:val="0F2744"/>
        </w:rPr>
        <w:t xml:space="preserve">For which purpose (Purpose): </w:t>
      </w:r>
      <w:r>
        <w:t>It helps educational leaders spot new in-demand technologies early and stop investing in dying trades before students waste time on them.</w:t>
      </w:r>
    </w:p>
    <w:p>
      <w:pPr>
        <w:spacing w:after="40"/>
      </w:pPr>
    </w:p>
    <w:p>
      <w:pPr>
        <w:keepNext/>
        <w:spacing w:before="240" w:after="80"/>
      </w:pPr>
      <w:r>
        <w:rPr>
          <w:rFonts w:ascii="Calibri" w:hAnsi="Calibri"/>
          <w:b/>
          <w:color w:val="1E5AA8"/>
          <w:sz w:val="26"/>
        </w:rPr>
        <w:t>3. AI Skill Intelligence &amp; Taxonomy Extractor (`/skill-intelligence`)</w:t>
      </w:r>
    </w:p>
    <w:p>
      <w:pPr>
        <w:pStyle w:val="ListBullet"/>
        <w:spacing w:before="40" w:after="60" w:line="276" w:lineRule="auto"/>
      </w:pPr>
      <w:r>
        <w:rPr>
          <w:b/>
          <w:color w:val="0F2744"/>
        </w:rPr>
        <w:t xml:space="preserve">What it takes (Inputs): </w:t>
      </w:r>
      <w:r>
        <w:t>It takes raw, unstructured job description text from employers, company emails, and recruitment notices.</w:t>
      </w:r>
    </w:p>
    <w:p>
      <w:pPr>
        <w:pStyle w:val="ListBullet"/>
        <w:spacing w:before="40" w:after="60" w:line="276" w:lineRule="auto"/>
      </w:pPr>
      <w:r>
        <w:rPr>
          <w:b/>
          <w:color w:val="0F2744"/>
        </w:rPr>
        <w:t xml:space="preserve">What it gives (Outputs): </w:t>
      </w:r>
      <w:r>
        <w:t>It automatically removes private personal info (emails and phone numbers), extracts technical skills, matches them to standard names, and highlights exact quotes from the text as proof.</w:t>
      </w:r>
    </w:p>
    <w:p>
      <w:pPr>
        <w:pStyle w:val="ListBullet"/>
        <w:spacing w:before="40" w:after="60" w:line="276" w:lineRule="auto"/>
      </w:pPr>
      <w:r>
        <w:rPr>
          <w:b/>
          <w:color w:val="0F2744"/>
        </w:rPr>
        <w:t xml:space="preserve">For which purpose (Purpose): </w:t>
      </w:r>
      <w:r>
        <w:t>It converts messy paragraphs written by recruiters into clean, structured data so machines and analysts can understand exact job requirements.</w:t>
      </w:r>
    </w:p>
    <w:p>
      <w:pPr>
        <w:spacing w:after="40"/>
      </w:pPr>
    </w:p>
    <w:p>
      <w:pPr>
        <w:keepNext/>
        <w:spacing w:before="240" w:after="80"/>
      </w:pPr>
      <w:r>
        <w:rPr>
          <w:rFonts w:ascii="Calibri" w:hAnsi="Calibri"/>
          <w:b/>
          <w:color w:val="1E5AA8"/>
          <w:sz w:val="26"/>
        </w:rPr>
        <w:t>4. District Intelligence (`/district-intelligence`)</w:t>
      </w:r>
    </w:p>
    <w:p>
      <w:pPr>
        <w:pStyle w:val="ListBullet"/>
        <w:spacing w:before="40" w:after="60" w:line="276" w:lineRule="auto"/>
      </w:pPr>
      <w:r>
        <w:rPr>
          <w:b/>
          <w:color w:val="0F2744"/>
        </w:rPr>
        <w:t xml:space="preserve">What it takes (Inputs): </w:t>
      </w:r>
      <w:r>
        <w:t>It takes geographic location data, local factory types, open job positions, and vocational school lists for each district.</w:t>
      </w:r>
    </w:p>
    <w:p>
      <w:pPr>
        <w:pStyle w:val="ListBullet"/>
        <w:spacing w:before="40" w:after="60" w:line="276" w:lineRule="auto"/>
      </w:pPr>
      <w:r>
        <w:rPr>
          <w:b/>
          <w:color w:val="0F2744"/>
        </w:rPr>
        <w:t xml:space="preserve">What it gives (Outputs): </w:t>
      </w:r>
      <w:r>
        <w:t>It gives district-by-district report cards showing top local employers, major skill shortages, and local training capacity.</w:t>
      </w:r>
    </w:p>
    <w:p>
      <w:pPr>
        <w:pStyle w:val="ListBullet"/>
        <w:spacing w:before="40" w:after="60" w:line="276" w:lineRule="auto"/>
      </w:pPr>
      <w:r>
        <w:rPr>
          <w:b/>
          <w:color w:val="0F2744"/>
        </w:rPr>
        <w:t xml:space="preserve">For which purpose (Purpose): </w:t>
      </w:r>
      <w:r>
        <w:t>It helps district collectors and local skill committees create training programs that match the exact factories and businesses in their own town.</w:t>
      </w:r>
    </w:p>
    <w:p>
      <w:pPr>
        <w:spacing w:after="40"/>
      </w:pPr>
    </w:p>
    <w:p>
      <w:pPr>
        <w:keepNext/>
        <w:spacing w:before="240" w:after="80"/>
      </w:pPr>
      <w:r>
        <w:rPr>
          <w:rFonts w:ascii="Calibri" w:hAnsi="Calibri"/>
          <w:b/>
          <w:color w:val="1E5AA8"/>
          <w:sz w:val="26"/>
        </w:rPr>
        <w:t>5. Curriculum X-Ray (`/curriculum-xray`)</w:t>
      </w:r>
    </w:p>
    <w:p>
      <w:pPr>
        <w:pStyle w:val="ListBullet"/>
        <w:spacing w:before="40" w:after="60" w:line="276" w:lineRule="auto"/>
      </w:pPr>
      <w:r>
        <w:rPr>
          <w:b/>
          <w:color w:val="0F2744"/>
        </w:rPr>
        <w:t xml:space="preserve">What it takes (Inputs): </w:t>
      </w:r>
      <w:r>
        <w:t>It takes registered vocational training course syllabi and compares each module with current industrial job requirements.</w:t>
      </w:r>
    </w:p>
    <w:p>
      <w:pPr>
        <w:pStyle w:val="ListBullet"/>
        <w:spacing w:before="40" w:after="60" w:line="276" w:lineRule="auto"/>
      </w:pPr>
      <w:r>
        <w:rPr>
          <w:b/>
          <w:color w:val="0F2744"/>
        </w:rPr>
        <w:t xml:space="preserve">What it gives (Outputs): </w:t>
      </w:r>
      <w:r>
        <w:t>It gives an alignment score percentage, calculates the exact hours wasted on obsolete topics, and lists missing modern skills.</w:t>
      </w:r>
    </w:p>
    <w:p>
      <w:pPr>
        <w:pStyle w:val="ListBullet"/>
        <w:spacing w:before="40" w:after="60" w:line="276" w:lineRule="auto"/>
      </w:pPr>
      <w:r>
        <w:rPr>
          <w:b/>
          <w:color w:val="0F2744"/>
        </w:rPr>
        <w:t xml:space="preserve">For which purpose (Purpose): </w:t>
      </w:r>
      <w:r>
        <w:t>It tells syllabus committees exactly which old chapters to delete and which new technical modules to add to keep textbooks up to date.</w:t>
      </w:r>
    </w:p>
    <w:p>
      <w:pPr>
        <w:spacing w:after="40"/>
      </w:pPr>
    </w:p>
    <w:p>
      <w:pPr>
        <w:keepNext/>
        <w:spacing w:before="240" w:after="80"/>
      </w:pPr>
      <w:r>
        <w:rPr>
          <w:rFonts w:ascii="Calibri" w:hAnsi="Calibri"/>
          <w:b/>
          <w:color w:val="1E5AA8"/>
          <w:sz w:val="26"/>
        </w:rPr>
        <w:t>6. Regional Skill Gaps &amp; Deficit Matrix (`/skill-gaps`)</w:t>
      </w:r>
    </w:p>
    <w:p>
      <w:pPr>
        <w:pStyle w:val="ListBullet"/>
        <w:spacing w:before="40" w:after="60" w:line="276" w:lineRule="auto"/>
      </w:pPr>
      <w:r>
        <w:rPr>
          <w:b/>
          <w:color w:val="0F2744"/>
        </w:rPr>
        <w:t xml:space="preserve">What it takes (Inputs): </w:t>
      </w:r>
      <w:r>
        <w:t>It takes local industry hiring demand and subtracts the number of certified graduates coming out of local training schools.</w:t>
      </w:r>
    </w:p>
    <w:p>
      <w:pPr>
        <w:pStyle w:val="ListBullet"/>
        <w:spacing w:before="40" w:after="60" w:line="276" w:lineRule="auto"/>
      </w:pPr>
      <w:r>
        <w:rPr>
          <w:b/>
          <w:color w:val="0F2744"/>
        </w:rPr>
        <w:t xml:space="preserve">What it gives (Outputs): </w:t>
      </w:r>
      <w:r>
        <w:t>It produces a priority list of shortages ranked as Critical, High, or Moderate, with direct action steps to fix them.</w:t>
      </w:r>
    </w:p>
    <w:p>
      <w:pPr>
        <w:pStyle w:val="ListBullet"/>
        <w:spacing w:before="40" w:after="60" w:line="276" w:lineRule="auto"/>
      </w:pPr>
      <w:r>
        <w:rPr>
          <w:b/>
          <w:color w:val="0F2744"/>
        </w:rPr>
        <w:t xml:space="preserve">For which purpose (Purpose): </w:t>
      </w:r>
      <w:r>
        <w:t>It helps state skill departments focus money and resources on the most dangerous shortages that are holding back local industry.</w:t>
      </w:r>
    </w:p>
    <w:p>
      <w:pPr>
        <w:spacing w:after="40"/>
      </w:pPr>
    </w:p>
    <w:p>
      <w:pPr>
        <w:keepNext/>
        <w:spacing w:before="240" w:after="80"/>
      </w:pPr>
      <w:r>
        <w:rPr>
          <w:rFonts w:ascii="Calibri" w:hAnsi="Calibri"/>
          <w:b/>
          <w:color w:val="1E5AA8"/>
          <w:sz w:val="26"/>
        </w:rPr>
        <w:t>7. Interactive Skill Graph (`/skill-graph`)</w:t>
      </w:r>
    </w:p>
    <w:p>
      <w:pPr>
        <w:pStyle w:val="ListBullet"/>
        <w:spacing w:before="40" w:after="60" w:line="276" w:lineRule="auto"/>
      </w:pPr>
      <w:r>
        <w:rPr>
          <w:b/>
          <w:color w:val="0F2744"/>
        </w:rPr>
        <w:t xml:space="preserve">What it takes (Inputs): </w:t>
      </w:r>
      <w:r>
        <w:t>It takes the database records of job roles, skills, courses, syllabus modules, trainers, training centers, districts, and employers.</w:t>
      </w:r>
    </w:p>
    <w:p>
      <w:pPr>
        <w:pStyle w:val="ListBullet"/>
        <w:spacing w:before="40" w:after="60" w:line="276" w:lineRule="auto"/>
      </w:pPr>
      <w:r>
        <w:rPr>
          <w:b/>
          <w:color w:val="0F2744"/>
        </w:rPr>
        <w:t xml:space="preserve">What it gives (Outputs): </w:t>
      </w:r>
      <w:r>
        <w:t>It gives an interactive visual web where users can zoom, search, click nodes, and see how everything connects across the educational network.</w:t>
      </w:r>
    </w:p>
    <w:p>
      <w:pPr>
        <w:pStyle w:val="ListBullet"/>
        <w:spacing w:before="40" w:after="60" w:line="276" w:lineRule="auto"/>
      </w:pPr>
      <w:r>
        <w:rPr>
          <w:b/>
          <w:color w:val="0F2744"/>
        </w:rPr>
        <w:t xml:space="preserve">For which purpose (Purpose): </w:t>
      </w:r>
      <w:r>
        <w:t>It allows researchers and planners to visually trace the journey from an employer's job vacancy down to the specific classroom and teacher responsible for training.</w:t>
      </w:r>
    </w:p>
    <w:p>
      <w:pPr>
        <w:spacing w:after="40"/>
      </w:pPr>
    </w:p>
    <w:p>
      <w:pPr>
        <w:keepNext/>
        <w:spacing w:before="240" w:after="80"/>
      </w:pPr>
      <w:r>
        <w:rPr>
          <w:rFonts w:ascii="Calibri" w:hAnsi="Calibri"/>
          <w:b/>
          <w:color w:val="1E5AA8"/>
          <w:sz w:val="26"/>
        </w:rPr>
        <w:t>8. Training Capacity &amp; Intake Planning (`/training-capacity`)</w:t>
      </w:r>
    </w:p>
    <w:p>
      <w:pPr>
        <w:pStyle w:val="ListBullet"/>
        <w:spacing w:before="40" w:after="60" w:line="276" w:lineRule="auto"/>
      </w:pPr>
      <w:r>
        <w:rPr>
          <w:b/>
          <w:color w:val="0F2744"/>
        </w:rPr>
        <w:t xml:space="preserve">What it takes (Inputs): </w:t>
      </w:r>
      <w:r>
        <w:t>It takes sanctioned seat quotas, actual student enrollments, and annual batch sizes across vocational institutes.</w:t>
      </w:r>
    </w:p>
    <w:p>
      <w:pPr>
        <w:pStyle w:val="ListBullet"/>
        <w:spacing w:before="40" w:after="60" w:line="276" w:lineRule="auto"/>
      </w:pPr>
      <w:r>
        <w:rPr>
          <w:b/>
          <w:color w:val="0F2744"/>
        </w:rPr>
        <w:t xml:space="preserve">What it gives (Outputs): </w:t>
      </w:r>
      <w:r>
        <w:t>It shows seat utilization percentages and flags courses that have too many empty seats or too many unfulfilled applicants.</w:t>
      </w:r>
    </w:p>
    <w:p>
      <w:pPr>
        <w:pStyle w:val="ListBullet"/>
        <w:spacing w:before="40" w:after="60" w:line="276" w:lineRule="auto"/>
      </w:pPr>
      <w:r>
        <w:rPr>
          <w:b/>
          <w:color w:val="0F2744"/>
        </w:rPr>
        <w:t xml:space="preserve">For which purpose (Purpose): </w:t>
      </w:r>
      <w:r>
        <w:t>It helps institute principals shift empty classroom seats away from obsolete courses toward popular, high-employment courses.</w:t>
      </w:r>
    </w:p>
    <w:p>
      <w:pPr>
        <w:spacing w:after="40"/>
      </w:pPr>
    </w:p>
    <w:p>
      <w:pPr>
        <w:keepNext/>
        <w:spacing w:before="240" w:after="80"/>
      </w:pPr>
      <w:r>
        <w:rPr>
          <w:rFonts w:ascii="Calibri" w:hAnsi="Calibri"/>
          <w:b/>
          <w:color w:val="1E5AA8"/>
          <w:sz w:val="26"/>
        </w:rPr>
        <w:t>9. Trainer Readiness &amp; Faculty Competency Audit (`/trainer-readiness`)</w:t>
      </w:r>
    </w:p>
    <w:p>
      <w:pPr>
        <w:pStyle w:val="ListBullet"/>
        <w:spacing w:before="40" w:after="60" w:line="276" w:lineRule="auto"/>
      </w:pPr>
      <w:r>
        <w:rPr>
          <w:b/>
          <w:color w:val="0F2744"/>
        </w:rPr>
        <w:t xml:space="preserve">What it takes (Inputs): </w:t>
      </w:r>
      <w:r>
        <w:t>It takes teacher profiles, degrees, shop-floor experience, and certified skill badges across vocational institutes.</w:t>
      </w:r>
    </w:p>
    <w:p>
      <w:pPr>
        <w:pStyle w:val="ListBullet"/>
        <w:spacing w:before="40" w:after="60" w:line="276" w:lineRule="auto"/>
      </w:pPr>
      <w:r>
        <w:rPr>
          <w:b/>
          <w:color w:val="0F2744"/>
        </w:rPr>
        <w:t xml:space="preserve">What it gives (Outputs): </w:t>
      </w:r>
      <w:r>
        <w:t>It identifies instructors who need technical upskilling and calculates the exact training hours required to certify them on modern tools.</w:t>
      </w:r>
    </w:p>
    <w:p>
      <w:pPr>
        <w:pStyle w:val="ListBullet"/>
        <w:spacing w:before="40" w:after="60" w:line="276" w:lineRule="auto"/>
      </w:pPr>
      <w:r>
        <w:rPr>
          <w:b/>
          <w:color w:val="0F2744"/>
        </w:rPr>
        <w:t xml:space="preserve">For which purpose (Purpose): </w:t>
      </w:r>
      <w:r>
        <w:t>It ensures that teachers are properly trained and certified before schools launch new technical courses for students.</w:t>
      </w:r>
    </w:p>
    <w:p>
      <w:pPr>
        <w:spacing w:after="40"/>
      </w:pPr>
    </w:p>
    <w:p>
      <w:pPr>
        <w:keepNext/>
        <w:spacing w:before="240" w:after="80"/>
      </w:pPr>
      <w:r>
        <w:rPr>
          <w:rFonts w:ascii="Calibri" w:hAnsi="Calibri"/>
          <w:b/>
          <w:color w:val="1E5AA8"/>
          <w:sz w:val="26"/>
        </w:rPr>
        <w:t>10. Workshop Equipment Planning (`/equipment-planning`)</w:t>
      </w:r>
    </w:p>
    <w:p>
      <w:pPr>
        <w:pStyle w:val="ListBullet"/>
        <w:spacing w:before="40" w:after="60" w:line="276" w:lineRule="auto"/>
      </w:pPr>
      <w:r>
        <w:rPr>
          <w:b/>
          <w:color w:val="0F2744"/>
        </w:rPr>
        <w:t xml:space="preserve">What it takes (Inputs): </w:t>
      </w:r>
      <w:r>
        <w:t>It takes equipment inventories, physical machine counts, operational conditions, and workshop floor space records.</w:t>
      </w:r>
    </w:p>
    <w:p>
      <w:pPr>
        <w:pStyle w:val="ListBullet"/>
        <w:spacing w:before="40" w:after="60" w:line="276" w:lineRule="auto"/>
      </w:pPr>
      <w:r>
        <w:rPr>
          <w:b/>
          <w:color w:val="0F2744"/>
        </w:rPr>
        <w:t xml:space="preserve">What it gives (Outputs): </w:t>
      </w:r>
      <w:r>
        <w:t>It shows which lab machines are working, which need repair, which are obsolete, and what new tools must be bought.</w:t>
      </w:r>
    </w:p>
    <w:p>
      <w:pPr>
        <w:pStyle w:val="ListBullet"/>
        <w:spacing w:before="40" w:after="60" w:line="276" w:lineRule="auto"/>
      </w:pPr>
      <w:r>
        <w:rPr>
          <w:b/>
          <w:color w:val="0F2744"/>
        </w:rPr>
        <w:t xml:space="preserve">For which purpose (Purpose): </w:t>
      </w:r>
      <w:r>
        <w:t>It prevents schools from teaching theory without hands-on lab practice and helps governments budget for workshop machinery upgrades.</w:t>
      </w:r>
    </w:p>
    <w:p>
      <w:pPr>
        <w:spacing w:after="40"/>
      </w:pPr>
    </w:p>
    <w:p>
      <w:pPr>
        <w:keepNext/>
        <w:spacing w:before="240" w:after="80"/>
      </w:pPr>
      <w:r>
        <w:rPr>
          <w:rFonts w:ascii="Calibri" w:hAnsi="Calibri"/>
          <w:b/>
          <w:color w:val="1E5AA8"/>
          <w:sz w:val="26"/>
        </w:rPr>
        <w:t>11. Employer Validation Engine (`/employer-validation`)</w:t>
      </w:r>
    </w:p>
    <w:p>
      <w:pPr>
        <w:pStyle w:val="ListBullet"/>
        <w:spacing w:before="40" w:after="60" w:line="276" w:lineRule="auto"/>
      </w:pPr>
      <w:r>
        <w:rPr>
          <w:b/>
          <w:color w:val="0F2744"/>
        </w:rPr>
        <w:t xml:space="preserve">What it takes (Inputs): </w:t>
      </w:r>
      <w:r>
        <w:t>It presents system-generated skill recommendations to real registered company leaders and HR directors for review.</w:t>
      </w:r>
    </w:p>
    <w:p>
      <w:pPr>
        <w:pStyle w:val="ListBullet"/>
        <w:spacing w:before="40" w:after="60" w:line="276" w:lineRule="auto"/>
      </w:pPr>
      <w:r>
        <w:rPr>
          <w:b/>
          <w:color w:val="0F2744"/>
        </w:rPr>
        <w:t xml:space="preserve">What it gives (Outputs): </w:t>
      </w:r>
      <w:r>
        <w:t>It records employer decisions (Confirm, Modify, or Reject), measures hiring difficulty, and shows transparent confirmation ratios (e.g., '8 of 10 employers confirmed').</w:t>
      </w:r>
    </w:p>
    <w:p>
      <w:pPr>
        <w:pStyle w:val="ListBullet"/>
        <w:spacing w:before="40" w:after="60" w:line="276" w:lineRule="auto"/>
      </w:pPr>
      <w:r>
        <w:rPr>
          <w:b/>
          <w:color w:val="0F2744"/>
        </w:rPr>
        <w:t xml:space="preserve">For which purpose (Purpose): </w:t>
      </w:r>
      <w:r>
        <w:t>It guarantees that computer recommendations are verified and approved by real industry leaders before government policies are changed.</w:t>
      </w:r>
    </w:p>
    <w:p>
      <w:pPr>
        <w:spacing w:after="40"/>
      </w:pPr>
    </w:p>
    <w:p>
      <w:pPr>
        <w:keepNext/>
        <w:spacing w:before="240" w:after="80"/>
      </w:pPr>
      <w:r>
        <w:rPr>
          <w:rFonts w:ascii="Calibri" w:hAnsi="Calibri"/>
          <w:b/>
          <w:color w:val="1E5AA8"/>
          <w:sz w:val="26"/>
        </w:rPr>
        <w:t>12. Placement Outcomes &amp; Graduate Tracking (`/placement-outcomes`)</w:t>
      </w:r>
    </w:p>
    <w:p>
      <w:pPr>
        <w:pStyle w:val="ListBullet"/>
        <w:spacing w:before="40" w:after="60" w:line="276" w:lineRule="auto"/>
      </w:pPr>
      <w:r>
        <w:rPr>
          <w:b/>
          <w:color w:val="0F2744"/>
        </w:rPr>
        <w:t xml:space="preserve">What it takes (Inputs): </w:t>
      </w:r>
      <w:r>
        <w:t>It takes graduate graduation records, campus placement numbers, average monthly starting salaries, and hiring company names by year.</w:t>
      </w:r>
    </w:p>
    <w:p>
      <w:pPr>
        <w:pStyle w:val="ListBullet"/>
        <w:spacing w:before="40" w:after="60" w:line="276" w:lineRule="auto"/>
      </w:pPr>
      <w:r>
        <w:rPr>
          <w:b/>
          <w:color w:val="0F2744"/>
        </w:rPr>
        <w:t xml:space="preserve">What it gives (Outputs): </w:t>
      </w:r>
      <w:r>
        <w:t>It provides multi-year comparison charts proving that students in modern aligned courses get hired at far higher rates and wages than students in legacy trades.</w:t>
      </w:r>
    </w:p>
    <w:p>
      <w:pPr>
        <w:pStyle w:val="ListBullet"/>
        <w:spacing w:before="40" w:after="60" w:line="276" w:lineRule="auto"/>
      </w:pPr>
      <w:r>
        <w:rPr>
          <w:b/>
          <w:color w:val="0F2744"/>
        </w:rPr>
        <w:t xml:space="preserve">For which purpose (Purpose): </w:t>
      </w:r>
      <w:r>
        <w:t>It proves the return on investment of skill training and shows which trades lead to real, sustainable careers.</w:t>
      </w:r>
    </w:p>
    <w:p>
      <w:pPr>
        <w:spacing w:after="40"/>
      </w:pPr>
    </w:p>
    <w:p>
      <w:pPr>
        <w:keepNext/>
        <w:spacing w:before="240" w:after="80"/>
      </w:pPr>
      <w:r>
        <w:rPr>
          <w:rFonts w:ascii="Calibri" w:hAnsi="Calibri"/>
          <w:b/>
          <w:color w:val="1E5AA8"/>
          <w:sz w:val="26"/>
        </w:rPr>
        <w:t>13. What-If Policy Simulator (`/simulator`)</w:t>
      </w:r>
    </w:p>
    <w:p>
      <w:pPr>
        <w:pStyle w:val="ListBullet"/>
        <w:spacing w:before="40" w:after="60" w:line="276" w:lineRule="auto"/>
      </w:pPr>
      <w:r>
        <w:rPr>
          <w:b/>
          <w:color w:val="0F2744"/>
        </w:rPr>
        <w:t xml:space="preserve">What it takes (Inputs): </w:t>
      </w:r>
      <w:r>
        <w:t>It takes user-controlled slider inputs for government budget changes, seat quota adjustments, equipment grants, and teacher training mandates.</w:t>
      </w:r>
    </w:p>
    <w:p>
      <w:pPr>
        <w:pStyle w:val="ListBullet"/>
        <w:spacing w:before="40" w:after="60" w:line="276" w:lineRule="auto"/>
      </w:pPr>
      <w:r>
        <w:rPr>
          <w:b/>
          <w:color w:val="0F2744"/>
        </w:rPr>
        <w:t xml:space="preserve">What it gives (Outputs): </w:t>
      </w:r>
      <w:r>
        <w:t>It instantly forecasts projected placement percentage gains, regional employment boosts, and financial returns on investment.</w:t>
      </w:r>
    </w:p>
    <w:p>
      <w:pPr>
        <w:pStyle w:val="ListBullet"/>
        <w:spacing w:before="40" w:after="60" w:line="276" w:lineRule="auto"/>
      </w:pPr>
      <w:r>
        <w:rPr>
          <w:b/>
          <w:color w:val="0F2744"/>
        </w:rPr>
        <w:t xml:space="preserve">For which purpose (Purpose): </w:t>
      </w:r>
      <w:r>
        <w:t>It allows government ministers and financial planners to test policy ideas on screen before spending crores of public money in the real world.</w:t>
      </w:r>
    </w:p>
    <w:p>
      <w:pPr>
        <w:spacing w:after="40"/>
      </w:pPr>
    </w:p>
    <w:p>
      <w:pPr>
        <w:keepNext/>
        <w:spacing w:before="240" w:after="80"/>
      </w:pPr>
      <w:r>
        <w:rPr>
          <w:rFonts w:ascii="Calibri" w:hAnsi="Calibri"/>
          <w:b/>
          <w:color w:val="1E5AA8"/>
          <w:sz w:val="26"/>
        </w:rPr>
        <w:t>14. Policy Decision Engine (`/decision-engine`)</w:t>
      </w:r>
    </w:p>
    <w:p>
      <w:pPr>
        <w:pStyle w:val="ListBullet"/>
        <w:spacing w:before="40" w:after="60" w:line="276" w:lineRule="auto"/>
      </w:pPr>
      <w:r>
        <w:rPr>
          <w:b/>
          <w:color w:val="0F2744"/>
        </w:rPr>
        <w:t xml:space="preserve">What it takes (Inputs): </w:t>
      </w:r>
      <w:r>
        <w:t>It pulls together regional gap scores, employer validation votes, faculty readiness levels, and equipment requirements.</w:t>
      </w:r>
    </w:p>
    <w:p>
      <w:pPr>
        <w:pStyle w:val="ListBullet"/>
        <w:spacing w:before="40" w:after="60" w:line="276" w:lineRule="auto"/>
      </w:pPr>
      <w:r>
        <w:rPr>
          <w:b/>
          <w:color w:val="0F2744"/>
        </w:rPr>
        <w:t xml:space="preserve">What it gives (Outputs): </w:t>
      </w:r>
      <w:r>
        <w:t>It generates a structured, phased government action plan with budget numbers, target deadlines, and assigned agency responsibilities.</w:t>
      </w:r>
    </w:p>
    <w:p>
      <w:pPr>
        <w:pStyle w:val="ListBullet"/>
        <w:spacing w:before="40" w:after="60" w:line="276" w:lineRule="auto"/>
      </w:pPr>
      <w:r>
        <w:rPr>
          <w:b/>
          <w:color w:val="0F2744"/>
        </w:rPr>
        <w:t xml:space="preserve">For which purpose (Purpose): </w:t>
      </w:r>
      <w:r>
        <w:t>It transforms complex data into ready-to-sign executive policy briefs for directors and government secretaries.</w:t>
      </w:r>
    </w:p>
    <w:p>
      <w:pPr>
        <w:spacing w:after="40"/>
      </w:pPr>
    </w:p>
    <w:p>
      <w:pPr>
        <w:keepNext/>
        <w:spacing w:before="240" w:after="80"/>
      </w:pPr>
      <w:r>
        <w:rPr>
          <w:rFonts w:ascii="Calibri" w:hAnsi="Calibri"/>
          <w:b/>
          <w:color w:val="1E5AA8"/>
          <w:sz w:val="26"/>
        </w:rPr>
        <w:t>15. Candidate Career Path Planner (`/candidate-career-path`)</w:t>
      </w:r>
    </w:p>
    <w:p>
      <w:pPr>
        <w:pStyle w:val="ListBullet"/>
        <w:spacing w:before="40" w:after="60" w:line="276" w:lineRule="auto"/>
      </w:pPr>
      <w:r>
        <w:rPr>
          <w:b/>
          <w:color w:val="0F2744"/>
        </w:rPr>
        <w:t xml:space="preserve">What it takes (Inputs): </w:t>
      </w:r>
      <w:r>
        <w:t>It takes a job seeker's chosen career goal and compares it with their current educational background and skills.</w:t>
      </w:r>
    </w:p>
    <w:p>
      <w:pPr>
        <w:pStyle w:val="ListBullet"/>
        <w:spacing w:before="40" w:after="60" w:line="276" w:lineRule="auto"/>
      </w:pPr>
      <w:r>
        <w:rPr>
          <w:b/>
          <w:color w:val="0F2744"/>
        </w:rPr>
        <w:t xml:space="preserve">What it gives (Outputs): </w:t>
      </w:r>
      <w:r>
        <w:t>It shows a 4-phase step-by-step learning roadmap, recommended vocational courses, hands-on lab projects, and priority missing skills.</w:t>
      </w:r>
    </w:p>
    <w:p>
      <w:pPr>
        <w:pStyle w:val="ListBullet"/>
        <w:spacing w:before="40" w:after="60" w:line="276" w:lineRule="auto"/>
      </w:pPr>
      <w:r>
        <w:rPr>
          <w:b/>
          <w:color w:val="0F2744"/>
        </w:rPr>
        <w:t xml:space="preserve">For which purpose (Purpose): </w:t>
      </w:r>
      <w:r>
        <w:t>It gives young people and workers a realistic, achievable plan to upskill into high-paying modern technical jobs without false promises.</w:t>
      </w:r>
    </w:p>
    <w:p>
      <w:pPr>
        <w:spacing w:after="40"/>
      </w:pPr>
    </w:p>
    <w:p>
      <w:pPr>
        <w:keepNext/>
        <w:spacing w:before="240" w:after="80"/>
      </w:pPr>
      <w:r>
        <w:rPr>
          <w:rFonts w:ascii="Calibri" w:hAnsi="Calibri"/>
          <w:b/>
          <w:color w:val="1E5AA8"/>
          <w:sz w:val="26"/>
        </w:rPr>
        <w:t>16. Data Ingestion Pipeline (`/data-management`)</w:t>
      </w:r>
    </w:p>
    <w:p>
      <w:pPr>
        <w:pStyle w:val="ListBullet"/>
        <w:spacing w:before="40" w:after="60" w:line="276" w:lineRule="auto"/>
      </w:pPr>
      <w:r>
        <w:rPr>
          <w:b/>
          <w:color w:val="0F2744"/>
        </w:rPr>
        <w:t xml:space="preserve">What it takes (Inputs): </w:t>
      </w:r>
      <w:r>
        <w:t>It takes uploaded Excel (XLSX) or spreadsheet (CSV) files containing job listings, employer feedback, or syllabus details.</w:t>
      </w:r>
    </w:p>
    <w:p>
      <w:pPr>
        <w:pStyle w:val="ListBullet"/>
        <w:spacing w:before="40" w:after="60" w:line="276" w:lineRule="auto"/>
      </w:pPr>
      <w:r>
        <w:rPr>
          <w:b/>
          <w:color w:val="0F2744"/>
        </w:rPr>
        <w:t xml:space="preserve">What it gives (Outputs): </w:t>
      </w:r>
      <w:r>
        <w:t>It checks the file for errors, removes duplicate rows, cleans dangerous code, and securely imports valid data into the system.</w:t>
      </w:r>
    </w:p>
    <w:p>
      <w:pPr>
        <w:pStyle w:val="ListBullet"/>
        <w:spacing w:before="40" w:after="60" w:line="276" w:lineRule="auto"/>
      </w:pPr>
      <w:r>
        <w:rPr>
          <w:b/>
          <w:color w:val="0F2744"/>
        </w:rPr>
        <w:t xml:space="preserve">For which purpose (Purpose): </w:t>
      </w:r>
      <w:r>
        <w:t>It allows administrative staff to easily feed fresh, real-world data into the platform without needing software engineers or database commands.</w:t>
      </w:r>
    </w:p>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