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0"/>
          <w:szCs w:val="40"/>
        </w:rPr>
        <w:t xml:space="preserve">ADRIAN-IOAN BARCUTEAN</w:t>
      </w:r>
    </w:p>
    <w:p>
      <w:pPr>
        <w:spacing w:after="80"/>
        <w:jc w:val="center"/>
      </w:pPr>
      <w:r>
        <w:rPr>
          <w:b/>
          <w:bCs/>
          <w:color w:val="595959"/>
          <w:sz w:val="24"/>
          <w:szCs w:val="24"/>
        </w:rPr>
        <w:t xml:space="preserve">ERP Solution Architect  |  Domain Architect  |  Enterprise Solution Architect</w:t>
      </w:r>
    </w:p>
    <w:p>
      <w:pPr>
        <w:spacing w:after="60"/>
        <w:jc w:val="center"/>
      </w:pPr>
      <w:r>
        <w:rPr>
          <w:i/>
          <w:iCs/>
          <w:color w:val="7F7F7F"/>
          <w:sz w:val="20"/>
          <w:szCs w:val="20"/>
        </w:rPr>
        <w:t xml:space="preserve">Oracle eBS  •  SAP  •  Microsoft Dynamics 365  •  TOGAF  •  ArchiMate  •  Integration &amp; E2E Architecture</w:t>
      </w:r>
    </w:p>
    <w:p>
      <w:pPr>
        <w:spacing w:after="200"/>
        <w:jc w:val="center"/>
      </w:pPr>
      <w:r>
        <w:rPr>
          <w:sz w:val="19"/>
          <w:szCs w:val="19"/>
        </w:rPr>
        <w:t xml:space="preserve">Bucharest, Romania  •  </w:t>
      </w:r>
      <w:r>
        <w:rPr>
          <w:sz w:val="19"/>
          <w:szCs w:val="19"/>
        </w:rPr>
        <w:t xml:space="preserve">+40 723 313 296  •  </w:t>
      </w:r>
      <w:r>
        <w:rPr>
          <w:sz w:val="19"/>
          <w:szCs w:val="19"/>
        </w:rPr>
        <w:t xml:space="preserve">barcuteanadrianioan@gmail.com  •  </w:t>
      </w:r>
      <w:hyperlink w:history="1" r:id="rId-9kqixyhascjflr2imejd">
        <w:r>
          <w:rPr>
            <w:color w:val="0563C1"/>
            <w:sz w:val="19"/>
            <w:szCs w:val="19"/>
            <w:u w:val="single"/>
          </w:rPr>
          <w:t xml:space="preserve">LinkedIn</w:t>
        </w:r>
      </w:hyperlink>
    </w:p>
    <w:p>
      <w:pPr>
        <w:pStyle w:val="Heading1"/>
        <w:pBdr>
          <w:bottom w:val="single" w:color="1F4E79" w:sz="8" w:space="4"/>
        </w:pBdr>
        <w:spacing w:after="100" w:before="240"/>
      </w:pPr>
      <w:r>
        <w:rPr>
          <w:b/>
          <w:bCs/>
          <w:color w:val="1F4E79"/>
          <w:sz w:val="26"/>
          <w:szCs w:val="26"/>
        </w:rPr>
        <w:t xml:space="preserve">PROFESSIONAL SUMMARY</w:t>
      </w:r>
    </w:p>
    <w:p>
      <w:pPr>
        <w:spacing w:after="120" w:before="0"/>
      </w:pPr>
      <w:r>
        <w:t xml:space="preserve">ERP Solution Architect and Enterprise/Domain Architect with 25+ years of experience leading the architecture, design, integration and lifecycle governance of large-scale transactional enterprise applications across Oracle E-Business Suite, SAP and Microsoft Dynamics 365. Proven track record as architectural domain owner across banking, oil &amp; gas, energy, telecom, FMCG, transportation and public administration in Romania, Austria, Bulgaria, Serbia and the US.</w:t>
      </w:r>
    </w:p>
    <w:p>
      <w:pPr>
        <w:spacing w:after="120" w:before="0"/>
      </w:pPr>
      <w:r>
        <w:t xml:space="preserve">Recognized for setting and enforcing reference architectures, validating solution designs, leading Architecture Review Board (ARB) discussions, owning end-to-end cross-domain initiatives and embedding security-by-design across the application landscape. Hands-on expertise complemented by recent practical experience in AI/LLM-assisted enterprise platforms.</w:t>
      </w:r>
    </w:p>
    <w:p>
      <w:pPr>
        <w:pStyle w:val="Heading1"/>
        <w:pBdr>
          <w:bottom w:val="single" w:color="1F4E79" w:sz="8" w:space="4"/>
        </w:pBdr>
        <w:spacing w:after="100" w:before="240"/>
      </w:pPr>
      <w:r>
        <w:rPr>
          <w:b/>
          <w:bCs/>
          <w:color w:val="1F4E79"/>
          <w:sz w:val="26"/>
          <w:szCs w:val="26"/>
        </w:rPr>
        <w:t xml:space="preserve">CORE COMPETENCIES — DOMAIN ARCHITECTURE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Domain Ownership &amp; Lifecycle Management: </w:t>
      </w:r>
      <w:r>
        <w:t xml:space="preserve">upgrades, patches, releases, vendor &amp; license governance, audit &amp; compliance for transactional ERP domains (Oracle eBS, SAP, MS Dynamics 365).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Reference Architecture &amp; Standards: </w:t>
      </w:r>
      <w:r>
        <w:t xml:space="preserve">definition and enforcement of domain reference architectures, EA principles (TOGAF-aligned), design patterns and reusable components.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E2E / Cross-Domain Solution Architecture: </w:t>
      </w:r>
      <w:r>
        <w:t xml:space="preserve">orchestration of integration decisions across Application, Data, Integration, Security and Infrastructure domains; key architectural decision documentation.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Architecture Review Board (ARB): </w:t>
      </w:r>
      <w:r>
        <w:t xml:space="preserve">participation in governance bodies, impact assessments for cross-domain changes, escalation of deadlocks, validation of solution designs.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Roadmap, Modernization &amp; Technical Debt: </w:t>
      </w:r>
      <w:r>
        <w:t xml:space="preserve">domain roadmap definition, modernization assessments (incl. legacy ERP and DMS migrations), automation &amp; optimization opportunities.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Security by Design: </w:t>
      </w:r>
      <w:r>
        <w:t xml:space="preserve">collaboration with Security Architect / CISO on secure patterns, RBAC, AD/LDAP, JWT, audit logging, GDPR &amp; eIDAS alignment, accredited PenTest coordination.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Modeling &amp; Tooling: </w:t>
      </w:r>
      <w:r>
        <w:t xml:space="preserve">TOGAF, ArchiMate, BPMN, UML (Use Case, Class, Sequence, Activity, Component, Deployment), ERD, SOA, Microservices; Sparx EA, Lucidchart, Visio, Draw.io, Postman, Swagger.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ERP Stack: </w:t>
      </w:r>
      <w:r>
        <w:t xml:space="preserve">Oracle E-Business Suite (AP, AR, GL, Fixed Assets, Oracle Projects, Budgets, OBIEE, Oracle Reports, custom development &amp; interfaces); SAP (Finance, Logistics, multi-country rollouts); Microsoft Dynamics (AX/D365 — invoicing, contracts, vendors, document modules).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Integration &amp; Data: </w:t>
      </w:r>
      <w:r>
        <w:t xml:space="preserve">REST/SOAP, XML/XSD, MTS transaction interfaces, ETL, Oracle / MS SQL / MySQL; 10+ Oracle eBS integration projects with banking, telecom, logistics and government systems.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Delivery Governance: </w:t>
      </w:r>
      <w:r>
        <w:t xml:space="preserve">Agile (Scrum/Kanban), TDD-aligned, CMMI exposure, Jira, KPI-based performance management, vendor coordination across multi-country teams.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AI / LLM Engineering (recent): </w:t>
      </w:r>
      <w:r>
        <w:t xml:space="preserve">OpenAI (GPT/Codex), Google Gemini, Anthropic Claude, Groq, Rasa, Vosk, GitHub Copilot — applied to enterprise solution design and AI-assisted development.</w:t>
      </w:r>
    </w:p>
    <w:p>
      <w:pPr>
        <w:pStyle w:val="Heading1"/>
        <w:pBdr>
          <w:bottom w:val="single" w:color="1F4E79" w:sz="8" w:space="4"/>
        </w:pBdr>
        <w:spacing w:after="100" w:before="240"/>
      </w:pPr>
      <w:r>
        <w:rPr>
          <w:b/>
          <w:bCs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9360"/>
        </w:tabs>
        <w:spacing w:after="40" w:before="120"/>
      </w:pPr>
      <w:r>
        <w:rPr>
          <w:b/>
          <w:bCs/>
          <w:sz w:val="22"/>
          <w:szCs w:val="22"/>
        </w:rPr>
        <w:t xml:space="preserve">ERP Solution Architect &amp; Product Owner</w:t>
      </w:r>
      <w:r>
        <w:rPr>
          <w:sz w:val="22"/>
          <w:szCs w:val="22"/>
        </w:rPr>
        <w:t xml:space="preserve">  |  </w:t>
      </w:r>
      <w:r>
        <w:rPr>
          <w:b/>
          <w:bCs/>
          <w:i/>
          <w:iCs/>
          <w:color w:val="1F4E79"/>
          <w:sz w:val="22"/>
          <w:szCs w:val="22"/>
        </w:rPr>
        <w:t xml:space="preserve">VOGO Technology — vogo.me</w:t>
      </w:r>
      <w:r>
        <w:rPr>
          <w:color w:val="595959"/>
          <w:sz w:val="20"/>
          <w:szCs w:val="20"/>
        </w:rPr>
        <w:t xml:space="preserve">	10/2024 – Present — Bucharest, RO</w:t>
      </w:r>
    </w:p>
    <w:p>
      <w:pPr>
        <w:spacing w:after="80" w:before="0"/>
      </w:pPr>
      <w:r>
        <w:rPr>
          <w:i/>
          <w:iCs/>
        </w:rPr>
        <w:t xml:space="preserve">Multi-channel digital ecosystem (e-commerce, AI services, iOS/Android applications). Acting as ERP Solution Architect and Product Owner for the platform, defining and governing the architectural vision in an agile environment.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Defined the multi-year reference architecture and roadmap for the Vogo digital platform, applying TOGAF-aligned layering (Business, Application, Data, Technology) and ensuring traceability from business drivers to implementation.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Validated and governed solution designs across e-commerce (WooCommerce core), custom REST APIs, AI microservices and mobile applications; enforced API governance and service abstraction.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Embedded security-by-design: backend proxy isolation, JWT authentication, RBAC, API lifecycle governance, audit logging, GDPR-aligned document modules; coordinated PenTest and risk classification.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Architected modular AI orchestration layer integrating OpenAI (GPT/Codex), Google Gemini, Anthropic Claude, Groq, Rasa and Vosk — enabling controlled evolution and reusable AI patterns.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Owned product backlog, sprint governance and KPI-based delivery alignment between architecture vision and incremental releases (Jira, Scrum/Kanban).</w:t>
      </w:r>
    </w:p>
    <w:p>
      <w:pPr>
        <w:tabs>
          <w:tab w:val="right" w:pos="9360"/>
        </w:tabs>
        <w:spacing w:after="40" w:before="120"/>
      </w:pPr>
      <w:r>
        <w:rPr>
          <w:b/>
          <w:bCs/>
          <w:sz w:val="22"/>
          <w:szCs w:val="22"/>
        </w:rPr>
        <w:t xml:space="preserve">Enterprise Solution Architect &amp; Product Owner</w:t>
      </w:r>
      <w:r>
        <w:rPr>
          <w:sz w:val="22"/>
          <w:szCs w:val="22"/>
        </w:rPr>
        <w:t xml:space="preserve">  |  </w:t>
      </w:r>
      <w:r>
        <w:rPr>
          <w:b/>
          <w:bCs/>
          <w:i/>
          <w:iCs/>
          <w:color w:val="1F4E79"/>
          <w:sz w:val="22"/>
          <w:szCs w:val="22"/>
        </w:rPr>
        <w:t xml:space="preserve">Documenta DMS / BPM Platform</w:t>
      </w:r>
      <w:r>
        <w:rPr>
          <w:color w:val="595959"/>
          <w:sz w:val="20"/>
          <w:szCs w:val="20"/>
        </w:rPr>
        <w:t xml:space="preserve">	01/2017 – 09/2024 — Bucharest, RO</w:t>
      </w:r>
    </w:p>
    <w:p>
      <w:pPr>
        <w:spacing w:after="80" w:before="0"/>
      </w:pPr>
      <w:r>
        <w:rPr>
          <w:i/>
          <w:iCs/>
        </w:rPr>
        <w:t xml:space="preserve">Architectural ownership of the Documenta DMS &amp; BPM platform across banking, public administration, oil &amp; gas, energy and retail. Large-scale national and cross-border DMS implementations.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Domain owner for the DMS/BPM application domain: defined reference architecture, standards, validated all major solution designs and enforced lifecycle governance (upgrades, patches, vendor &amp; license alignment).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Led full-scale implementations and migrations (incl. EMC Documentum → Documenta DMS) for ERSTE Asset Management, ERSTE-BCR Bank, First Bank, Idea Bank, UNILEVER, Rompetrol, OMV Petrom, MIPE, ANRE, Ministry of Justice and CNPP — zero data loss, minimal operational disruption.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Designed integration architectures between document workflows and core banking / ERP systems for real-time case management (garnishment processing, regulatory publication workflows, 20–30 parallel approval reviewers, VP-level approval flows).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Governed secure-by-design banking architectures: RBAC, AD/LDAP, XML/XSD-based data exchange, RESTful integration, compliance-ready logging; coordinated officially accredited PenTest activities.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Acted as Product Owner for compliance-driven feature delivery (Jira, Scrum/Kanban), aligning regulatory deadlines with sprint execution and stakeholder communication.</w:t>
      </w:r>
    </w:p>
    <w:p>
      <w:pPr>
        <w:tabs>
          <w:tab w:val="right" w:pos="9360"/>
        </w:tabs>
        <w:spacing w:after="40" w:before="120"/>
      </w:pPr>
      <w:r>
        <w:rPr>
          <w:b/>
          <w:bCs/>
          <w:sz w:val="22"/>
          <w:szCs w:val="22"/>
        </w:rPr>
        <w:t xml:space="preserve">Enterprise Architect, ERP Solution Architect &amp; Technical Project Manager</w:t>
      </w:r>
      <w:r>
        <w:rPr>
          <w:sz w:val="22"/>
          <w:szCs w:val="22"/>
        </w:rPr>
        <w:t xml:space="preserve">  |  </w:t>
      </w:r>
      <w:r>
        <w:rPr>
          <w:b/>
          <w:bCs/>
          <w:i/>
          <w:iCs/>
          <w:color w:val="1F4E79"/>
          <w:sz w:val="22"/>
          <w:szCs w:val="22"/>
        </w:rPr>
        <w:t xml:space="preserve">Various national &amp; international programs</w:t>
      </w:r>
      <w:r>
        <w:rPr>
          <w:color w:val="595959"/>
          <w:sz w:val="20"/>
          <w:szCs w:val="20"/>
        </w:rPr>
        <w:t xml:space="preserve">	05/2001 – 05/2017 — RO / AT / BG / RS / US</w:t>
      </w:r>
    </w:p>
    <w:p>
      <w:pPr>
        <w:spacing w:after="80" w:before="0"/>
      </w:pPr>
      <w:r>
        <w:rPr>
          <w:i/>
          <w:iCs/>
        </w:rPr>
        <w:t xml:space="preserve">Hybrid Enterprise / Solution Architect and Technical Project Manager roles across banking, telecom, oil &amp; gas, energy, FMCG, transportation, pensions and public administration. Selected programs below.</w:t>
      </w:r>
    </w:p>
    <w:p>
      <w:pPr>
        <w:spacing w:after="40" w:before="80"/>
      </w:pPr>
      <w:r>
        <w:rPr>
          <w:b/>
          <w:bCs/>
          <w:color w:val="262626"/>
          <w:sz w:val="21"/>
          <w:szCs w:val="21"/>
        </w:rPr>
        <w:t xml:space="preserve">Oracle E-Business Suite — ERP Solution Architect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METROREX (Bucharest Metro)</w:t>
      </w:r>
      <w:r>
        <w:t xml:space="preserve"> — ERP Solution Architect on Oracle E-Business Suite, covering Oracle Payables (AP), Oracle Receivables (AR), Oracle General Ledger (GL — Accounting &amp; Financials), Oracle Projects, Oracle Public Sector Budgeting, Oracle Fixed Assets, Oracle Business Intelligence (OBIEE) and Oracle Reports, plus Oracle eBS custom development (PL/SQL packages, Forms/Reports extensions, OAF personalizations, AME approval workflows, FNDLOAD migrations).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Vodafone Romania / Connex</w:t>
      </w:r>
      <w:r>
        <w:t xml:space="preserve"> — Solution Architect on Oracle eBS Logistics, Inventory and a custom Barcode solution for warehouse and field operations; designed integration with billing and CRM platforms.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10+ Oracle eBS implementation and integration programs — defined and delivered MTS (Mobile Telephony System) transaction interfaces, banking interfaces, fleet and logistics interfaces, payment gateway integrations and ETL flows between Oracle eBS and core banking / billing / SCM systems.</w:t>
      </w:r>
    </w:p>
    <w:p>
      <w:pPr>
        <w:spacing w:after="40" w:before="80"/>
      </w:pPr>
      <w:r>
        <w:rPr>
          <w:b/>
          <w:bCs/>
          <w:color w:val="262626"/>
          <w:sz w:val="21"/>
          <w:szCs w:val="21"/>
        </w:rPr>
        <w:t xml:space="preserve">SAP — Solution Architect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Electrica (Energy)</w:t>
      </w:r>
      <w:r>
        <w:t xml:space="preserve"> — SAP Solution Architect on Finance &amp; Operations modules; designed integration with billing, asset management and document workflow platforms.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UNILEVER — Romania, Bulgaria, Serbia (FMCG)</w:t>
      </w:r>
      <w:r>
        <w:t xml:space="preserve"> — SAP Solution Architect on multi-country regional rollout; harmonized country-specific Finance and Logistics requirements with the regional SAP template; designed DMS / archiving integration.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Rompetrol / KMG International (Oil &amp; Gas)</w:t>
      </w:r>
      <w:r>
        <w:t xml:space="preserve"> — SAP Solution Architect; defined integration architecture between SAP and workflow automation, archiving, fleet management and invoice automation platforms.</w:t>
      </w:r>
    </w:p>
    <w:p>
      <w:pPr>
        <w:spacing w:after="40" w:before="80"/>
      </w:pPr>
      <w:r>
        <w:rPr>
          <w:b/>
          <w:bCs/>
          <w:color w:val="262626"/>
          <w:sz w:val="21"/>
          <w:szCs w:val="21"/>
        </w:rPr>
        <w:t xml:space="preserve">Microsoft Dynamics (AX / D365) — Solution Architect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Rompetrol / KMG International</w:t>
      </w:r>
      <w:r>
        <w:t xml:space="preserve"> — MS Dynamics Solution Architect on the invoice issuance, contracts, vendor master data and document modules; designed integration with SAP and the enterprise DMS/BPM layer.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OMV Petrom (Oil &amp; Gas)</w:t>
      </w:r>
      <w:r>
        <w:t xml:space="preserve"> — MS Dynamics Solution Architect on the same functional footprint (invoicing, contracts, vendors, documents); aligned the solution with group-level architectural standards and enterprise integration patterns.</w:t>
      </w:r>
    </w:p>
    <w:p>
      <w:pPr>
        <w:spacing w:after="40" w:before="80"/>
      </w:pPr>
      <w:r>
        <w:rPr>
          <w:b/>
          <w:bCs/>
          <w:color w:val="262626"/>
          <w:sz w:val="21"/>
          <w:szCs w:val="21"/>
        </w:rPr>
        <w:t xml:space="preserve">Other Highlights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Government &amp; Public Administration — Coordinated enterprise-scale DMS, electronic registry and workflow programs for the Romanian National House of Pensions (CNPP, 10M+ citizens) and several ministries / regulatory authorities.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Telecom &amp; Private Sector — High-availability solutions for Vodafone Romania and inthinc (USA) covering collections management, fleet monitoring and business analytics.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Architecture &amp; Technical Leadership — Architecture blueprints, UML models, XML/XSD schemas and technical specifications; secure web standards, REST/SOAP interoperability, database governance (Oracle, MS SQL).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Compliance &amp; Standards — EU-aligned architectures, audit readiness, GDPR, eIDAS, ISO; vendor and team coordination across RO/AT/BG/RS/US.</w:t>
      </w:r>
    </w:p>
    <w:p>
      <w:pPr>
        <w:pStyle w:val="Heading1"/>
        <w:pBdr>
          <w:bottom w:val="single" w:color="1F4E79" w:sz="8" w:space="4"/>
        </w:pBdr>
        <w:spacing w:after="100" w:before="240"/>
      </w:pPr>
      <w:r>
        <w:rPr>
          <w:b/>
          <w:bCs/>
          <w:color w:val="1F4E79"/>
          <w:sz w:val="26"/>
          <w:szCs w:val="26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b/>
          <w:bCs/>
          <w:sz w:val="22"/>
          <w:szCs w:val="22"/>
        </w:rPr>
        <w:t xml:space="preserve">Bachelor’s Degree in Economic Cybernetics, Statistics &amp; Informatics (5 years — Master equivalent, EQF Level 6)</w:t>
      </w:r>
      <w:r>
        <w:rPr>
          <w:sz w:val="22"/>
          <w:szCs w:val="22"/>
        </w:rPr>
        <w:t xml:space="preserve">  |  </w:t>
      </w:r>
      <w:r>
        <w:rPr>
          <w:b/>
          <w:bCs/>
          <w:i/>
          <w:iCs/>
          <w:color w:val="1F4E79"/>
          <w:sz w:val="22"/>
          <w:szCs w:val="22"/>
        </w:rPr>
        <w:t xml:space="preserve">Academy of Economic Studies — Bucharest</w:t>
      </w:r>
      <w:r>
        <w:rPr>
          <w:color w:val="595959"/>
          <w:sz w:val="20"/>
          <w:szCs w:val="20"/>
        </w:rPr>
        <w:t xml:space="preserve">	1996 – 2001</w:t>
      </w:r>
    </w:p>
    <w:p>
      <w:pPr>
        <w:tabs>
          <w:tab w:val="right" w:pos="9360"/>
        </w:tabs>
        <w:spacing w:after="40" w:before="120"/>
      </w:pPr>
      <w:r>
        <w:rPr>
          <w:b/>
          <w:bCs/>
          <w:sz w:val="22"/>
          <w:szCs w:val="22"/>
        </w:rPr>
        <w:t xml:space="preserve">High School Diploma in Informatics (EQF Level 4)</w:t>
      </w:r>
      <w:r>
        <w:rPr>
          <w:sz w:val="22"/>
          <w:szCs w:val="22"/>
        </w:rPr>
        <w:t xml:space="preserve">  |  </w:t>
      </w:r>
      <w:r>
        <w:rPr>
          <w:b/>
          <w:bCs/>
          <w:i/>
          <w:iCs/>
          <w:color w:val="1F4E79"/>
          <w:sz w:val="22"/>
          <w:szCs w:val="22"/>
        </w:rPr>
        <w:t xml:space="preserve">National College "Doamna Stanca", Făgăraș</w:t>
      </w:r>
      <w:r>
        <w:rPr>
          <w:color w:val="595959"/>
          <w:sz w:val="20"/>
          <w:szCs w:val="20"/>
        </w:rPr>
        <w:t xml:space="preserve">	1992 – 1996</w:t>
      </w:r>
    </w:p>
    <w:p>
      <w:pPr>
        <w:pStyle w:val="Heading1"/>
        <w:pBdr>
          <w:bottom w:val="single" w:color="1F4E79" w:sz="8" w:space="4"/>
        </w:pBdr>
        <w:spacing w:after="100" w:before="240"/>
      </w:pPr>
      <w:r>
        <w:rPr>
          <w:b/>
          <w:bCs/>
          <w:color w:val="1F4E79"/>
          <w:sz w:val="26"/>
          <w:szCs w:val="26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Oracle Certified — 1Z0-007 SQL (score 93%) — Oracle University, 2004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Oracle Business Intelligence Foundation 10.1.3 — 1Z0-526 — Oracle University, 2011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MS SQL Server 2014 Administration — PreVisor, 2019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PMP Training Certificate — PMI, 2007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Project Management Practice Exam — Management &amp; Strategy Institute, 2025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Agile Design Certification — University of Virginia, 2024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KMP Foundations I — Kanban System Design — LeanKanban University, 2016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Introduction to CMMI v1.1 — Alcyonix in collaboration with Carnegie Mellon SEI, 2006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English Language Communication — Alphadex T&amp;T (Romanian Ministry of Labour &amp; Education), 2014</w:t>
      </w:r>
    </w:p>
    <w:p>
      <w:pPr>
        <w:pStyle w:val="Heading1"/>
        <w:pBdr>
          <w:bottom w:val="single" w:color="1F4E79" w:sz="8" w:space="4"/>
        </w:pBdr>
        <w:spacing w:after="100" w:before="240"/>
      </w:pPr>
      <w:r>
        <w:rPr>
          <w:b/>
          <w:bCs/>
          <w:color w:val="1F4E79"/>
          <w:sz w:val="26"/>
          <w:szCs w:val="26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Romanian — </w:t>
      </w:r>
      <w:r>
        <w:t xml:space="preserve">Mother tongue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English — </w:t>
      </w:r>
      <w:r>
        <w:t xml:space="preserve">C1 (Listening, Reading, Writing) / B2 (Spoken)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French — </w:t>
      </w:r>
      <w:r>
        <w:t xml:space="preserve">B1 (Understanding &amp; Writing) / A2 (Spoken)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b/>
          <w:bCs/>
        </w:rPr>
        <w:t xml:space="preserve">Italian — </w:t>
      </w:r>
      <w:r>
        <w:t xml:space="preserve">B1 (Understanding) / A2 (Spoken &amp; Writing)</w:t>
      </w:r>
    </w:p>
    <w:sectPr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Adrian-Ioan Barcutean — CV —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-9kqixyhascjflr2imejd" Type="http://schemas.openxmlformats.org/officeDocument/2006/relationships/hyperlink" Target="https://ro.linkedin.com/in/barcutean-adrian-840b671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ERP Solution Architect / Domain Architect</dc:title>
  <dc:creator>Adrian-Ioan Barcutean</dc:creator>
  <cp:lastModifiedBy>Un-named</cp:lastModifiedBy>
  <cp:revision>1</cp:revision>
  <dcterms:created xsi:type="dcterms:W3CDTF">2026-04-29T14:42:10.717Z</dcterms:created>
  <dcterms:modified xsi:type="dcterms:W3CDTF">2026-04-29T14:42:10.717Z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