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  <w:jc w:val="center"/>
      </w:pPr>
      <w:r>
        <w:rPr>
          <w:rFonts w:ascii="Arial" w:cs="Arial" w:eastAsia="Arial" w:hAnsi="Arial"/>
        </w:rPr>
        <w:t xml:space="preserve"> </w:t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F3864"/>
          <w:sz w:val="60"/>
          <w:szCs w:val="60"/>
        </w:rPr>
        <w:t xml:space="preserve">OFERTĂ TEHNICĂ</w:t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SIDISVA</w:t>
      </w:r>
    </w:p>
    <w:p>
      <w:pPr>
        <w:spacing w:after="100" w:before="100"/>
        <w:jc w:val="center"/>
      </w:pPr>
      <w:r>
        <w:rPr>
          <w:rFonts w:ascii="Arial" w:cs="Arial" w:eastAsia="Arial" w:hAnsi="Arial"/>
          <w:color w:val="2E74B5"/>
          <w:sz w:val="24"/>
          <w:szCs w:val="24"/>
        </w:rPr>
        <w:t xml:space="preserve">Sistem Informatic Digitalizat în domeniul</w:t>
      </w:r>
    </w:p>
    <w:p>
      <w:pPr>
        <w:spacing w:after="100" w:before="100"/>
        <w:jc w:val="center"/>
      </w:pPr>
      <w:r>
        <w:rPr>
          <w:rFonts w:ascii="Arial" w:cs="Arial" w:eastAsia="Arial" w:hAnsi="Arial"/>
          <w:color w:val="2E74B5"/>
          <w:sz w:val="24"/>
          <w:szCs w:val="24"/>
        </w:rPr>
        <w:t xml:space="preserve">Sanitar-Veterinar și pentru Siguranța Alimentelor</w:t>
      </w:r>
    </w:p>
    <w:p>
      <w:pPr>
        <w:spacing w:before="600"/>
        <w:jc w:val="center"/>
      </w:pPr>
      <w:r>
        <w:rPr>
          <w:rFonts w:ascii="Arial" w:cs="Arial" w:eastAsia="Arial" w:hAnsi="Arial"/>
        </w:rPr>
        <w:t xml:space="preserve"> </w:t>
      </w:r>
    </w:p>
    <w:p>
      <w:pPr>
        <w:spacing w:after="100" w:before="100"/>
        <w:jc w:val="center"/>
      </w:pPr>
      <w:r>
        <w:rPr>
          <w:rFonts w:ascii="Arial" w:cs="Arial" w:eastAsia="Arial" w:hAnsi="Arial"/>
          <w:color w:val="2E74B5"/>
          <w:sz w:val="22"/>
          <w:szCs w:val="22"/>
        </w:rPr>
        <w:t xml:space="preserve">Autoritate Contractantă:</w:t>
      </w:r>
    </w:p>
    <w:p>
      <w:pPr>
        <w:spacing w:after="100" w:before="100"/>
        <w:jc w:val="center"/>
      </w:pPr>
      <w:r>
        <w:rPr>
          <w:rFonts w:ascii="Arial" w:cs="Arial" w:eastAsia="Arial" w:hAnsi="Arial"/>
          <w:color w:val="2E74B5"/>
          <w:sz w:val="24"/>
          <w:szCs w:val="24"/>
        </w:rPr>
        <w:t xml:space="preserve">ANSVSA — Autoritatea Națională Sanitară Veterinară și pentru Siguranța Alimentelor</w:t>
      </w:r>
    </w:p>
    <w:p>
      <w:pPr>
        <w:spacing w:before="400"/>
        <w:jc w:val="center"/>
      </w:pPr>
      <w:r>
        <w:rPr>
          <w:rFonts w:ascii="Arial" w:cs="Arial" w:eastAsia="Arial" w:hAnsi="Arial"/>
        </w:rPr>
        <w:t xml:space="preserve"> </w:t>
      </w:r>
    </w:p>
    <w:p>
      <w:pPr>
        <w:spacing w:after="100" w:before="100"/>
        <w:jc w:val="center"/>
      </w:pPr>
      <w:r>
        <w:rPr>
          <w:rFonts w:ascii="Arial" w:cs="Arial" w:eastAsia="Arial" w:hAnsi="Arial"/>
          <w:color w:val="2E74B5"/>
          <w:sz w:val="22"/>
          <w:szCs w:val="22"/>
        </w:rPr>
        <w:t xml:space="preserve">Anunț SEAP: CN1089237</w:t>
      </w:r>
    </w:p>
    <w:p>
      <w:pPr>
        <w:spacing w:after="100" w:before="100"/>
        <w:jc w:val="center"/>
      </w:pPr>
      <w:r>
        <w:rPr>
          <w:rFonts w:ascii="Arial" w:cs="Arial" w:eastAsia="Arial" w:hAnsi="Arial"/>
          <w:color w:val="2E74B5"/>
          <w:sz w:val="22"/>
          <w:szCs w:val="22"/>
        </w:rPr>
        <w:t xml:space="preserve">Termen depunere: 21.05.2026, ora 15:00</w:t>
      </w:r>
    </w:p>
    <w:p>
      <w:pPr>
        <w:spacing w:before="600"/>
        <w:jc w:val="center"/>
      </w:pPr>
      <w:r>
        <w:rPr>
          <w:rFonts w:ascii="Arial" w:cs="Arial" w:eastAsia="Arial" w:hAnsi="Arial"/>
        </w:rPr>
        <w:t xml:space="preserve"> </w:t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VOGO TECHNOLOGY S.R.L.</w:t>
      </w:r>
    </w:p>
    <w:p>
      <w:pPr>
        <w:spacing w:after="100" w:before="100"/>
        <w:jc w:val="center"/>
      </w:pPr>
      <w:r>
        <w:rPr>
          <w:rFonts w:ascii="Arial" w:cs="Arial" w:eastAsia="Arial" w:hAnsi="Arial"/>
          <w:color w:val="2E74B5"/>
          <w:sz w:val="22"/>
          <w:szCs w:val="22"/>
        </w:rPr>
        <w:t xml:space="preserve">Ofertant principal</w:t>
      </w:r>
    </w:p>
    <w:p>
      <w:pPr>
        <w:spacing w:after="100" w:before="100"/>
        <w:jc w:val="center"/>
      </w:pPr>
      <w:r>
        <w:rPr>
          <w:rFonts w:ascii="Arial" w:cs="Arial" w:eastAsia="Arial" w:hAnsi="Arial"/>
          <w:color w:val="2E74B5"/>
          <w:sz w:val="20"/>
          <w:szCs w:val="20"/>
        </w:rPr>
        <w:t xml:space="preserve">+ [PARTENER] — subcontractant</w:t>
      </w:r>
    </w:p>
    <w:p>
      <w:pPr>
        <w:spacing w:before="800"/>
        <w:jc w:val="center"/>
      </w:pPr>
      <w:r>
        <w:rPr>
          <w:rFonts w:ascii="Arial" w:cs="Arial" w:eastAsia="Arial" w:hAnsi="Arial"/>
          <w:i/>
          <w:iCs/>
          <w:color w:val="2E74B5"/>
          <w:sz w:val="24"/>
          <w:szCs w:val="24"/>
        </w:rPr>
        <w:t xml:space="preserve">Soluția propusă: VOGO ENTERPRISE BUSINESS SUITE</w:t>
      </w:r>
    </w:p>
    <w:p>
      <w:pPr>
        <w:spacing w:after="100" w:before="100"/>
        <w:jc w:val="center"/>
      </w:pPr>
      <w:r>
        <w:rPr>
          <w:rFonts w:ascii="Arial" w:cs="Arial" w:eastAsia="Arial" w:hAnsi="Arial"/>
          <w:color w:val="2E74B5"/>
          <w:sz w:val="18"/>
          <w:szCs w:val="18"/>
        </w:rPr>
        <w:t xml:space="preserve">(înregistrată OSIM + EUIPO marcă UE nr. 019103505)</w:t>
      </w:r>
    </w:p>
    <w:p>
      <w:pPr>
        <w:pageBreakBefore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spacing w:after="180" w:before="24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Cuprins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Prezenta ofertă tehnică este compusă din </w:t>
      </w:r>
      <w:r>
        <w:rPr>
          <w:rFonts w:ascii="Arial" w:cs="Arial" w:eastAsia="Arial" w:hAnsi="Arial"/>
          <w:b/>
          <w:bCs/>
        </w:rPr>
        <w:t xml:space="preserve">17 capitole</w:t>
      </w:r>
      <w:r>
        <w:rPr>
          <w:rFonts w:ascii="Arial" w:cs="Arial" w:eastAsia="Arial" w:hAnsi="Arial"/>
        </w:rPr>
        <w:t xml:space="preserve"> + Anexa F (Matricea de Conformitate cu 1.294 cerințe) + Anexele A-K (documente justificative). Lista capitolelor și a fișierelor corespunzătoare: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Capitole ofertă tehnică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Rezumat executiv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1-Rezumat_executiv.docx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1A. </w:t>
      </w:r>
      <w:r>
        <w:rPr>
          <w:rFonts w:ascii="Arial" w:cs="Arial" w:eastAsia="Arial" w:hAnsi="Arial"/>
          <w:sz w:val="22"/>
          <w:szCs w:val="22"/>
        </w:rPr>
        <w:t xml:space="preserve">Prezentarea Ofertantului (VOGO TECHNOLOGY + [PARTENER])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1A-Prezentare_ofertant.docx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Abordarea și metodologia propuse pentru prestarea serviciilor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2-Abordare_metodologie.docx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Planul de implementare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3-Plan_implementare.docx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Descrierea soluției propuse (VOGO ENTERPRISE BUSINESS SUITE)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4-Descrierea_solutiei.docx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Arhitectura soluției și lista licențelor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5-Arhitectura_si_licente.docx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</w:t>
      </w:r>
      <w:r>
        <w:rPr>
          <w:rFonts w:ascii="Arial" w:cs="Arial" w:eastAsia="Arial" w:hAnsi="Arial"/>
          <w:sz w:val="22"/>
          <w:szCs w:val="22"/>
        </w:rPr>
        <w:t xml:space="preserve">Lista echipamentelor hardware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6-Lista_hardware.docx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</w:t>
      </w:r>
      <w:r>
        <w:rPr>
          <w:rFonts w:ascii="Arial" w:cs="Arial" w:eastAsia="Arial" w:hAnsi="Arial"/>
          <w:sz w:val="22"/>
          <w:szCs w:val="22"/>
        </w:rPr>
        <w:t xml:space="preserve">Plan de măsuri pentru perioada de garanție (3 ani)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7-Plan_garantie.docx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</w:t>
      </w:r>
      <w:r>
        <w:rPr>
          <w:rFonts w:ascii="Arial" w:cs="Arial" w:eastAsia="Arial" w:hAnsi="Arial"/>
          <w:sz w:val="22"/>
          <w:szCs w:val="22"/>
        </w:rPr>
        <w:t xml:space="preserve">Conformitate cu specificațiile tehnice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8-Conformitate_specificatii.docx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</w:t>
      </w:r>
      <w:r>
        <w:rPr>
          <w:rFonts w:ascii="Arial" w:cs="Arial" w:eastAsia="Arial" w:hAnsi="Arial"/>
          <w:sz w:val="22"/>
          <w:szCs w:val="22"/>
        </w:rPr>
        <w:t xml:space="preserve">Echipa de proiect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9-Echipa_proiect.docx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</w:t>
      </w:r>
      <w:r>
        <w:rPr>
          <w:rFonts w:ascii="Arial" w:cs="Arial" w:eastAsia="Arial" w:hAnsi="Arial"/>
          <w:sz w:val="22"/>
          <w:szCs w:val="22"/>
        </w:rPr>
        <w:t xml:space="preserve">Securitate informatică și informațională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10-Securitate_informatica.docx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</w:t>
      </w:r>
      <w:r>
        <w:rPr>
          <w:rFonts w:ascii="Arial" w:cs="Arial" w:eastAsia="Arial" w:hAnsi="Arial"/>
          <w:sz w:val="22"/>
          <w:szCs w:val="22"/>
        </w:rPr>
        <w:t xml:space="preserve">Măsuri de respectare a principiului DNSH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11-DNSH.docx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</w:t>
      </w:r>
      <w:r>
        <w:rPr>
          <w:rFonts w:ascii="Arial" w:cs="Arial" w:eastAsia="Arial" w:hAnsi="Arial"/>
          <w:sz w:val="22"/>
          <w:szCs w:val="22"/>
        </w:rPr>
        <w:t xml:space="preserve">Plan de instruire utilizatori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12-Plan_instruire.docx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</w:t>
      </w:r>
      <w:r>
        <w:rPr>
          <w:rFonts w:ascii="Arial" w:cs="Arial" w:eastAsia="Arial" w:hAnsi="Arial"/>
          <w:sz w:val="22"/>
          <w:szCs w:val="22"/>
        </w:rPr>
        <w:t xml:space="preserve">Managementul contractului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13-Management_contract.docx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</w:t>
      </w:r>
      <w:r>
        <w:rPr>
          <w:rFonts w:ascii="Arial" w:cs="Arial" w:eastAsia="Arial" w:hAnsi="Arial"/>
          <w:sz w:val="22"/>
          <w:szCs w:val="22"/>
        </w:rPr>
        <w:t xml:space="preserve">Realizare DEMO ca parte a procesului de evaluare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14-DEMO_video.docx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</w:t>
      </w:r>
      <w:r>
        <w:rPr>
          <w:rFonts w:ascii="Arial" w:cs="Arial" w:eastAsia="Arial" w:hAnsi="Arial"/>
          <w:sz w:val="22"/>
          <w:szCs w:val="22"/>
        </w:rPr>
        <w:t xml:space="preserve">Declarații obligatorii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15-Declaratii_obligatorii.docx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</w:t>
      </w:r>
      <w:r>
        <w:rPr>
          <w:rFonts w:ascii="Arial" w:cs="Arial" w:eastAsia="Arial" w:hAnsi="Arial"/>
          <w:sz w:val="22"/>
          <w:szCs w:val="22"/>
        </w:rPr>
        <w:t xml:space="preserve">Anexe la propunerea tehnică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16-Anexe.docx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Anexe propunere tehnică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Anexa A. </w:t>
      </w:r>
      <w:r>
        <w:rPr>
          <w:rFonts w:ascii="Arial" w:cs="Arial" w:eastAsia="Arial" w:hAnsi="Arial"/>
          <w:sz w:val="22"/>
          <w:szCs w:val="22"/>
        </w:rPr>
        <w:t xml:space="preserve">Lista completă a licențelor software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(de pregătit pe baza cap. 5.7)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Anexa B. </w:t>
      </w:r>
      <w:r>
        <w:rPr>
          <w:rFonts w:ascii="Arial" w:cs="Arial" w:eastAsia="Arial" w:hAnsi="Arial"/>
          <w:sz w:val="22"/>
          <w:szCs w:val="22"/>
        </w:rPr>
        <w:t xml:space="preserve">Lista detaliată echipamentelor hardware + fișe tehnice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(de pregătit pe baza cap. 6)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Anexa C. </w:t>
      </w:r>
      <w:r>
        <w:rPr>
          <w:rFonts w:ascii="Arial" w:cs="Arial" w:eastAsia="Arial" w:hAnsi="Arial"/>
          <w:sz w:val="22"/>
          <w:szCs w:val="22"/>
        </w:rPr>
        <w:t xml:space="preserve">Diagrame arhitecturale (logică, fizică, securitate, integrări)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(de pregătit)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Anexa D. </w:t>
      </w:r>
      <w:r>
        <w:rPr>
          <w:rFonts w:ascii="Arial" w:cs="Arial" w:eastAsia="Arial" w:hAnsi="Arial"/>
          <w:sz w:val="22"/>
          <w:szCs w:val="22"/>
        </w:rPr>
        <w:t xml:space="preserve">Plan detaliat implementare cu Gantt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(MS Project + PDF)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Anexa E. </w:t>
      </w:r>
      <w:r>
        <w:rPr>
          <w:rFonts w:ascii="Arial" w:cs="Arial" w:eastAsia="Arial" w:hAnsi="Arial"/>
          <w:sz w:val="22"/>
          <w:szCs w:val="22"/>
        </w:rPr>
        <w:t xml:space="preserve">CV-uri experți (Europass) + dovezi proiecte similare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(de colectat per expert)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Anexa F. </w:t>
      </w:r>
      <w:r>
        <w:rPr>
          <w:rFonts w:ascii="Arial" w:cs="Arial" w:eastAsia="Arial" w:hAnsi="Arial"/>
          <w:sz w:val="22"/>
          <w:szCs w:val="22"/>
        </w:rPr>
        <w:t xml:space="preserve">Matricea de Conformitate (1.294 cerințe)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anexa_f_conformitate.docx ✓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Anexa G. </w:t>
      </w:r>
      <w:r>
        <w:rPr>
          <w:rFonts w:ascii="Arial" w:cs="Arial" w:eastAsia="Arial" w:hAnsi="Arial"/>
          <w:sz w:val="22"/>
          <w:szCs w:val="22"/>
        </w:rPr>
        <w:t xml:space="preserve">Plan detaliat de instruire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(de pregătit pe baza cap. 12)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Anexa H. </w:t>
      </w:r>
      <w:r>
        <w:rPr>
          <w:rFonts w:ascii="Arial" w:cs="Arial" w:eastAsia="Arial" w:hAnsi="Arial"/>
          <w:sz w:val="22"/>
          <w:szCs w:val="22"/>
        </w:rPr>
        <w:t xml:space="preserve">Plan BCP/DRP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(de pregătit pe baza cap. 10.3)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Anexa I. </w:t>
      </w:r>
      <w:r>
        <w:rPr>
          <w:rFonts w:ascii="Arial" w:cs="Arial" w:eastAsia="Arial" w:hAnsi="Arial"/>
          <w:sz w:val="22"/>
          <w:szCs w:val="22"/>
        </w:rPr>
        <w:t xml:space="preserve">Documente justificative DNSH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(de pregătit pe baza cap. 11)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Anexa J. </w:t>
      </w:r>
      <w:r>
        <w:rPr>
          <w:rFonts w:ascii="Arial" w:cs="Arial" w:eastAsia="Arial" w:hAnsi="Arial"/>
          <w:sz w:val="22"/>
          <w:szCs w:val="22"/>
        </w:rPr>
        <w:t xml:space="preserve">Video demonstrativ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(referință SEAP)</w:t>
      </w:r>
    </w:p>
    <w:p>
      <w:pPr>
        <w:spacing w:after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Anexa K. </w:t>
      </w:r>
      <w:r>
        <w:rPr>
          <w:rFonts w:ascii="Arial" w:cs="Arial" w:eastAsia="Arial" w:hAnsi="Arial"/>
          <w:sz w:val="22"/>
          <w:szCs w:val="22"/>
        </w:rPr>
        <w:t xml:space="preserve">Pachet declarații semnate</w:t>
      </w:r>
      <w:r>
        <w:rPr>
          <w:rFonts w:ascii="Arial" w:cs="Arial" w:eastAsia="Arial" w:hAnsi="Arial"/>
          <w:color w:val="808080"/>
          <w:sz w:val="20"/>
          <w:szCs w:val="20"/>
        </w:rPr>
        <w:t xml:space="preserve">  →  </w:t>
      </w:r>
      <w:r>
        <w:rPr>
          <w:rFonts w:ascii="Arial" w:cs="Arial" w:eastAsia="Arial" w:hAnsi="Arial"/>
          <w:i/>
          <w:iCs/>
          <w:color w:val="808080"/>
          <w:sz w:val="18"/>
          <w:szCs w:val="18"/>
        </w:rPr>
        <w:t xml:space="preserve">(de pregătit pe baza cap. 15)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Structura ofertei tehnice conform modelului de referință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Oferta tehnică VOGO TECHNOLOGY pentru SIDISVA respectă structura canonică a ofertelor tehnice complexe, validată prin proiecte similare anterioare: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Capitolul 1 (Rezumat executiv) — gateway pentru evaluator: deschide cu identitatea ofertantului, produsul propus, win themes și sinteza ofertei;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Capitolul 1A (Prezentarea Ofertantului) — credibilitate: profil VOGO TECHNOLOGY, produs propriu VOGO ENTERPRISE BUSINESS SUITE (cu OSIM/EUIPO), referințe, parteneri, certificări;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Capitolele 2-3 (Abordare/Metodologie + Plan implementare) — răspuns la Factor evaluare 3 (20 puncte) — metodologie PMI/PMBoK + BABOK + Agile-Scrum, plan 18 luni;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Capitolele 4-6 (Soluție + Arhitectură + Hardware) — răspuns la cerințele IV.4.1 lit. a)-c) din Fișa de date: descrierea tehnică completă a soluției;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Capitolul 7 (Plan garanție) — răspuns la IV.4.1 lit. d): 3 ani garanție, SLA strict, suport 24×7;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Capitolul 8 + Anexa F (Conformitate) — răspuns la IV.4.1 lit. e): matrice de conformitate cu toate cele 1.294 cerințe din Caietul de Sarcini;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Capitolul 9 (Echipa) — răspuns la Factor evaluare 2 (30 puncte) — 6 experți evaluați + 10+ experți suport;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Capitolele 10-11 (Securitate + DNSH) — cerințe ANSSI/DNSC + Factor evaluare 4 (10 puncte DNSH);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Capitolele 12-13 (Instruire + Management contract) — gestionarea relației pe perioada 18+36 luni;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Capitolele 14-15 (DEMO + Declarații) — livrabile obligatorii din Caietul de Sarcini;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Capitolul 16 (Anexe) — index al anexelor justificative A-K.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Note privind acest schelet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Acest fișier oferta.docx servește ca </w:t>
      </w:r>
      <w:r>
        <w:rPr>
          <w:rFonts w:ascii="Arial" w:cs="Arial" w:eastAsia="Arial" w:hAnsi="Arial"/>
          <w:b/>
          <w:bCs/>
        </w:rPr>
        <w:t xml:space="preserve">document de consolidare și navigare</w:t>
      </w:r>
      <w:r>
        <w:rPr>
          <w:rFonts w:ascii="Arial" w:cs="Arial" w:eastAsia="Arial" w:hAnsi="Arial"/>
        </w:rPr>
        <w:t xml:space="preserve"> pentru întreaga ofertă tehnică VOGO TECHNOLOGY. Fiecare capitol este un fișier .docx independent, format pentru a fi semnat electronic separat sau consolidat într-un singur PDF final pentru depunere SEAP.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Pentru depunere SEAP, recomandăm două opțiuni: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Opțiunea 1 — Depunere ca pachet de fișiere distincte (oferta.docx + 17 capitole + Anexa F + Anexele A-K) — flexibilitate maximă pentru semnături electronice individuale;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Opțiunea 2 — Consolidare într-un singur PDF de ~200-400 pagini, cu semnătură electronică calificată unică pe pachet — recomandat pentru claritate vizuală.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Toate documentele componente sunt semnate electronic calificat (eIDAS) de reprezentantul legal al VOGO TECHNOLOGY S.R.L., conform Legii nr. 455/2001 și Regulamentului (UE) 910/2014.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color w:val="2E74B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SIDISVA — Oferta tehnică VOGO TECHNOLOGY</dc:title>
  <dc:creator>VOGO TECHNOLOGY</dc:creator>
  <cp:lastModifiedBy>Un-named</cp:lastModifiedBy>
  <cp:revision>1</cp:revision>
  <dcterms:created xsi:type="dcterms:W3CDTF">2026-05-12T22:44:49.543Z</dcterms:created>
  <dcterms:modified xsi:type="dcterms:W3CDTF">2026-05-12T22:44:49.543Z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