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pPr>
      <w:r>
        <w:rPr>
          <w:rFonts w:ascii="Arial" w:cs="Arial" w:eastAsia="Arial" w:hAnsi="Arial"/>
          <w:b/>
          <w:bCs/>
          <w:color w:val="1F3864"/>
          <w:sz w:val="32"/>
          <w:szCs w:val="32"/>
        </w:rPr>
        <w:t xml:space="preserve">10. Securitate informatică și informațională</w:t>
      </w:r>
    </w:p>
    <w:p>
      <w:pPr>
        <w:spacing w:after="120" w:line="300"/>
        <w:jc w:val="both"/>
      </w:pPr>
      <w:r>
        <w:rPr>
          <w:rFonts w:ascii="Arial" w:cs="Arial" w:eastAsia="Arial" w:hAnsi="Arial"/>
        </w:rPr>
        <w:t xml:space="preserve">Securitatea sistemului SIDISVA este abordată de </w:t>
      </w:r>
      <w:r>
        <w:rPr>
          <w:rFonts w:ascii="Arial" w:cs="Arial" w:eastAsia="Arial" w:hAnsi="Arial"/>
          <w:b/>
          <w:bCs/>
        </w:rPr>
        <w:t xml:space="preserve">VOGO TECHNOLOGY</w:t>
      </w:r>
      <w:r>
        <w:rPr>
          <w:rFonts w:ascii="Arial" w:cs="Arial" w:eastAsia="Arial" w:hAnsi="Arial"/>
        </w:rPr>
        <w:t xml:space="preserve"> ca prioritate strategică, în conformitate cu cerințele cap. 3.4.1.2 din Caietul de Sarcini, cu cadrul legal aplicabil și cu standardele internaționale de securitate. Soluția VOGO ENTERPRISE BUSINESS SUITE este construită pe principiile „Security by Design" și „Privacy by Design" din primul moment al arhitecturii.</w:t>
      </w:r>
    </w:p>
    <w:p>
      <w:pPr>
        <w:pStyle w:val="Heading2"/>
        <w:spacing w:after="140" w:before="220"/>
      </w:pPr>
      <w:r>
        <w:rPr>
          <w:rFonts w:ascii="Arial" w:cs="Arial" w:eastAsia="Arial" w:hAnsi="Arial"/>
          <w:b/>
          <w:bCs/>
          <w:color w:val="2E74B5"/>
          <w:sz w:val="26"/>
          <w:szCs w:val="26"/>
        </w:rPr>
        <w:t xml:space="preserve">10.1 Cadrul legal de referință</w:t>
      </w:r>
    </w:p>
    <w:p>
      <w:pPr>
        <w:pStyle w:val="ListParagraph"/>
        <w:numPr>
          <w:ilvl w:val="0"/>
          <w:numId w:val="2"/>
        </w:numPr>
        <w:spacing w:after="80" w:line="280"/>
        <w:jc w:val="both"/>
      </w:pPr>
      <w:r>
        <w:rPr>
          <w:rFonts w:ascii="Arial" w:cs="Arial" w:eastAsia="Arial" w:hAnsi="Arial"/>
          <w:b w:val="false"/>
          <w:bCs w:val="false"/>
        </w:rPr>
        <w:t xml:space="preserve">Legea nr. 362/2018 — Asigurarea unui nivel comun ridicat de securitate a rețelelor și sistemelor informatice (transpunere NIS);</w:t>
      </w:r>
    </w:p>
    <w:p>
      <w:pPr>
        <w:pStyle w:val="ListParagraph"/>
        <w:numPr>
          <w:ilvl w:val="0"/>
          <w:numId w:val="2"/>
        </w:numPr>
        <w:spacing w:after="80" w:line="280"/>
        <w:jc w:val="both"/>
      </w:pPr>
      <w:r>
        <w:rPr>
          <w:rFonts w:ascii="Arial" w:cs="Arial" w:eastAsia="Arial" w:hAnsi="Arial"/>
          <w:b w:val="false"/>
          <w:bCs w:val="false"/>
        </w:rPr>
        <w:t xml:space="preserve">Directiva (UE) 2022/2555 NIS2 (transpusă în legislația națională);</w:t>
      </w:r>
    </w:p>
    <w:p>
      <w:pPr>
        <w:pStyle w:val="ListParagraph"/>
        <w:numPr>
          <w:ilvl w:val="0"/>
          <w:numId w:val="2"/>
        </w:numPr>
        <w:spacing w:after="80" w:line="280"/>
        <w:jc w:val="both"/>
      </w:pPr>
      <w:r>
        <w:rPr>
          <w:rFonts w:ascii="Arial" w:cs="Arial" w:eastAsia="Arial" w:hAnsi="Arial"/>
          <w:b w:val="false"/>
          <w:bCs w:val="false"/>
        </w:rPr>
        <w:t xml:space="preserve">Regulamentul (UE) 2016/679 GDPR și Legea nr. 190/2018;</w:t>
      </w:r>
    </w:p>
    <w:p>
      <w:pPr>
        <w:pStyle w:val="ListParagraph"/>
        <w:numPr>
          <w:ilvl w:val="0"/>
          <w:numId w:val="2"/>
        </w:numPr>
        <w:spacing w:after="80" w:line="280"/>
        <w:jc w:val="both"/>
      </w:pPr>
      <w:r>
        <w:rPr>
          <w:rFonts w:ascii="Arial" w:cs="Arial" w:eastAsia="Arial" w:hAnsi="Arial"/>
          <w:b w:val="false"/>
          <w:bCs w:val="false"/>
        </w:rPr>
        <w:t xml:space="preserve">Legea nr. 455/2001 privind semnătura electronică + Regulamentul eIDAS (UE) 910/2014;</w:t>
      </w:r>
    </w:p>
    <w:p>
      <w:pPr>
        <w:pStyle w:val="ListParagraph"/>
        <w:numPr>
          <w:ilvl w:val="0"/>
          <w:numId w:val="2"/>
        </w:numPr>
        <w:spacing w:after="80" w:line="280"/>
        <w:jc w:val="both"/>
      </w:pPr>
      <w:r>
        <w:rPr>
          <w:rFonts w:ascii="Arial" w:cs="Arial" w:eastAsia="Arial" w:hAnsi="Arial"/>
          <w:b w:val="false"/>
          <w:bCs w:val="false"/>
        </w:rPr>
        <w:t xml:space="preserve">Legea nr. 161/2003 privind unele măsuri pentru asigurarea transparenței;</w:t>
      </w:r>
    </w:p>
    <w:p>
      <w:pPr>
        <w:pStyle w:val="ListParagraph"/>
        <w:numPr>
          <w:ilvl w:val="0"/>
          <w:numId w:val="2"/>
        </w:numPr>
        <w:spacing w:after="80" w:line="280"/>
        <w:jc w:val="both"/>
      </w:pPr>
      <w:r>
        <w:rPr>
          <w:rFonts w:ascii="Arial" w:cs="Arial" w:eastAsia="Arial" w:hAnsi="Arial"/>
          <w:b w:val="false"/>
          <w:bCs w:val="false"/>
        </w:rPr>
        <w:t xml:space="preserve">OUG nr. 89/2022 privind Cloud Guvernamental;</w:t>
      </w:r>
    </w:p>
    <w:p>
      <w:pPr>
        <w:pStyle w:val="ListParagraph"/>
        <w:numPr>
          <w:ilvl w:val="0"/>
          <w:numId w:val="2"/>
        </w:numPr>
        <w:spacing w:after="80" w:line="280"/>
        <w:jc w:val="both"/>
      </w:pPr>
      <w:r>
        <w:rPr>
          <w:rFonts w:ascii="Arial" w:cs="Arial" w:eastAsia="Arial" w:hAnsi="Arial"/>
          <w:b w:val="false"/>
          <w:bCs w:val="false"/>
        </w:rPr>
        <w:t xml:space="preserve">Standarde aplicate: ISO 27001 (ISMS), ISO 27017 (cloud), ISO 27018 (PII cloud), ISO 22301 (BCM).</w:t>
      </w:r>
    </w:p>
    <w:p>
      <w:pPr>
        <w:pStyle w:val="Heading2"/>
        <w:spacing w:after="140" w:before="220"/>
      </w:pPr>
      <w:r>
        <w:rPr>
          <w:rFonts w:ascii="Arial" w:cs="Arial" w:eastAsia="Arial" w:hAnsi="Arial"/>
          <w:b/>
          <w:bCs/>
          <w:color w:val="2E74B5"/>
          <w:sz w:val="26"/>
          <w:szCs w:val="26"/>
        </w:rPr>
        <w:t xml:space="preserve">10.2 Defense-in-depth — 7 straturi</w:t>
      </w:r>
    </w:p>
    <w:p>
      <w:pPr>
        <w:spacing w:after="120" w:line="300"/>
        <w:jc w:val="both"/>
      </w:pPr>
      <w:r>
        <w:rPr>
          <w:rFonts w:ascii="Arial" w:cs="Arial" w:eastAsia="Arial" w:hAnsi="Arial"/>
        </w:rPr>
        <w:t xml:space="preserve">Arhitectura de securitate VOGO TECHNOLOGY pentru SIDISVA implementează principiul „Defense in Depth" pe 7 straturi independente, asigurând că o breșă într-un strat nu compromite întregul sistem: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5238"/>
      </w:tblGrid>
      <w:tr>
        <w:tc>
          <w:tcPr>
            <w:tcW w:type="dxa" w:w="1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pPr>
              <w:jc w:val="left"/>
            </w:pPr>
            <w:r>
              <w:rPr>
                <w:rFonts w:ascii="Arial" w:cs="Arial" w:eastAsia="Arial" w:hAnsi="Arial"/>
                <w:b/>
                <w:bCs/>
                <w:sz w:val="20"/>
                <w:szCs w:val="20"/>
              </w:rPr>
              <w:t xml:space="preserve">Strat defensiv</w:t>
            </w:r>
          </w:p>
        </w:tc>
        <w:tc>
          <w:tcPr>
            <w:tcW w:type="dxa" w:w="2700"/>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pPr>
              <w:jc w:val="left"/>
            </w:pPr>
            <w:r>
              <w:rPr>
                <w:rFonts w:ascii="Arial" w:cs="Arial" w:eastAsia="Arial" w:hAnsi="Arial"/>
                <w:b/>
                <w:bCs/>
                <w:sz w:val="20"/>
                <w:szCs w:val="20"/>
              </w:rPr>
              <w:t xml:space="preserve">Componente</w:t>
            </w:r>
          </w:p>
        </w:tc>
        <w:tc>
          <w:tcPr>
            <w:tcW w:type="dxa" w:w="5238"/>
            <w:tcBorders>
              <w:top w:val="single" w:color="BFBFBF" w:sz="4"/>
              <w:left w:val="single" w:color="BFBFBF" w:sz="4"/>
              <w:bottom w:val="single" w:color="BFBFBF" w:sz="4"/>
              <w:right w:val="single" w:color="BFBFBF" w:sz="4"/>
            </w:tcBorders>
            <w:shd w:fill="D9E2F3" w:val="clear"/>
            <w:tcMar>
              <w:top w:type="dxa" w:w="80"/>
              <w:left w:type="dxa" w:w="120"/>
              <w:bottom w:type="dxa" w:w="80"/>
              <w:right w:type="dxa" w:w="120"/>
            </w:tcMar>
          </w:tcPr>
          <w:p>
            <w:pPr>
              <w:jc w:val="left"/>
            </w:pPr>
            <w:r>
              <w:rPr>
                <w:rFonts w:ascii="Arial" w:cs="Arial" w:eastAsia="Arial" w:hAnsi="Arial"/>
                <w:b/>
                <w:bCs/>
                <w:sz w:val="20"/>
                <w:szCs w:val="20"/>
              </w:rPr>
              <w:t xml:space="preserve">Tehnologii / Practici VOGO TECHNOLOGY</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1. Perimetral</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WAF, NGFW, anti-DDoS</w:t>
            </w:r>
          </w:p>
        </w:tc>
        <w:tc>
          <w:tcPr>
            <w:tcW w:type="dxa" w:w="52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Filtru OWASP Top 10, geo-IP filtering, rate limiting, scrubbing center anti-DDoS la ISP</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2. Rețea</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Segmentare, ZTNA, micro-segmentare</w:t>
            </w:r>
          </w:p>
        </w:tc>
        <w:tc>
          <w:tcPr>
            <w:tcW w:type="dxa" w:w="52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VLAN-uri funcționale, VRF, NAC (Network Access Control), Calico/Cilium pentru K8s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3. Aplicațional</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OWASP Top 10 mitigation</w:t>
            </w:r>
          </w:p>
        </w:tc>
        <w:tc>
          <w:tcPr>
            <w:tcW w:type="dxa" w:w="52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Input validation, output encoding, parameterized queries, security headers (CSP, HSTS), SAST + DAST automated</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4. Date</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Encryption + masking</w:t>
            </w:r>
          </w:p>
        </w:tc>
        <w:tc>
          <w:tcPr>
            <w:tcW w:type="dxa" w:w="52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TLS 1.3 in-transit, AES-256 at-rest, column-level encryption pentru PII, data masking pentru medii non-prod</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5. Identitate (IAM)</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MFA, RBAC, SSO</w:t>
            </w:r>
          </w:p>
        </w:tc>
        <w:tc>
          <w:tcPr>
            <w:tcW w:type="dxa" w:w="52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Keycloak/Entra ID, autentificare adaptivă, SSO via OAuth2/OIDC, integrare ROeID/eIDAS, RBAC granular per resursă</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6. Monitorizare</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SIEM, log management, threat intel</w:t>
            </w:r>
          </w:p>
        </w:tc>
        <w:tc>
          <w:tcPr>
            <w:tcW w:type="dxa" w:w="52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Splunk/Elastic SIEM cu reguli MITRE ATT&amp;CK, EDR pe endpoint-uri, threat intel feeds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7. Răspuns incidente</w:t>
            </w:r>
          </w:p>
        </w:tc>
        <w:tc>
          <w:tcPr>
            <w:tcW w:type="dxa" w:w="2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IR plan, CSIRT, exerciții</w:t>
            </w:r>
          </w:p>
        </w:tc>
        <w:tc>
          <w:tcPr>
            <w:tcW w:type="dxa" w:w="5238"/>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sz w:val="20"/>
                <w:szCs w:val="20"/>
              </w:rPr>
              <w:t xml:space="preserve">Plan IR documentat, echipa CSIRT 24×7, runbook-uri, exerciții tabletop semestriale, raportare CERT-RO</w:t>
            </w:r>
          </w:p>
        </w:tc>
      </w:tr>
    </w:tbl>
    <w:p>
      <w:pPr>
        <w:pStyle w:val="Heading2"/>
        <w:spacing w:after="140" w:before="220"/>
      </w:pPr>
      <w:r>
        <w:rPr>
          <w:rFonts w:ascii="Arial" w:cs="Arial" w:eastAsia="Arial" w:hAnsi="Arial"/>
          <w:b/>
          <w:bCs/>
          <w:color w:val="2E74B5"/>
          <w:sz w:val="26"/>
          <w:szCs w:val="26"/>
        </w:rPr>
        <w:t xml:space="preserve">10.3 Continuitate și Disaster Recovery (BCM/DR)</w:t>
      </w:r>
    </w:p>
    <w:p>
      <w:pPr>
        <w:pStyle w:val="ListParagraph"/>
        <w:numPr>
          <w:ilvl w:val="0"/>
          <w:numId w:val="2"/>
        </w:numPr>
        <w:spacing w:after="80" w:line="280"/>
        <w:jc w:val="both"/>
      </w:pPr>
      <w:r>
        <w:rPr>
          <w:rFonts w:ascii="Arial" w:cs="Arial" w:eastAsia="Arial" w:hAnsi="Arial"/>
          <w:b w:val="false"/>
          <w:bCs w:val="false"/>
        </w:rPr>
        <w:t xml:space="preserve">RPO (Recovery Point Objective): ≤15 minute pentru date critice;</w:t>
      </w:r>
    </w:p>
    <w:p>
      <w:pPr>
        <w:pStyle w:val="ListParagraph"/>
        <w:numPr>
          <w:ilvl w:val="0"/>
          <w:numId w:val="2"/>
        </w:numPr>
        <w:spacing w:after="80" w:line="280"/>
        <w:jc w:val="both"/>
      </w:pPr>
      <w:r>
        <w:rPr>
          <w:rFonts w:ascii="Arial" w:cs="Arial" w:eastAsia="Arial" w:hAnsi="Arial"/>
          <w:b w:val="false"/>
          <w:bCs w:val="false"/>
        </w:rPr>
        <w:t xml:space="preserve">RTO (Recovery Time Objective): ≤4 ore pentru funcționalități critice;</w:t>
      </w:r>
    </w:p>
    <w:p>
      <w:pPr>
        <w:pStyle w:val="ListParagraph"/>
        <w:numPr>
          <w:ilvl w:val="0"/>
          <w:numId w:val="2"/>
        </w:numPr>
        <w:spacing w:after="80" w:line="280"/>
        <w:jc w:val="both"/>
      </w:pPr>
      <w:r>
        <w:rPr>
          <w:rFonts w:ascii="Arial" w:cs="Arial" w:eastAsia="Arial" w:hAnsi="Arial"/>
          <w:b w:val="false"/>
          <w:bCs w:val="false"/>
        </w:rPr>
        <w:t xml:space="preserve">Backup strategy: full săptămânal + diferențial zilnic + transaction logs continuu; retenție 1 an cald, 6 ani rece;</w:t>
      </w:r>
    </w:p>
    <w:p>
      <w:pPr>
        <w:pStyle w:val="ListParagraph"/>
        <w:numPr>
          <w:ilvl w:val="0"/>
          <w:numId w:val="2"/>
        </w:numPr>
        <w:spacing w:after="80" w:line="280"/>
        <w:jc w:val="both"/>
      </w:pPr>
      <w:r>
        <w:rPr>
          <w:rFonts w:ascii="Arial" w:cs="Arial" w:eastAsia="Arial" w:hAnsi="Arial"/>
          <w:b w:val="false"/>
          <w:bCs w:val="false"/>
        </w:rPr>
        <w:t xml:space="preserve">Site DR: replicare sincronă pentru BD critice, asincronă pentru istoric; testare DR semestrială;</w:t>
      </w:r>
    </w:p>
    <w:p>
      <w:pPr>
        <w:pStyle w:val="ListParagraph"/>
        <w:numPr>
          <w:ilvl w:val="0"/>
          <w:numId w:val="2"/>
        </w:numPr>
        <w:spacing w:after="80" w:line="280"/>
        <w:jc w:val="both"/>
      </w:pPr>
      <w:r>
        <w:rPr>
          <w:rFonts w:ascii="Arial" w:cs="Arial" w:eastAsia="Arial" w:hAnsi="Arial"/>
          <w:b w:val="false"/>
          <w:bCs w:val="false"/>
        </w:rPr>
        <w:t xml:space="preserve">Plan BCP documentat conform ISO 22301; exerciții anuale de simulare incidente.</w:t>
      </w:r>
    </w:p>
    <w:p>
      <w:pPr>
        <w:pStyle w:val="Heading2"/>
        <w:spacing w:after="140" w:before="220"/>
      </w:pPr>
      <w:r>
        <w:rPr>
          <w:rFonts w:ascii="Arial" w:cs="Arial" w:eastAsia="Arial" w:hAnsi="Arial"/>
          <w:b/>
          <w:bCs/>
          <w:color w:val="2E74B5"/>
          <w:sz w:val="26"/>
          <w:szCs w:val="26"/>
        </w:rPr>
        <w:t xml:space="preserve">10.4 Conformitate GDPR</w:t>
      </w:r>
    </w:p>
    <w:p>
      <w:pPr>
        <w:pStyle w:val="ListParagraph"/>
        <w:numPr>
          <w:ilvl w:val="0"/>
          <w:numId w:val="2"/>
        </w:numPr>
        <w:spacing w:after="80" w:line="280"/>
        <w:jc w:val="both"/>
      </w:pPr>
      <w:r>
        <w:rPr>
          <w:rFonts w:ascii="Arial" w:cs="Arial" w:eastAsia="Arial" w:hAnsi="Arial"/>
          <w:b w:val="false"/>
          <w:bCs w:val="false"/>
        </w:rPr>
        <w:t xml:space="preserve">Privacy by Design și Privacy by Default — implementate la nivelul arhitecturii VOGO ENTERPRISE BUSINESS SUITE;</w:t>
      </w:r>
    </w:p>
    <w:p>
      <w:pPr>
        <w:pStyle w:val="ListParagraph"/>
        <w:numPr>
          <w:ilvl w:val="0"/>
          <w:numId w:val="2"/>
        </w:numPr>
        <w:spacing w:after="80" w:line="280"/>
        <w:jc w:val="both"/>
      </w:pPr>
      <w:r>
        <w:rPr>
          <w:rFonts w:ascii="Arial" w:cs="Arial" w:eastAsia="Arial" w:hAnsi="Arial"/>
          <w:b w:val="false"/>
          <w:bCs w:val="false"/>
        </w:rPr>
        <w:t xml:space="preserve">Registru de prelucrări (RoPA) menținut și actualizat;</w:t>
      </w:r>
    </w:p>
    <w:p>
      <w:pPr>
        <w:pStyle w:val="ListParagraph"/>
        <w:numPr>
          <w:ilvl w:val="0"/>
          <w:numId w:val="2"/>
        </w:numPr>
        <w:spacing w:after="80" w:line="280"/>
        <w:jc w:val="both"/>
      </w:pPr>
      <w:r>
        <w:rPr>
          <w:rFonts w:ascii="Arial" w:cs="Arial" w:eastAsia="Arial" w:hAnsi="Arial"/>
          <w:b w:val="false"/>
          <w:bCs w:val="false"/>
        </w:rPr>
        <w:t xml:space="preserve">DPIA (Data Protection Impact Assessment) realizat pentru fiecare modul cu prelucrare PII;</w:t>
      </w:r>
    </w:p>
    <w:p>
      <w:pPr>
        <w:pStyle w:val="ListParagraph"/>
        <w:numPr>
          <w:ilvl w:val="0"/>
          <w:numId w:val="2"/>
        </w:numPr>
        <w:spacing w:after="80" w:line="280"/>
        <w:jc w:val="both"/>
      </w:pPr>
      <w:r>
        <w:rPr>
          <w:rFonts w:ascii="Arial" w:cs="Arial" w:eastAsia="Arial" w:hAnsi="Arial"/>
          <w:b w:val="false"/>
          <w:bCs w:val="false"/>
        </w:rPr>
        <w:t xml:space="preserve">Drepturile data subject (acces, rectificare, ștergere, portabilitate) implementate end-to-end;</w:t>
      </w:r>
    </w:p>
    <w:p>
      <w:pPr>
        <w:pStyle w:val="ListParagraph"/>
        <w:numPr>
          <w:ilvl w:val="0"/>
          <w:numId w:val="2"/>
        </w:numPr>
        <w:spacing w:after="80" w:line="280"/>
        <w:jc w:val="both"/>
      </w:pPr>
      <w:r>
        <w:rPr>
          <w:rFonts w:ascii="Arial" w:cs="Arial" w:eastAsia="Arial" w:hAnsi="Arial"/>
          <w:b w:val="false"/>
          <w:bCs w:val="false"/>
        </w:rPr>
        <w:t xml:space="preserve">Mecanism de consent management;</w:t>
      </w:r>
    </w:p>
    <w:p>
      <w:pPr>
        <w:pStyle w:val="ListParagraph"/>
        <w:numPr>
          <w:ilvl w:val="0"/>
          <w:numId w:val="2"/>
        </w:numPr>
        <w:spacing w:after="80" w:line="280"/>
        <w:jc w:val="both"/>
      </w:pPr>
      <w:r>
        <w:rPr>
          <w:rFonts w:ascii="Arial" w:cs="Arial" w:eastAsia="Arial" w:hAnsi="Arial"/>
          <w:b w:val="false"/>
          <w:bCs w:val="false"/>
        </w:rPr>
        <w:t xml:space="preserve">Procedură de notificare breach către ANSPDCP și data subject (≤72h);</w:t>
      </w:r>
    </w:p>
    <w:p>
      <w:pPr>
        <w:pStyle w:val="ListParagraph"/>
        <w:numPr>
          <w:ilvl w:val="0"/>
          <w:numId w:val="2"/>
        </w:numPr>
        <w:spacing w:after="80" w:line="280"/>
        <w:jc w:val="both"/>
      </w:pPr>
      <w:r>
        <w:rPr>
          <w:rFonts w:ascii="Arial" w:cs="Arial" w:eastAsia="Arial" w:hAnsi="Arial"/>
          <w:b w:val="false"/>
          <w:bCs w:val="false"/>
        </w:rPr>
        <w:t xml:space="preserve">Anonimizare/pseudonimizare aplicată unde tehnologic posibil.</w:t>
      </w:r>
    </w:p>
    <w:p>
      <w:pPr>
        <w:pStyle w:val="Heading2"/>
        <w:spacing w:after="140" w:before="220"/>
      </w:pPr>
      <w:r>
        <w:rPr>
          <w:rFonts w:ascii="Arial" w:cs="Arial" w:eastAsia="Arial" w:hAnsi="Arial"/>
          <w:b/>
          <w:bCs/>
          <w:color w:val="2E74B5"/>
          <w:sz w:val="26"/>
          <w:szCs w:val="26"/>
        </w:rPr>
        <w:t xml:space="preserve">10.5 Pen-Testing și audit independent</w:t>
      </w:r>
    </w:p>
    <w:p>
      <w:pPr>
        <w:spacing w:after="120" w:line="300"/>
        <w:jc w:val="both"/>
      </w:pPr>
      <w:r>
        <w:rPr>
          <w:rFonts w:ascii="Arial" w:cs="Arial" w:eastAsia="Arial" w:hAnsi="Arial"/>
        </w:rPr>
        <w:t xml:space="preserve">VOGO TECHNOLOGY include în proiectul SIDISVA, ca livrabil obligatoriu în etapa de testare:</w:t>
      </w:r>
    </w:p>
    <w:p>
      <w:pPr>
        <w:pStyle w:val="ListParagraph"/>
        <w:numPr>
          <w:ilvl w:val="0"/>
          <w:numId w:val="2"/>
        </w:numPr>
        <w:spacing w:after="80" w:line="280"/>
        <w:jc w:val="both"/>
      </w:pPr>
      <w:r>
        <w:rPr>
          <w:rFonts w:ascii="Arial" w:cs="Arial" w:eastAsia="Arial" w:hAnsi="Arial"/>
          <w:b w:val="false"/>
          <w:bCs w:val="false"/>
        </w:rPr>
        <w:t xml:space="preserve">Pen-test extern realizat de o echipă independentă acreditată ANSSI / DNSC;</w:t>
      </w:r>
    </w:p>
    <w:p>
      <w:pPr>
        <w:pStyle w:val="ListParagraph"/>
        <w:numPr>
          <w:ilvl w:val="0"/>
          <w:numId w:val="2"/>
        </w:numPr>
        <w:spacing w:after="80" w:line="280"/>
        <w:jc w:val="both"/>
      </w:pPr>
      <w:r>
        <w:rPr>
          <w:rFonts w:ascii="Arial" w:cs="Arial" w:eastAsia="Arial" w:hAnsi="Arial"/>
          <w:b w:val="false"/>
          <w:bCs w:val="false"/>
        </w:rPr>
        <w:t xml:space="preserve">Pen-test intern pe medii de staging — automate + manuale;</w:t>
      </w:r>
    </w:p>
    <w:p>
      <w:pPr>
        <w:pStyle w:val="ListParagraph"/>
        <w:numPr>
          <w:ilvl w:val="0"/>
          <w:numId w:val="2"/>
        </w:numPr>
        <w:spacing w:after="80" w:line="280"/>
        <w:jc w:val="both"/>
      </w:pPr>
      <w:r>
        <w:rPr>
          <w:rFonts w:ascii="Arial" w:cs="Arial" w:eastAsia="Arial" w:hAnsi="Arial"/>
          <w:b w:val="false"/>
          <w:bCs w:val="false"/>
        </w:rPr>
        <w:t xml:space="preserve">Audit de cod sursă (SAST + DAST) — automatizat în pipeline CI/CD;</w:t>
      </w:r>
    </w:p>
    <w:p>
      <w:pPr>
        <w:pStyle w:val="ListParagraph"/>
        <w:numPr>
          <w:ilvl w:val="0"/>
          <w:numId w:val="2"/>
        </w:numPr>
        <w:spacing w:after="80" w:line="280"/>
        <w:jc w:val="both"/>
      </w:pPr>
      <w:r>
        <w:rPr>
          <w:rFonts w:ascii="Arial" w:cs="Arial" w:eastAsia="Arial" w:hAnsi="Arial"/>
          <w:b w:val="false"/>
          <w:bCs w:val="false"/>
        </w:rPr>
        <w:t xml:space="preserve">Audit de configurare — verificare best-practices CIS Benchmarks;</w:t>
      </w:r>
    </w:p>
    <w:p>
      <w:pPr>
        <w:pStyle w:val="ListParagraph"/>
        <w:numPr>
          <w:ilvl w:val="0"/>
          <w:numId w:val="2"/>
        </w:numPr>
        <w:spacing w:after="80" w:line="280"/>
        <w:jc w:val="both"/>
      </w:pPr>
      <w:r>
        <w:rPr>
          <w:rFonts w:ascii="Arial" w:cs="Arial" w:eastAsia="Arial" w:hAnsi="Arial"/>
          <w:b w:val="false"/>
          <w:bCs w:val="false"/>
        </w:rPr>
        <w:t xml:space="preserve">Raport pen-test cu plan de remediere — toate vulnerabilitățile critice și majore remediate înainte de go-live;</w:t>
      </w:r>
    </w:p>
    <w:p>
      <w:pPr>
        <w:pStyle w:val="ListParagraph"/>
        <w:numPr>
          <w:ilvl w:val="0"/>
          <w:numId w:val="2"/>
        </w:numPr>
        <w:spacing w:after="80" w:line="280"/>
        <w:jc w:val="both"/>
      </w:pPr>
      <w:r>
        <w:rPr>
          <w:rFonts w:ascii="Arial" w:cs="Arial" w:eastAsia="Arial" w:hAnsi="Arial"/>
          <w:b w:val="false"/>
          <w:bCs w:val="false"/>
        </w:rPr>
        <w:t xml:space="preserve">Re-test post-remediere pentru validare.</w:t>
      </w:r>
    </w:p>
    <w:p>
      <w:pPr>
        <w:pStyle w:val="Heading2"/>
        <w:spacing w:after="140" w:before="220"/>
      </w:pPr>
      <w:r>
        <w:rPr>
          <w:rFonts w:ascii="Arial" w:cs="Arial" w:eastAsia="Arial" w:hAnsi="Arial"/>
          <w:b/>
          <w:bCs/>
          <w:color w:val="2E74B5"/>
          <w:sz w:val="26"/>
          <w:szCs w:val="26"/>
        </w:rPr>
        <w:t xml:space="preserve">10.6 Monitorizare 24×7 SOC</w:t>
      </w:r>
    </w:p>
    <w:p>
      <w:pPr>
        <w:spacing w:after="120" w:line="300"/>
        <w:jc w:val="both"/>
      </w:pPr>
      <w:r>
        <w:rPr>
          <w:rFonts w:ascii="Arial" w:cs="Arial" w:eastAsia="Arial" w:hAnsi="Arial"/>
        </w:rPr>
        <w:t xml:space="preserve">VOGO TECHNOLOGY asigură pe perioada garanției monitorizare 24×7 a sistemului SIDISVA prin Security Operations Center (SOC):</w:t>
      </w:r>
    </w:p>
    <w:p>
      <w:pPr>
        <w:pStyle w:val="ListParagraph"/>
        <w:numPr>
          <w:ilvl w:val="0"/>
          <w:numId w:val="2"/>
        </w:numPr>
        <w:spacing w:after="80" w:line="280"/>
        <w:jc w:val="both"/>
      </w:pPr>
      <w:r>
        <w:rPr>
          <w:rFonts w:ascii="Arial" w:cs="Arial" w:eastAsia="Arial" w:hAnsi="Arial"/>
          <w:b w:val="false"/>
          <w:bCs w:val="false"/>
        </w:rPr>
        <w:t xml:space="preserve">Monitorizare permanentă a alertelor SIEM;</w:t>
      </w:r>
    </w:p>
    <w:p>
      <w:pPr>
        <w:pStyle w:val="ListParagraph"/>
        <w:numPr>
          <w:ilvl w:val="0"/>
          <w:numId w:val="2"/>
        </w:numPr>
        <w:spacing w:after="80" w:line="280"/>
        <w:jc w:val="both"/>
      </w:pPr>
      <w:r>
        <w:rPr>
          <w:rFonts w:ascii="Arial" w:cs="Arial" w:eastAsia="Arial" w:hAnsi="Arial"/>
          <w:b w:val="false"/>
          <w:bCs w:val="false"/>
        </w:rPr>
        <w:t xml:space="preserve">Threat hunting proactiv pe baza de cunoștințe MITRE ATT&amp;CK;</w:t>
      </w:r>
    </w:p>
    <w:p>
      <w:pPr>
        <w:pStyle w:val="ListParagraph"/>
        <w:numPr>
          <w:ilvl w:val="0"/>
          <w:numId w:val="2"/>
        </w:numPr>
        <w:spacing w:after="80" w:line="280"/>
        <w:jc w:val="both"/>
      </w:pPr>
      <w:r>
        <w:rPr>
          <w:rFonts w:ascii="Arial" w:cs="Arial" w:eastAsia="Arial" w:hAnsi="Arial"/>
          <w:b w:val="false"/>
          <w:bCs w:val="false"/>
        </w:rPr>
        <w:t xml:space="preserve">Raportare CERT-RO conform Legii 362/2018;</w:t>
      </w:r>
    </w:p>
    <w:p>
      <w:pPr>
        <w:pStyle w:val="ListParagraph"/>
        <w:numPr>
          <w:ilvl w:val="0"/>
          <w:numId w:val="2"/>
        </w:numPr>
        <w:spacing w:after="80" w:line="280"/>
        <w:jc w:val="both"/>
      </w:pPr>
      <w:r>
        <w:rPr>
          <w:rFonts w:ascii="Arial" w:cs="Arial" w:eastAsia="Arial" w:hAnsi="Arial"/>
          <w:b w:val="false"/>
          <w:bCs w:val="false"/>
        </w:rPr>
        <w:t xml:space="preserve">Răspuns incidente cu echipa CSIRT activată în maxim 30 minute pentru incidente critice;</w:t>
      </w:r>
    </w:p>
    <w:p>
      <w:pPr>
        <w:pStyle w:val="ListParagraph"/>
        <w:numPr>
          <w:ilvl w:val="0"/>
          <w:numId w:val="2"/>
        </w:numPr>
        <w:spacing w:after="80" w:line="280"/>
        <w:jc w:val="both"/>
      </w:pPr>
      <w:r>
        <w:rPr>
          <w:rFonts w:ascii="Arial" w:cs="Arial" w:eastAsia="Arial" w:hAnsi="Arial"/>
          <w:b w:val="false"/>
          <w:bCs w:val="false"/>
        </w:rPr>
        <w:t xml:space="preserve">Raport lunar către ANSVSA cu sinteza incidentelor, IoC-urilor, vulnerabilităților remediate.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40" w:before="220"/>
      <w:outlineLvl w:val="1"/>
    </w:pPr>
    <w:rPr>
      <w:rFonts w:ascii="Arial" w:cs="Arial" w:eastAsia="Arial" w:hAnsi="Arial"/>
      <w:b/>
      <w:bCs/>
      <w:color w:val="2E74B5"/>
      <w:sz w:val="26"/>
      <w:szCs w:val="26"/>
    </w:rPr>
  </w:style>
  <w:style w:type="paragraph" w:styleId="Heading3">
    <w:name w:val="Heading 3"/>
    <w:basedOn w:val="Normal"/>
    <w:next w:val="Normal"/>
    <w:qFormat/>
    <w:pPr>
      <w:spacing w:after="120" w:before="180"/>
      <w:outlineLvl w:val="2"/>
    </w:pPr>
    <w:rPr>
      <w:rFonts w:ascii="Arial" w:cs="Arial" w:eastAsia="Arial" w:hAnsi="Arial"/>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SIDISVA — Securitate informatică</dc:title>
  <dc:creator>VOGO TECHNOLOGY</dc:creator>
  <cp:lastModifiedBy>Un-named</cp:lastModifiedBy>
  <cp:revision>1</cp:revision>
  <dcterms:created xsi:type="dcterms:W3CDTF">2026-05-12T22:40:45.025Z</dcterms:created>
  <dcterms:modified xsi:type="dcterms:W3CDTF">2026-05-12T22:40:45.025Z</dcterms:modified>
</cp:coreProperties>
</file>

<file path=docProps/custom.xml><?xml version="1.0" encoding="utf-8"?>
<Properties xmlns="http://schemas.openxmlformats.org/officeDocument/2006/custom-properties" xmlns:vt="http://schemas.openxmlformats.org/officeDocument/2006/docPropsVTypes"/>
</file>