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Măsuri de respectare a principiului DNSH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Capitolul răspunde la Factorul de evaluare nr. 4 — Măsuri DNSH (10 puncte total). </w:t>
      </w:r>
      <w:r>
        <w:rPr>
          <w:rFonts w:ascii="Arial" w:cs="Arial" w:eastAsia="Arial" w:hAnsi="Arial"/>
          <w:b/>
          <w:bCs/>
        </w:rPr>
        <w:t xml:space="preserve">VOGO TECHNOLOGY</w:t>
      </w:r>
      <w:r>
        <w:rPr>
          <w:rFonts w:ascii="Arial" w:cs="Arial" w:eastAsia="Arial" w:hAnsi="Arial"/>
        </w:rPr>
        <w:t xml:space="preserve"> țintește </w:t>
      </w:r>
      <w:r>
        <w:rPr>
          <w:rFonts w:ascii="Arial" w:cs="Arial" w:eastAsia="Arial" w:hAnsi="Arial"/>
          <w:b/>
          <w:bCs/>
        </w:rPr>
        <w:t xml:space="preserve">punctajul maxim</w:t>
      </w:r>
      <w:r>
        <w:rPr>
          <w:rFonts w:ascii="Arial" w:cs="Arial" w:eastAsia="Arial" w:hAnsi="Arial"/>
        </w:rPr>
        <w:t xml:space="preserve"> pe ambii subfactori (5+5 = 10 puncte), prin alegeri tehnice și logistice concrete, măsurabile și documentate.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11.1 Cadrul DNSH (Do No Significant Harm)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Principiul DNSH, instituit prin Regulamentul (UE) 2020/852 (Taxonomy Regulation), impune ca activitățile finanțate din fonduri europene să nu aducă prejudicii semnificative niciunuia dintre cele 6 obiective de mediu: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Atenuarea schimbărilor climatice;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Adaptarea la schimbările climatice;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Utilizarea durabilă și protecția resurselor de apă și marine;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Tranziția la o economie circulară;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Prevenirea și controlul poluării;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Protecția și restaurarea biodiversității și a ecosistemelor.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11.2 Subfactor 4.1 — Consum energie laptop în modul veghe (5 puncte)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Cerința minimă obligatorie din Caietul de Sarcini: laptopurile ofertate trebuie să aibă un consum în modul veghe de </w:t>
      </w:r>
      <w:r>
        <w:rPr>
          <w:rFonts w:ascii="Arial" w:cs="Arial" w:eastAsia="Arial" w:hAnsi="Arial"/>
          <w:b/>
          <w:bCs/>
        </w:rPr>
        <w:t xml:space="preserve">maxim 20 Wh</w:t>
      </w:r>
      <w:r>
        <w:rPr>
          <w:rFonts w:ascii="Arial" w:cs="Arial" w:eastAsia="Arial" w:hAnsi="Arial"/>
        </w:rPr>
        <w:t xml:space="preserve">. Peste 20 Wh = ofertă neconformă. Algoritmul de punctaj: cel mai mic consum dintre ofertanți = 5 puncte; pentru alte consumuri: P(n) = (Cmin / Cn) × 5 puncte.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Strategia VOGO TECHNOLOGY: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Ofertăm 100 laptop-uri model [Producător/Model] cu consum în modul veghe de [X] Wh — semnificativ sub plafonul de 20 Wh;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Modelul deține certificare EnergyStar 8.0 + EU Ecolabel — conform Decizia (UE) 2020/1804 a Comisiei;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Documente justificative anexate: fișa tehnică oficială producător + raport de testare independent.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11.3 Subfactor 4.2 — Reducere amprentă carbon (livrare + ambalare) — 5 puncte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Algoritmul de punctaj: 0 puncte — nicio măsură concretă; 2 puncte — ambalaje reciclabile/reutilizabile fără alte măsuri; 5 puncte — ambalaje reciclabile + livrare cu mijloace cu emisii reduse.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Măsurile concrete VOGO TECHNOLOGY (5 puncte țintite):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Ambalare: 100% materiale reciclabile certificate FSC (carton + folie biodegradabilă), eliminarea polistirenului expandat;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Consolidare livrări: gruparea echipamentelor pe DSVSA pentru maximizarea load factor;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Optimizare trasee: software de planificare logistică pentru minimizarea km parcurși (cu certificat de la furnizorul logistic);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Vehicule electrice/hibride pentru livrările intra-urbane (București + capitale județene principale);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Compensare emisiilor reziduale prin program de plantare pomi (cu certificat de carbon offset);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Documente justificative: contract cu furnizor logistic care detaliază măsurile + certificate ambalare reciclabilă + raport amprentă carbon estimată.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11.4 Declarația DNSH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VOGO TECHNOLOGY se angajează prin </w:t>
      </w:r>
      <w:r>
        <w:rPr>
          <w:rFonts w:ascii="Arial" w:cs="Arial" w:eastAsia="Arial" w:hAnsi="Arial"/>
          <w:b/>
          <w:bCs/>
        </w:rPr>
        <w:t xml:space="preserve">Declarația DNSH</w:t>
      </w:r>
      <w:r>
        <w:rPr>
          <w:rFonts w:ascii="Arial" w:cs="Arial" w:eastAsia="Arial" w:hAnsi="Arial"/>
        </w:rPr>
        <w:t xml:space="preserve"> (anexată ofertei) că toate echipamentele și serviciile ofertate respectă integral principiul Do No Significant Harm pe toate cele 6 obiective de mediu, în spiritul Regulamentului (UE) 2020/852 și al condițiilor specifice PoCIDIF.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11.5 Documente justificative DNSH (Anexa I)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Fișa tehnică oficială a laptop-urilor ofertate (consum modul veghe);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Certificat EnergyStar 8.0 + EU Ecolabel pentru laptop-uri;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Raport de testare independent al consumului;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Certificat materiale ambalare reciclabile (FSC);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Contract cu furnizor logistic detaliind măsurile DNSH;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Raport amprentă carbon estimată pentru întregul lot de livrare;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Certificat carbon offset (compensare emisiilor reziduale).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SIDISVA — DNSH</dc:title>
  <dc:creator>VOGO TECHNOLOGY</dc:creator>
  <cp:lastModifiedBy>Un-named</cp:lastModifiedBy>
  <cp:revision>1</cp:revision>
  <dcterms:created xsi:type="dcterms:W3CDTF">2026-05-12T22:40:45.038Z</dcterms:created>
  <dcterms:modified xsi:type="dcterms:W3CDTF">2026-05-12T22:40:45.038Z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