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80" w:before="2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12. Plan de instruire utilizatori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Capitolul descrie planul de instruire a utilizatorilor sistemului SIDISVA. </w:t>
      </w:r>
      <w:r>
        <w:rPr>
          <w:rFonts w:ascii="Arial" w:cs="Arial" w:eastAsia="Arial" w:hAnsi="Arial"/>
          <w:b/>
          <w:bCs/>
        </w:rPr>
        <w:t xml:space="preserve">VOGO TECHNOLOGY</w:t>
      </w:r>
      <w:r>
        <w:rPr>
          <w:rFonts w:ascii="Arial" w:cs="Arial" w:eastAsia="Arial" w:hAnsi="Arial"/>
        </w:rPr>
        <w:t xml:space="preserve"> aplică o abordare structurată pe roluri și volum, asigurând instruire diferențiată pentru fiecare categorie de utilizatori, atât prin sesiuni față-în-față cât și prin instrumente digitale auto-paced. Detalii complete în Anexa G.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12.1 Categorii de utilizatori și volum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2500"/>
        <w:gridCol w:w="1300"/>
        <w:gridCol w:w="1938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Categorie utilizatori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Volum estimat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 instruire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Durată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Mod livrare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Administratori sistem ANSVSA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20-30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Tehnică aprofundată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 zile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Față-în-față + lab hands-on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Utilizatori cheie ANSVSA centru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50-80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Funcțională avansată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zile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Față-în-față + lab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Utilizatori DSVSA (42 județe)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1000-1500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Funcțională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 zile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Hibrid (live online + e-learning)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Utilizatori Institute (3)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100-150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Funcțională specializată LIMS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 zile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Față-în-față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Echipa de control teren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300-400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Funcțională + aplicație mobilă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 zi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Față-în-față per regiune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Cetățeni / Mediul de afaceri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Open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Self-service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Auto-paced</w:t>
            </w:r>
          </w:p>
        </w:tc>
        <w:tc>
          <w:tcPr>
            <w:tcW w:type="dxa" w:w="1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E-learning + tutoriale video</w:t>
            </w:r>
          </w:p>
        </w:tc>
      </w:tr>
    </w:tbl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12.2 Materiale de instruire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Manuale utilizator pe rol (PDF + versiune online searchable);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Manuale administrator tehnic;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Tutoriale video (5-15 minute) pentru fiecare task major;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Curs e-learning interactiv cu evaluări și certificări;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Quick-reference cards pentru aplicații mobile;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FAQ și knowledge base online;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Sesiuni Q&amp;A live la 1 lună post-go-live.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12.3 Metodologia de instruire VOGO TECHNOLOGY</w:t>
      </w:r>
    </w:p>
    <w:p>
      <w:pPr>
        <w:spacing w:after="120" w:line="300"/>
        <w:jc w:val="both"/>
      </w:pPr>
      <w:r>
        <w:rPr>
          <w:rFonts w:ascii="Arial" w:cs="Arial" w:eastAsia="Arial" w:hAnsi="Arial"/>
        </w:rPr>
        <w:t xml:space="preserve">Instruirea VOGO TECHNOLOGY se desfășoară conform principiilor educației pentru adulți (andragogie) și include: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Sesiuni teoretice scurte (max 30%) urmate de exerciții practice (min 70%);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Lab-uri hands-on pe mediul de instruire dedicat (replica mediului de producție);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Scenarii reale derivate din procesele ANSVSA, nu generice;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Evaluare prin teste online + scenarii practice — certificare la finalul cursului;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Feedback continuu — chestionare după fiecare sesiune, ajustări pe parcurs;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Train-the-trainer pentru utilizatorii cheie ANSVSA — autosustenabilitate pe termen lung.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12.4 Resurse umane (echipa de instruire)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2 × experți instruire (cf. cap. 8 din Caiet);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Suport de 2-3 traineri locali pe zonă geografică pentru sesiunile DSVSA;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1 × Coordonator instruire — punct unic de contact pentru ANSVSA;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1 × Designer instructional (e-learning content);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1 × Specialist video — pentru tutorialele înregistrate.</w:t>
      </w:r>
    </w:p>
    <w:p>
      <w:pPr>
        <w:pStyle w:val="Heading2"/>
        <w:spacing w:after="140" w:before="22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12.5 Livrabile instruire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Plan detaliat de instruire (Anexa G);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Materiale didactice complete (manuale, slide-uri, tutoriale, e-learning);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Liste de prezență și certificate de absolvire per cursant;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Rapoarte de evaluare a sesiunilor;</w:t>
      </w:r>
    </w:p>
    <w:p>
      <w:pPr>
        <w:pStyle w:val="ListParagraph"/>
        <w:numPr>
          <w:ilvl w:val="0"/>
          <w:numId w:val="2"/>
        </w:numPr>
        <w:spacing w:after="80" w:line="280"/>
        <w:jc w:val="both"/>
      </w:pPr>
      <w:r>
        <w:rPr>
          <w:rFonts w:ascii="Arial" w:cs="Arial" w:eastAsia="Arial" w:hAnsi="Arial"/>
          <w:b w:val="false"/>
          <w:bCs w:val="false"/>
        </w:rPr>
        <w:t xml:space="preserve">Knowledge base online — accesibilă post-instruire pentru toți utilizatorii.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2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180"/>
      <w:outlineLvl w:val="2"/>
    </w:pPr>
    <w:rPr>
      <w:rFonts w:ascii="Arial" w:cs="Arial" w:eastAsia="Arial" w:hAnsi="Arial"/>
      <w:b/>
      <w:bCs/>
      <w:color w:val="2E74B5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SIDISVA — Plan instruire</dc:title>
  <dc:creator>VOGO TECHNOLOGY</dc:creator>
  <cp:lastModifiedBy>Un-named</cp:lastModifiedBy>
  <cp:revision>1</cp:revision>
  <dcterms:created xsi:type="dcterms:W3CDTF">2026-05-12T22:40:45.190Z</dcterms:created>
  <dcterms:modified xsi:type="dcterms:W3CDTF">2026-05-12T22:40:45.191Z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