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Realizare DEMO ca parte a procesului de evaluare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Conform cap. 14 din Caietul de Sarcini, ofertantul este obligat să atașeze ofertei un </w:t>
      </w:r>
      <w:r>
        <w:rPr>
          <w:rFonts w:ascii="Arial" w:cs="Arial" w:eastAsia="Arial" w:hAnsi="Arial"/>
          <w:b/>
          <w:bCs/>
        </w:rPr>
        <w:t xml:space="preserve">VIDEO DEMONSTRATIV</w:t>
      </w:r>
      <w:r>
        <w:rPr>
          <w:rFonts w:ascii="Arial" w:cs="Arial" w:eastAsia="Arial" w:hAnsi="Arial"/>
        </w:rPr>
        <w:t xml:space="preserve"> pentru cerințele cu risc major (perioade extinse de implementare/integrare care pot genera riscuri funcționale și tehnologice). </w:t>
      </w:r>
      <w:r>
        <w:rPr>
          <w:rFonts w:ascii="Arial" w:cs="Arial" w:eastAsia="Arial" w:hAnsi="Arial"/>
          <w:b/>
          <w:bCs/>
        </w:rPr>
        <w:t xml:space="preserve">VOGO TECHNOLOGY</w:t>
      </w:r>
      <w:r>
        <w:rPr>
          <w:rFonts w:ascii="Arial" w:cs="Arial" w:eastAsia="Arial" w:hAnsi="Arial"/>
        </w:rPr>
        <w:t xml:space="preserve"> livrează acest demo bazat pe versiuni preliminare/prototype ale soluției VOGO ENTERPRISE BUSINESS SUITE și pe componente similare deja implementate în proiecte anterioare ale companiei.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14.1 Conținutul video DEMO propus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VOGO TECHNOLOGY demonstrează prin video următoarele elemente cheie ale soluției SIDISVA: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Demo Portal Servicii Publice: autentificare ROeID + flux depunere cerere autorizare unitate (cu generare automată decizie semnată digital eIDAS);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Demo workflow DMS: înregistrare document → fluxul de aprobare → semnare digitală → arhivare;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Demo LIMS: înregistrare cerere analiză → generare cod barcode → workflow laborator → eliberare buletin de analiză cu semnătură digitală;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Demo aplicație mobilă teren: înregistrare control offline + sincronizare la conectare + generare PV semnat;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Demo integrare ROeID + HL7 FHIR — schimb date sincron cu sisteme externe;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Demo dashboard BI cu drill-down pe indicatori epidemiologici;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Demo modul GIS — vizualizare exploatații, rute optimizate echipe teren, analiză hot-spots epidemiologici.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14.2 Specificații tehnice video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Format: MP4 H.264 / H.265;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Rezoluție: 1080p (Full HD) sau 4K;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Durată estimată: 15-25 minute totale (segmentat pe demo-uri tematice);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Audio: voce-over în română, cu subtitrare RO/EN;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Arial" w:cs="Arial" w:eastAsia="Arial" w:hAnsi="Arial"/>
          <w:b w:val="false"/>
          <w:bCs w:val="false"/>
        </w:rPr>
        <w:t xml:space="preserve">Capitole/marker-uri pentru navigare facilă în videoclip.</w:t>
      </w:r>
    </w:p>
    <w:p>
      <w:pPr>
        <w:pStyle w:val="Heading2"/>
        <w:spacing w:after="140" w:before="2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14.3 Mod de livrare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Video-ul DEMO este atașat ofertei tehnice ca </w:t>
      </w:r>
      <w:r>
        <w:rPr>
          <w:rFonts w:ascii="Arial" w:cs="Arial" w:eastAsia="Arial" w:hAnsi="Arial"/>
          <w:b/>
          <w:bCs/>
        </w:rPr>
        <w:t xml:space="preserve">Anexa J</w:t>
      </w:r>
      <w:r>
        <w:rPr>
          <w:rFonts w:ascii="Arial" w:cs="Arial" w:eastAsia="Arial" w:hAnsi="Arial"/>
        </w:rPr>
        <w:t xml:space="preserve"> (referință fișier — depus separat în SEAP datorită dimensiunii). Linkul de acces și hash-ul de validare sunt menționate în Anexa J.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SIDISVA — Video DEMO</dc:title>
  <dc:creator>VOGO TECHNOLOGY</dc:creator>
  <cp:lastModifiedBy>Un-named</cp:lastModifiedBy>
  <cp:revision>1</cp:revision>
  <dcterms:created xsi:type="dcterms:W3CDTF">2026-05-12T22:40:45.213Z</dcterms:created>
  <dcterms:modified xsi:type="dcterms:W3CDTF">2026-05-12T22:40:45.213Z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