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Arial" w:cs="Arial" w:eastAsia="Arial" w:hAnsi="Arial"/>
          <w:b/>
          <w:bCs/>
          <w:color w:val="1F3864"/>
          <w:sz w:val="32"/>
          <w:szCs w:val="32"/>
        </w:rPr>
        <w:t xml:space="preserve">2. Abordarea și metodologia propuse pentru prestarea serviciilor</w:t>
      </w:r>
    </w:p>
    <w:p>
      <w:pPr>
        <w:spacing w:after="120" w:line="300"/>
        <w:jc w:val="both"/>
      </w:pPr>
      <w:r>
        <w:rPr>
          <w:rFonts w:ascii="Arial" w:cs="Arial" w:eastAsia="Arial" w:hAnsi="Arial"/>
        </w:rPr>
        <w:t xml:space="preserve">Prezentul capitol descrie abordarea și metodologia pe care </w:t>
      </w:r>
      <w:r>
        <w:rPr>
          <w:rFonts w:ascii="Arial" w:cs="Arial" w:eastAsia="Arial" w:hAnsi="Arial"/>
          <w:b/>
          <w:bCs/>
        </w:rPr>
        <w:t xml:space="preserve">VOGO TECHNOLOGY</w:t>
      </w:r>
      <w:r>
        <w:rPr>
          <w:rFonts w:ascii="Arial" w:cs="Arial" w:eastAsia="Arial" w:hAnsi="Arial"/>
        </w:rPr>
        <w:t xml:space="preserve"> o aplică pentru implementarea Sistemului Informatic Digitalizat în domeniul Sanitar Veterinar și pentru Siguranța Alimentelor (SIDISVA), răspunzând integral la Factorul de evaluare nr. 3 — Metodologia de implementare a contractului (20 puncte). Obiectivul nostru este obținerea calificativului </w:t>
      </w:r>
      <w:r>
        <w:rPr>
          <w:rFonts w:ascii="Arial" w:cs="Arial" w:eastAsia="Arial" w:hAnsi="Arial"/>
          <w:b/>
          <w:bCs/>
        </w:rPr>
        <w:t xml:space="preserve">EXCEPȚIONAL</w:t>
      </w:r>
      <w:r>
        <w:rPr>
          <w:rFonts w:ascii="Arial" w:cs="Arial" w:eastAsia="Arial" w:hAnsi="Arial"/>
        </w:rPr>
        <w:t xml:space="preserve"> pe ambii subfactori (10+10 = 20 puncte).</w:t>
      </w:r>
    </w:p>
    <w:p>
      <w:pPr>
        <w:spacing w:after="120" w:line="300"/>
        <w:jc w:val="both"/>
      </w:pPr>
      <w:r>
        <w:rPr>
          <w:rFonts w:ascii="Arial" w:cs="Arial" w:eastAsia="Arial" w:hAnsi="Arial"/>
        </w:rPr>
        <w:t xml:space="preserve">Activitatea de management de proiect VOGO TECHNOLOGY se desfășoară conform unui cadru de management de proiect (framework) </w:t>
      </w:r>
      <w:r>
        <w:rPr>
          <w:rFonts w:ascii="Arial" w:cs="Arial" w:eastAsia="Arial" w:hAnsi="Arial"/>
          <w:b/>
          <w:bCs/>
        </w:rPr>
        <w:t xml:space="preserve">recunoscut internațional</w:t>
      </w:r>
      <w:r>
        <w:rPr>
          <w:rFonts w:ascii="Arial" w:cs="Arial" w:eastAsia="Arial" w:hAnsi="Arial"/>
        </w:rPr>
        <w:t xml:space="preserve"> de organisme profesionale specifice — </w:t>
      </w:r>
      <w:r>
        <w:rPr>
          <w:rFonts w:ascii="Arial" w:cs="Arial" w:eastAsia="Arial" w:hAnsi="Arial"/>
          <w:b/>
          <w:bCs/>
        </w:rPr>
        <w:t xml:space="preserve">Project Management Institute (PMI)</w:t>
      </w:r>
      <w:r>
        <w:rPr>
          <w:rFonts w:ascii="Arial" w:cs="Arial" w:eastAsia="Arial" w:hAnsi="Arial"/>
        </w:rPr>
        <w:t xml:space="preserve">. Metodologia VOGO TECHNOLOGY se bazează pe practicile și conceptele optime utilizate de PMI, conform standardului </w:t>
      </w:r>
      <w:r>
        <w:rPr>
          <w:rFonts w:ascii="Arial" w:cs="Arial" w:eastAsia="Arial" w:hAnsi="Arial"/>
          <w:i/>
          <w:iCs/>
        </w:rPr>
        <w:t xml:space="preserve">A Guide to the Project Management Body of Knowledge (PMBoK)</w:t>
      </w:r>
      <w:r>
        <w:rPr>
          <w:rFonts w:ascii="Arial" w:cs="Arial" w:eastAsia="Arial" w:hAnsi="Arial"/>
        </w:rPr>
        <w:t xml:space="preserve"> — referință globală, având peste 2 milioane de accesări la nivel mondial. Pentru activitățile de analiză a cerințelor, aplicăm cadrul </w:t>
      </w:r>
      <w:r>
        <w:rPr>
          <w:rFonts w:ascii="Arial" w:cs="Arial" w:eastAsia="Arial" w:hAnsi="Arial"/>
          <w:b/>
          <w:bCs/>
        </w:rPr>
        <w:t xml:space="preserve">BABOK (Business Analysis Body of Knowledge)</w:t>
      </w:r>
      <w:r>
        <w:rPr>
          <w:rFonts w:ascii="Arial" w:cs="Arial" w:eastAsia="Arial" w:hAnsi="Arial"/>
        </w:rPr>
        <w:t xml:space="preserve">; pentru dezvoltarea software, cadrul hibrid </w:t>
      </w:r>
      <w:r>
        <w:rPr>
          <w:rFonts w:ascii="Arial" w:cs="Arial" w:eastAsia="Arial" w:hAnsi="Arial"/>
          <w:b/>
          <w:bCs/>
        </w:rPr>
        <w:t xml:space="preserve">Agile-Scrum</w:t>
      </w:r>
      <w:r>
        <w:rPr>
          <w:rFonts w:ascii="Arial" w:cs="Arial" w:eastAsia="Arial" w:hAnsi="Arial"/>
        </w:rPr>
        <w:t xml:space="preserve"> organizat conform SAFe pentru programe cu multiple echipe.</w:t>
      </w:r>
    </w:p>
    <w:p>
      <w:pPr>
        <w:pStyle w:val="Heading2"/>
        <w:spacing w:after="140" w:before="220"/>
      </w:pPr>
      <w:r>
        <w:rPr>
          <w:rFonts w:ascii="Arial" w:cs="Arial" w:eastAsia="Arial" w:hAnsi="Arial"/>
          <w:b/>
          <w:bCs/>
          <w:color w:val="2E74B5"/>
          <w:sz w:val="26"/>
          <w:szCs w:val="26"/>
        </w:rPr>
        <w:t xml:space="preserve">2.1 Principiile fundamentale ale abordării</w:t>
      </w:r>
    </w:p>
    <w:p>
      <w:pPr>
        <w:spacing w:after="120" w:line="300"/>
        <w:jc w:val="both"/>
      </w:pPr>
      <w:r>
        <w:rPr>
          <w:rFonts w:ascii="Arial" w:cs="Arial" w:eastAsia="Arial" w:hAnsi="Arial"/>
        </w:rPr>
        <w:t xml:space="preserve">Abordarea propusă pentru implementarea SIDISVA se bazează pe principiile arhitecturale enunțate la cap. 3.4.3 din Caietul de Sarcini, pe care le adoptăm integral și le aplicăm consecvent pe parcursul întregului ciclu de viață al proiectului:</w:t>
      </w:r>
    </w:p>
    <w:p>
      <w:pPr>
        <w:pStyle w:val="ListParagraph"/>
        <w:numPr>
          <w:ilvl w:val="0"/>
          <w:numId w:val="2"/>
        </w:numPr>
        <w:spacing w:after="80" w:line="280"/>
        <w:jc w:val="both"/>
      </w:pPr>
      <w:r>
        <w:rPr>
          <w:rFonts w:ascii="Arial" w:cs="Arial" w:eastAsia="Arial" w:hAnsi="Arial"/>
          <w:b w:val="false"/>
          <w:bCs w:val="false"/>
        </w:rPr>
        <w:t xml:space="preserve">Principiul legalității — întreaga soluție este proiectată și implementată în conformitate cu legislația națională (L 98/2016, L 190/2018 GDPR, L 362/2018 securitate cibernetică, L 455/2001 semnătură electronică, OUG 89/2022 cloud guvernamental) și standardele europene (eIDAS, NIS2, GDPR, EIF — European Interoperability Framework);</w:t>
      </w:r>
    </w:p>
    <w:p>
      <w:pPr>
        <w:pStyle w:val="ListParagraph"/>
        <w:numPr>
          <w:ilvl w:val="0"/>
          <w:numId w:val="2"/>
        </w:numPr>
        <w:spacing w:after="80" w:line="280"/>
        <w:jc w:val="both"/>
      </w:pPr>
      <w:r>
        <w:rPr>
          <w:rFonts w:ascii="Arial" w:cs="Arial" w:eastAsia="Arial" w:hAnsi="Arial"/>
          <w:b w:val="false"/>
          <w:bCs w:val="false"/>
        </w:rPr>
        <w:t xml:space="preserve">Principiul divizării arhitecturii pe nivele — separare strictă între nivelele prezentare, business logic, integrare, date și infrastructură, cu interfețe standard între nivele;</w:t>
      </w:r>
    </w:p>
    <w:p>
      <w:pPr>
        <w:pStyle w:val="ListParagraph"/>
        <w:numPr>
          <w:ilvl w:val="0"/>
          <w:numId w:val="2"/>
        </w:numPr>
        <w:spacing w:after="80" w:line="280"/>
        <w:jc w:val="both"/>
      </w:pPr>
      <w:r>
        <w:rPr>
          <w:rFonts w:ascii="Arial" w:cs="Arial" w:eastAsia="Arial" w:hAnsi="Arial"/>
          <w:b w:val="false"/>
          <w:bCs w:val="false"/>
        </w:rPr>
        <w:t xml:space="preserve">Principiul arhitecturii bazate pe servicii (SOA / microservicii) — funcționalitățile sunt distribuite în servicii autonome, independente, comunicând prin API REST/SOAP/HL7 FHIR;</w:t>
      </w:r>
    </w:p>
    <w:p>
      <w:pPr>
        <w:pStyle w:val="ListParagraph"/>
        <w:numPr>
          <w:ilvl w:val="0"/>
          <w:numId w:val="2"/>
        </w:numPr>
        <w:spacing w:after="80" w:line="280"/>
        <w:jc w:val="both"/>
      </w:pPr>
      <w:r>
        <w:rPr>
          <w:rFonts w:ascii="Arial" w:cs="Arial" w:eastAsia="Arial" w:hAnsi="Arial"/>
          <w:b w:val="false"/>
          <w:bCs w:val="false"/>
        </w:rPr>
        <w:t xml:space="preserve">Principiul datelor sigure — toate datele intră în sistem doar prin canale autentificate (ROeID, eIDAS, autentificare locală cu MFA) și auditate complet (logging end-to-end);</w:t>
      </w:r>
    </w:p>
    <w:p>
      <w:pPr>
        <w:pStyle w:val="ListParagraph"/>
        <w:numPr>
          <w:ilvl w:val="0"/>
          <w:numId w:val="2"/>
        </w:numPr>
        <w:spacing w:after="80" w:line="280"/>
        <w:jc w:val="both"/>
      </w:pPr>
      <w:r>
        <w:rPr>
          <w:rFonts w:ascii="Arial" w:cs="Arial" w:eastAsia="Arial" w:hAnsi="Arial"/>
          <w:b w:val="false"/>
          <w:bCs w:val="false"/>
        </w:rPr>
        <w:t xml:space="preserve">Principiul securității informaționale — implementare „Security by Design" și „Privacy by Design", conform OWASP Top 10, NIST CSF, ISO 27001, GDPR;</w:t>
      </w:r>
    </w:p>
    <w:p>
      <w:pPr>
        <w:pStyle w:val="ListParagraph"/>
        <w:numPr>
          <w:ilvl w:val="0"/>
          <w:numId w:val="2"/>
        </w:numPr>
        <w:spacing w:after="80" w:line="280"/>
        <w:jc w:val="both"/>
      </w:pPr>
      <w:r>
        <w:rPr>
          <w:rFonts w:ascii="Arial" w:cs="Arial" w:eastAsia="Arial" w:hAnsi="Arial"/>
          <w:b w:val="false"/>
          <w:bCs w:val="false"/>
        </w:rPr>
        <w:t xml:space="preserve">Principiul transparenței — utilizarea exclusivă a tehnologiilor și standardelor deschise (REST, OpenAPI, JSON, XML, HL7, OAuth2, OpenID Connect);</w:t>
      </w:r>
    </w:p>
    <w:p>
      <w:pPr>
        <w:pStyle w:val="ListParagraph"/>
        <w:numPr>
          <w:ilvl w:val="0"/>
          <w:numId w:val="2"/>
        </w:numPr>
        <w:spacing w:after="80" w:line="280"/>
        <w:jc w:val="both"/>
      </w:pPr>
      <w:r>
        <w:rPr>
          <w:rFonts w:ascii="Arial" w:cs="Arial" w:eastAsia="Arial" w:hAnsi="Arial"/>
          <w:b w:val="false"/>
          <w:bCs w:val="false"/>
        </w:rPr>
        <w:t xml:space="preserve">Principiul expansibilității — arhitectura permite adăugarea de noi module/servicii fără modificarea componentelor existente;</w:t>
      </w:r>
    </w:p>
    <w:p>
      <w:pPr>
        <w:pStyle w:val="ListParagraph"/>
        <w:numPr>
          <w:ilvl w:val="0"/>
          <w:numId w:val="2"/>
        </w:numPr>
        <w:spacing w:after="80" w:line="280"/>
        <w:jc w:val="both"/>
      </w:pPr>
      <w:r>
        <w:rPr>
          <w:rFonts w:ascii="Arial" w:cs="Arial" w:eastAsia="Arial" w:hAnsi="Arial"/>
          <w:b w:val="false"/>
          <w:bCs w:val="false"/>
        </w:rPr>
        <w:t xml:space="preserve">Principiul scalabilității — arhitectura cloud-native asigură scalare orizontală automată (auto-scaling) în funcție de încărcare;</w:t>
      </w:r>
    </w:p>
    <w:p>
      <w:pPr>
        <w:pStyle w:val="ListParagraph"/>
        <w:numPr>
          <w:ilvl w:val="0"/>
          <w:numId w:val="2"/>
        </w:numPr>
        <w:spacing w:after="80" w:line="280"/>
        <w:jc w:val="both"/>
      </w:pPr>
      <w:r>
        <w:rPr>
          <w:rFonts w:ascii="Arial" w:cs="Arial" w:eastAsia="Arial" w:hAnsi="Arial"/>
          <w:b w:val="false"/>
          <w:bCs w:val="false"/>
        </w:rPr>
        <w:t xml:space="preserve">Principiul simplității și comodității utilizării — interfețe UX/UI proiectate conform standardelor WCAG 2.1 AA, Material Design / GOV.UK Design System;</w:t>
      </w:r>
    </w:p>
    <w:p>
      <w:pPr>
        <w:pStyle w:val="ListParagraph"/>
        <w:numPr>
          <w:ilvl w:val="0"/>
          <w:numId w:val="2"/>
        </w:numPr>
        <w:spacing w:after="80" w:line="280"/>
        <w:jc w:val="both"/>
      </w:pPr>
      <w:r>
        <w:rPr>
          <w:rFonts w:ascii="Arial" w:cs="Arial" w:eastAsia="Arial" w:hAnsi="Arial"/>
          <w:b w:val="false"/>
          <w:bCs w:val="false"/>
        </w:rPr>
        <w:t xml:space="preserve">Principiul integrității, plenitudinii și veridicității datelor — validare la introducere, control referențial, audit trail complet, mecanisme de detectare anomalii.</w:t>
      </w:r>
    </w:p>
    <w:p>
      <w:pPr>
        <w:pStyle w:val="Heading2"/>
        <w:spacing w:after="140" w:before="220"/>
      </w:pPr>
      <w:r>
        <w:rPr>
          <w:rFonts w:ascii="Arial" w:cs="Arial" w:eastAsia="Arial" w:hAnsi="Arial"/>
          <w:b/>
          <w:bCs/>
          <w:color w:val="2E74B5"/>
          <w:sz w:val="26"/>
          <w:szCs w:val="26"/>
        </w:rPr>
        <w:t xml:space="preserve">2.2 Cadrul metodologic VOGO TECHNOLOGY</w:t>
      </w:r>
    </w:p>
    <w:p>
      <w:pPr>
        <w:spacing w:after="120" w:line="300"/>
        <w:jc w:val="both"/>
      </w:pPr>
      <w:r>
        <w:rPr>
          <w:rFonts w:ascii="Arial" w:cs="Arial" w:eastAsia="Arial" w:hAnsi="Arial"/>
        </w:rPr>
        <w:t xml:space="preserve">Pentru implementarea cu succes a unui proiect de complexitatea SIDISVA, VOGO TECHNOLOGY propune o </w:t>
      </w:r>
      <w:r>
        <w:rPr>
          <w:rFonts w:ascii="Arial" w:cs="Arial" w:eastAsia="Arial" w:hAnsi="Arial"/>
          <w:b/>
          <w:bCs/>
        </w:rPr>
        <w:t xml:space="preserve">metodologie hibridă</w:t>
      </w:r>
      <w:r>
        <w:rPr>
          <w:rFonts w:ascii="Arial" w:cs="Arial" w:eastAsia="Arial" w:hAnsi="Arial"/>
        </w:rPr>
        <w:t xml:space="preserve"> care combină rigoarea managementului clasic de proiect (PMI/PMBoK) pentru guvernare, raportare și gestionare contractuală, cu agilitatea metodelor Agile-Scrum pentru execuția propriu-zisă a activităților de dezvoltare software, și cu BABOK pentru extragerea și gestionarea cerințelor.</w:t>
      </w:r>
    </w:p>
    <w:p>
      <w:pPr>
        <w:pStyle w:val="Heading3"/>
        <w:spacing w:after="120" w:before="180"/>
      </w:pPr>
      <w:r>
        <w:rPr>
          <w:rFonts w:ascii="Arial" w:cs="Arial" w:eastAsia="Arial" w:hAnsi="Arial"/>
          <w:b/>
          <w:bCs/>
          <w:color w:val="2E74B5"/>
          <w:sz w:val="22"/>
          <w:szCs w:val="22"/>
        </w:rPr>
        <w:t xml:space="preserve">2.2.1 Cadrul de management de proiect (PMI / PMBoK)</w:t>
      </w:r>
    </w:p>
    <w:p>
      <w:pPr>
        <w:spacing w:after="120" w:line="300"/>
        <w:jc w:val="both"/>
      </w:pPr>
      <w:r>
        <w:rPr>
          <w:rFonts w:ascii="Arial" w:cs="Arial" w:eastAsia="Arial" w:hAnsi="Arial"/>
        </w:rPr>
        <w:t xml:space="preserve">Procedura de management de proiect VOGO TECHNOLOGY include următoarele grupe de procese, în conformitate cu PMBoK: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Proces / Fază</w:t>
            </w:r>
          </w:p>
        </w:tc>
        <w:tc>
          <w:tcPr>
            <w:tcW w:type="dxa" w:w="7438"/>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Activități și livrabile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Inițiere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Project Charter, identificarea părților interesate, Kick-off meeting, validarea constrângerilor CS, document de inițiere (PID)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Planificare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WBS (Top-Down), planificare iterativă, plan de management de proiect, planuri subsidiare (risc, calitate, comunicare, schimbări), MS Project Server / Jira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Execuție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Coordonare echipe, managementul livrabilelor, executare conform plan, asigurarea calității proceselor și produselor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Monitorizare &amp; Control</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Status reports (PR-012C), tracking buget/timp/scop/calitate, registru riscuri actualizat lunar, escaladări către Steering Committee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Închidere</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Recepție finală, lessons learned, transfer cunoștințe, închidere contracte, raportul final</w:t>
            </w:r>
          </w:p>
        </w:tc>
      </w:tr>
    </w:tbl>
    <w:p>
      <w:pPr>
        <w:spacing w:after="120" w:line="300"/>
        <w:jc w:val="both"/>
      </w:pPr>
      <w:r>
        <w:rPr>
          <w:rFonts w:ascii="Arial" w:cs="Arial" w:eastAsia="Arial" w:hAnsi="Arial"/>
        </w:rPr>
        <w:t xml:space="preserve">Planul de management al proiectului — întocmit în concordanță cu metodologia VOGO TECHNOLOGY de Management de Proiect — stabilește detaliat modalitățile și mijloacele prin care se planifică, execută, monitorizează și controlează proiectul. Dezvoltarea acestui plan este un </w:t>
      </w:r>
      <w:r>
        <w:rPr>
          <w:rFonts w:ascii="Arial" w:cs="Arial" w:eastAsia="Arial" w:hAnsi="Arial"/>
          <w:b/>
          <w:bCs/>
        </w:rPr>
        <w:t xml:space="preserve">proces iterativ</w:t>
      </w:r>
      <w:r>
        <w:rPr>
          <w:rFonts w:ascii="Arial" w:cs="Arial" w:eastAsia="Arial" w:hAnsi="Arial"/>
        </w:rPr>
        <w:t xml:space="preserve">: pe măsură ce proiectul avansează, planul este completat, actualizat și detaliat. Responsabilitatea privind ținerea sub control a planului — efectuarea actualizărilor, difuzarea lor și urmărirea modificărilor — revine Managerului de Proiect VOGO TECHNOLOGY, în colaborare strânsă cu Liderul de proiect desemnat de ANSVSA.</w:t>
      </w:r>
    </w:p>
    <w:p>
      <w:pPr>
        <w:pStyle w:val="Heading3"/>
        <w:spacing w:after="120" w:before="180"/>
      </w:pPr>
      <w:r>
        <w:rPr>
          <w:rFonts w:ascii="Arial" w:cs="Arial" w:eastAsia="Arial" w:hAnsi="Arial"/>
          <w:b/>
          <w:bCs/>
          <w:color w:val="2E74B5"/>
          <w:sz w:val="22"/>
          <w:szCs w:val="22"/>
        </w:rPr>
        <w:t xml:space="preserve">2.2.2 Cadrul de analiză a cerințelor (BABOK)</w:t>
      </w:r>
    </w:p>
    <w:p>
      <w:pPr>
        <w:spacing w:after="120" w:line="300"/>
        <w:jc w:val="both"/>
      </w:pPr>
      <w:r>
        <w:rPr>
          <w:rFonts w:ascii="Arial" w:cs="Arial" w:eastAsia="Arial" w:hAnsi="Arial"/>
        </w:rPr>
        <w:t xml:space="preserve">Pentru extragerea, validarea și gestionarea cerințelor ANSVSA, VOGO TECHNOLOGY aplică cadrul </w:t>
      </w:r>
      <w:r>
        <w:rPr>
          <w:rFonts w:ascii="Arial" w:cs="Arial" w:eastAsia="Arial" w:hAnsi="Arial"/>
          <w:b/>
          <w:bCs/>
        </w:rPr>
        <w:t xml:space="preserve">BABOK (Business Analysis Body of Knowledge)</w:t>
      </w:r>
      <w:r>
        <w:rPr>
          <w:rFonts w:ascii="Arial" w:cs="Arial" w:eastAsia="Arial" w:hAnsi="Arial"/>
        </w:rPr>
        <w:t xml:space="preserve"> — în special zonele de cunoștințe </w:t>
      </w:r>
      <w:r>
        <w:rPr>
          <w:rFonts w:ascii="Arial" w:cs="Arial" w:eastAsia="Arial" w:hAnsi="Arial"/>
          <w:i/>
          <w:iCs/>
        </w:rPr>
        <w:t xml:space="preserve">Extragere cerințe (Elicitation)</w:t>
      </w:r>
      <w:r>
        <w:rPr>
          <w:rFonts w:ascii="Arial" w:cs="Arial" w:eastAsia="Arial" w:hAnsi="Arial"/>
        </w:rPr>
        <w:t xml:space="preserve">, </w:t>
      </w:r>
      <w:r>
        <w:rPr>
          <w:rFonts w:ascii="Arial" w:cs="Arial" w:eastAsia="Arial" w:hAnsi="Arial"/>
          <w:i/>
          <w:iCs/>
        </w:rPr>
        <w:t xml:space="preserve">Analiza cerințelor</w:t>
      </w:r>
      <w:r>
        <w:rPr>
          <w:rFonts w:ascii="Arial" w:cs="Arial" w:eastAsia="Arial" w:hAnsi="Arial"/>
        </w:rPr>
        <w:t xml:space="preserve"> și </w:t>
      </w:r>
      <w:r>
        <w:rPr>
          <w:rFonts w:ascii="Arial" w:cs="Arial" w:eastAsia="Arial" w:hAnsi="Arial"/>
          <w:i/>
          <w:iCs/>
        </w:rPr>
        <w:t xml:space="preserve">Trasabilitate</w:t>
      </w:r>
      <w:r>
        <w:rPr>
          <w:rFonts w:ascii="Arial" w:cs="Arial" w:eastAsia="Arial" w:hAnsi="Arial"/>
        </w:rPr>
        <w:t xml:space="preserve">. Pașii canonici:</w:t>
      </w:r>
    </w:p>
    <w:p>
      <w:pPr>
        <w:pStyle w:val="ListParagraph"/>
        <w:numPr>
          <w:ilvl w:val="0"/>
          <w:numId w:val="2"/>
        </w:numPr>
        <w:spacing w:after="80" w:line="280"/>
        <w:jc w:val="both"/>
      </w:pPr>
      <w:r>
        <w:rPr>
          <w:rFonts w:ascii="Arial" w:cs="Arial" w:eastAsia="Arial" w:hAnsi="Arial"/>
          <w:b w:val="false"/>
          <w:bCs w:val="false"/>
        </w:rPr>
        <w:t xml:space="preserve">Pregătire extragere cerințe — definirea părților interesate, planificarea sesiunilor, pregătirea șabloanelor;</w:t>
      </w:r>
    </w:p>
    <w:p>
      <w:pPr>
        <w:pStyle w:val="ListParagraph"/>
        <w:numPr>
          <w:ilvl w:val="0"/>
          <w:numId w:val="2"/>
        </w:numPr>
        <w:spacing w:after="80" w:line="280"/>
        <w:jc w:val="both"/>
      </w:pPr>
      <w:r>
        <w:rPr>
          <w:rFonts w:ascii="Arial" w:cs="Arial" w:eastAsia="Arial" w:hAnsi="Arial"/>
          <w:b w:val="false"/>
          <w:bCs w:val="false"/>
        </w:rPr>
        <w:t xml:space="preserve">Conducere activitate de extragere — workshop-uri, interviuri, chestionare, observație directă a proceselor curente;</w:t>
      </w:r>
    </w:p>
    <w:p>
      <w:pPr>
        <w:pStyle w:val="ListParagraph"/>
        <w:numPr>
          <w:ilvl w:val="0"/>
          <w:numId w:val="2"/>
        </w:numPr>
        <w:spacing w:after="80" w:line="280"/>
        <w:jc w:val="both"/>
      </w:pPr>
      <w:r>
        <w:rPr>
          <w:rFonts w:ascii="Arial" w:cs="Arial" w:eastAsia="Arial" w:hAnsi="Arial"/>
          <w:b w:val="false"/>
          <w:bCs w:val="false"/>
        </w:rPr>
        <w:t xml:space="preserve">Confirmare rezultate — validare scrisă cu Product Owner-ul ANSVSA, semnătură pe document de analiză;</w:t>
      </w:r>
    </w:p>
    <w:p>
      <w:pPr>
        <w:pStyle w:val="ListParagraph"/>
        <w:numPr>
          <w:ilvl w:val="0"/>
          <w:numId w:val="2"/>
        </w:numPr>
        <w:spacing w:after="80" w:line="280"/>
        <w:jc w:val="both"/>
      </w:pPr>
      <w:r>
        <w:rPr>
          <w:rFonts w:ascii="Arial" w:cs="Arial" w:eastAsia="Arial" w:hAnsi="Arial"/>
          <w:b w:val="false"/>
          <w:bCs w:val="false"/>
        </w:rPr>
        <w:t xml:space="preserve">Specificare și modelare cerințe — UML (Use-Case, State-Chart, Activity, Component, Deployment), BPMN pentru procese, Data Flow Diagrams;</w:t>
      </w:r>
    </w:p>
    <w:p>
      <w:pPr>
        <w:pStyle w:val="ListParagraph"/>
        <w:numPr>
          <w:ilvl w:val="0"/>
          <w:numId w:val="2"/>
        </w:numPr>
        <w:spacing w:after="80" w:line="280"/>
        <w:jc w:val="both"/>
      </w:pPr>
      <w:r>
        <w:rPr>
          <w:rFonts w:ascii="Arial" w:cs="Arial" w:eastAsia="Arial" w:hAnsi="Arial"/>
          <w:b w:val="false"/>
          <w:bCs w:val="false"/>
        </w:rPr>
        <w:t xml:space="preserve">Trasabilitate completă pe traseul Caiet de Sarcini → Document de Analiză → Scenarii de Testare → Recepție finală.</w:t>
      </w:r>
    </w:p>
    <w:p>
      <w:pPr>
        <w:pStyle w:val="Heading3"/>
        <w:spacing w:after="120" w:before="180"/>
      </w:pPr>
      <w:r>
        <w:rPr>
          <w:rFonts w:ascii="Arial" w:cs="Arial" w:eastAsia="Arial" w:hAnsi="Arial"/>
          <w:b/>
          <w:bCs/>
          <w:color w:val="2E74B5"/>
          <w:sz w:val="22"/>
          <w:szCs w:val="22"/>
        </w:rPr>
        <w:t xml:space="preserve">2.2.3 Cadrul de dezvoltare software (Agile-Scrum hibrid)</w:t>
      </w:r>
    </w:p>
    <w:p>
      <w:pPr>
        <w:spacing w:after="120" w:line="300"/>
        <w:jc w:val="both"/>
      </w:pPr>
      <w:r>
        <w:rPr>
          <w:rFonts w:ascii="Arial" w:cs="Arial" w:eastAsia="Arial" w:hAnsi="Arial"/>
        </w:rPr>
        <w:t xml:space="preserve">Pentru activitățile de dezvoltare propriu-zise, VOGO TECHNOLOGY aplică metoda Scrum cu sprint-uri de 2 săptămâni, organizate într-un Program SAFe (Scaled Agile Framework) deoarece proiectul implică multiple echipe de dezvoltare (LIMS, DMS, Portal, GIS, Integrări, Securitate), coordonare cross-functional și necesitatea de livrabile incrementale demonstrabile la fiecare 2-3 luni.</w:t>
      </w:r>
    </w:p>
    <w:p>
      <w:pPr>
        <w:pStyle w:val="ListParagraph"/>
        <w:numPr>
          <w:ilvl w:val="0"/>
          <w:numId w:val="2"/>
        </w:numPr>
        <w:spacing w:after="80" w:line="280"/>
        <w:jc w:val="both"/>
      </w:pPr>
      <w:r>
        <w:rPr>
          <w:rFonts w:ascii="Arial" w:cs="Arial" w:eastAsia="Arial" w:hAnsi="Arial"/>
          <w:b w:val="false"/>
          <w:bCs w:val="false"/>
        </w:rPr>
        <w:t xml:space="preserve">Backlog refinement săptămânal — clarificarea cerințelor cu Product Owner-ul desemnat de ANSVSA;</w:t>
      </w:r>
    </w:p>
    <w:p>
      <w:pPr>
        <w:pStyle w:val="ListParagraph"/>
        <w:numPr>
          <w:ilvl w:val="0"/>
          <w:numId w:val="2"/>
        </w:numPr>
        <w:spacing w:after="80" w:line="280"/>
        <w:jc w:val="both"/>
      </w:pPr>
      <w:r>
        <w:rPr>
          <w:rFonts w:ascii="Arial" w:cs="Arial" w:eastAsia="Arial" w:hAnsi="Arial"/>
          <w:b w:val="false"/>
          <w:bCs w:val="false"/>
        </w:rPr>
        <w:t xml:space="preserve">Sprint planning la 2 săptămâni — angajament cu obiective măsurabile;</w:t>
      </w:r>
    </w:p>
    <w:p>
      <w:pPr>
        <w:pStyle w:val="ListParagraph"/>
        <w:numPr>
          <w:ilvl w:val="0"/>
          <w:numId w:val="2"/>
        </w:numPr>
        <w:spacing w:after="80" w:line="280"/>
        <w:jc w:val="both"/>
      </w:pPr>
      <w:r>
        <w:rPr>
          <w:rFonts w:ascii="Arial" w:cs="Arial" w:eastAsia="Arial" w:hAnsi="Arial"/>
          <w:b w:val="false"/>
          <w:bCs w:val="false"/>
        </w:rPr>
        <w:t xml:space="preserve">Daily stand-ups (15 minute) — sincronizare echipa de dezvoltare;</w:t>
      </w:r>
    </w:p>
    <w:p>
      <w:pPr>
        <w:pStyle w:val="ListParagraph"/>
        <w:numPr>
          <w:ilvl w:val="0"/>
          <w:numId w:val="2"/>
        </w:numPr>
        <w:spacing w:after="80" w:line="280"/>
        <w:jc w:val="both"/>
      </w:pPr>
      <w:r>
        <w:rPr>
          <w:rFonts w:ascii="Arial" w:cs="Arial" w:eastAsia="Arial" w:hAnsi="Arial"/>
          <w:b w:val="false"/>
          <w:bCs w:val="false"/>
        </w:rPr>
        <w:t xml:space="preserve">Sprint review — demo pentru ANSVSA cu validarea funcționalităților;</w:t>
      </w:r>
    </w:p>
    <w:p>
      <w:pPr>
        <w:pStyle w:val="ListParagraph"/>
        <w:numPr>
          <w:ilvl w:val="0"/>
          <w:numId w:val="2"/>
        </w:numPr>
        <w:spacing w:after="80" w:line="280"/>
        <w:jc w:val="both"/>
      </w:pPr>
      <w:r>
        <w:rPr>
          <w:rFonts w:ascii="Arial" w:cs="Arial" w:eastAsia="Arial" w:hAnsi="Arial"/>
          <w:b w:val="false"/>
          <w:bCs w:val="false"/>
        </w:rPr>
        <w:t xml:space="preserve">Sprint retrospective — îmbunătățire continuă a procesului.</w:t>
      </w:r>
    </w:p>
    <w:p>
      <w:pPr>
        <w:pStyle w:val="Heading3"/>
        <w:spacing w:after="120" w:before="180"/>
      </w:pPr>
      <w:r>
        <w:rPr>
          <w:rFonts w:ascii="Arial" w:cs="Arial" w:eastAsia="Arial" w:hAnsi="Arial"/>
          <w:b/>
          <w:bCs/>
          <w:color w:val="2E74B5"/>
          <w:sz w:val="22"/>
          <w:szCs w:val="22"/>
        </w:rPr>
        <w:t xml:space="preserve">2.2.4 Practici inginerești (engineering practices)</w:t>
      </w:r>
    </w:p>
    <w:p>
      <w:pPr>
        <w:spacing w:after="120" w:line="300"/>
        <w:jc w:val="both"/>
      </w:pPr>
      <w:r>
        <w:rPr>
          <w:rFonts w:ascii="Arial" w:cs="Arial" w:eastAsia="Arial" w:hAnsi="Arial"/>
        </w:rPr>
        <w:t xml:space="preserve">Calitatea livrabilelor VOGO TECHNOLOGY este asigurată prin următoarele practici tehnice consacrate:</w:t>
      </w:r>
    </w:p>
    <w:p>
      <w:pPr>
        <w:pStyle w:val="ListParagraph"/>
        <w:numPr>
          <w:ilvl w:val="0"/>
          <w:numId w:val="2"/>
        </w:numPr>
        <w:spacing w:after="80" w:line="280"/>
        <w:jc w:val="both"/>
      </w:pPr>
      <w:r>
        <w:rPr>
          <w:rFonts w:ascii="Arial" w:cs="Arial" w:eastAsia="Arial" w:hAnsi="Arial"/>
          <w:b w:val="false"/>
          <w:bCs w:val="false"/>
        </w:rPr>
        <w:t xml:space="preserve">Test-Driven Development (TDD) — testele unitare sunt scrise înainte de cod;</w:t>
      </w:r>
    </w:p>
    <w:p>
      <w:pPr>
        <w:pStyle w:val="ListParagraph"/>
        <w:numPr>
          <w:ilvl w:val="0"/>
          <w:numId w:val="2"/>
        </w:numPr>
        <w:spacing w:after="80" w:line="280"/>
        <w:jc w:val="both"/>
      </w:pPr>
      <w:r>
        <w:rPr>
          <w:rFonts w:ascii="Arial" w:cs="Arial" w:eastAsia="Arial" w:hAnsi="Arial"/>
          <w:b w:val="false"/>
          <w:bCs w:val="false"/>
        </w:rPr>
        <w:t xml:space="preserve">Continuous Integration / Continuous Deployment (CI/CD) — pipeline-uri automate de build/test/deploy;</w:t>
      </w:r>
    </w:p>
    <w:p>
      <w:pPr>
        <w:pStyle w:val="ListParagraph"/>
        <w:numPr>
          <w:ilvl w:val="0"/>
          <w:numId w:val="2"/>
        </w:numPr>
        <w:spacing w:after="80" w:line="280"/>
        <w:jc w:val="both"/>
      </w:pPr>
      <w:r>
        <w:rPr>
          <w:rFonts w:ascii="Arial" w:cs="Arial" w:eastAsia="Arial" w:hAnsi="Arial"/>
          <w:b w:val="false"/>
          <w:bCs w:val="false"/>
        </w:rPr>
        <w:t xml:space="preserve">Code review obligatoriu pentru fiecare modificare — minim 2 reviewers;</w:t>
      </w:r>
    </w:p>
    <w:p>
      <w:pPr>
        <w:pStyle w:val="ListParagraph"/>
        <w:numPr>
          <w:ilvl w:val="0"/>
          <w:numId w:val="2"/>
        </w:numPr>
        <w:spacing w:after="80" w:line="280"/>
        <w:jc w:val="both"/>
      </w:pPr>
      <w:r>
        <w:rPr>
          <w:rFonts w:ascii="Arial" w:cs="Arial" w:eastAsia="Arial" w:hAnsi="Arial"/>
          <w:b w:val="false"/>
          <w:bCs w:val="false"/>
        </w:rPr>
        <w:t xml:space="preserve">Standarde de cod: ISO/IEC 11179-4:2004 + ISO/IEC 11179-5:2005 (naming and data identification principles);</w:t>
      </w:r>
    </w:p>
    <w:p>
      <w:pPr>
        <w:pStyle w:val="ListParagraph"/>
        <w:numPr>
          <w:ilvl w:val="0"/>
          <w:numId w:val="2"/>
        </w:numPr>
        <w:spacing w:after="80" w:line="280"/>
        <w:jc w:val="both"/>
      </w:pPr>
      <w:r>
        <w:rPr>
          <w:rFonts w:ascii="Arial" w:cs="Arial" w:eastAsia="Arial" w:hAnsi="Arial"/>
          <w:b w:val="false"/>
          <w:bCs w:val="false"/>
        </w:rPr>
        <w:t xml:space="preserve">Automatizare testare: minim 80% acoperire test cases prin teste automate;</w:t>
      </w:r>
    </w:p>
    <w:p>
      <w:pPr>
        <w:pStyle w:val="ListParagraph"/>
        <w:numPr>
          <w:ilvl w:val="0"/>
          <w:numId w:val="2"/>
        </w:numPr>
        <w:spacing w:after="80" w:line="280"/>
        <w:jc w:val="both"/>
      </w:pPr>
      <w:r>
        <w:rPr>
          <w:rFonts w:ascii="Arial" w:cs="Arial" w:eastAsia="Arial" w:hAnsi="Arial"/>
          <w:b w:val="false"/>
          <w:bCs w:val="false"/>
        </w:rPr>
        <w:t xml:space="preserve">Securitate by-design: SAST + DAST automate, pen-testing periodic;</w:t>
      </w:r>
    </w:p>
    <w:p>
      <w:pPr>
        <w:pStyle w:val="ListParagraph"/>
        <w:numPr>
          <w:ilvl w:val="0"/>
          <w:numId w:val="2"/>
        </w:numPr>
        <w:spacing w:after="80" w:line="280"/>
        <w:jc w:val="both"/>
      </w:pPr>
      <w:r>
        <w:rPr>
          <w:rFonts w:ascii="Arial" w:cs="Arial" w:eastAsia="Arial" w:hAnsi="Arial"/>
          <w:b w:val="false"/>
          <w:bCs w:val="false"/>
        </w:rPr>
        <w:t xml:space="preserve">Containerizare end-to-end: Docker images + Kubernetes/OpenShift orchestration;</w:t>
      </w:r>
    </w:p>
    <w:p>
      <w:pPr>
        <w:pStyle w:val="ListParagraph"/>
        <w:numPr>
          <w:ilvl w:val="0"/>
          <w:numId w:val="2"/>
        </w:numPr>
        <w:spacing w:after="80" w:line="280"/>
        <w:jc w:val="both"/>
      </w:pPr>
      <w:r>
        <w:rPr>
          <w:rFonts w:ascii="Arial" w:cs="Arial" w:eastAsia="Arial" w:hAnsi="Arial"/>
          <w:b w:val="false"/>
          <w:bCs w:val="false"/>
        </w:rPr>
        <w:t xml:space="preserve">Infrastructure as Code: Terraform / Ansible pentru reproducibilitate medii.</w:t>
      </w:r>
    </w:p>
    <w:p>
      <w:pPr>
        <w:pStyle w:val="Heading2"/>
        <w:spacing w:after="140" w:before="220"/>
      </w:pPr>
      <w:r>
        <w:rPr>
          <w:rFonts w:ascii="Arial" w:cs="Arial" w:eastAsia="Arial" w:hAnsi="Arial"/>
          <w:b/>
          <w:bCs/>
          <w:color w:val="2E74B5"/>
          <w:sz w:val="26"/>
          <w:szCs w:val="26"/>
        </w:rPr>
        <w:t xml:space="preserve">2.3 Managementul riscurilor</w:t>
      </w:r>
    </w:p>
    <w:p>
      <w:pPr>
        <w:spacing w:after="120" w:line="300"/>
        <w:jc w:val="both"/>
      </w:pPr>
      <w:r>
        <w:rPr>
          <w:rFonts w:ascii="Arial" w:cs="Arial" w:eastAsia="Arial" w:hAnsi="Arial"/>
        </w:rPr>
        <w:t xml:space="preserve">VOGO TECHNOLOGY aplică pentru SIDISVA o procedură structurată de management al riscurilor conform PMBoK + ISO 31000. Strategia de management al riscului include:</w:t>
      </w:r>
    </w:p>
    <w:p>
      <w:pPr>
        <w:pStyle w:val="ListParagraph"/>
        <w:numPr>
          <w:ilvl w:val="0"/>
          <w:numId w:val="2"/>
        </w:numPr>
        <w:spacing w:after="80" w:line="280"/>
        <w:jc w:val="both"/>
      </w:pPr>
      <w:r>
        <w:rPr>
          <w:rFonts w:ascii="Arial" w:cs="Arial" w:eastAsia="Arial" w:hAnsi="Arial"/>
          <w:b w:val="false"/>
          <w:bCs w:val="false"/>
        </w:rPr>
        <w:t xml:space="preserve">Identificarea riscurilor — workshop-uri inițiale și continue cu echipa de proiect, brainstorming, lista de verificare prin tipuri de riscuri (tehnologice, organizaționale, externe, contractuale, integrare);</w:t>
      </w:r>
    </w:p>
    <w:p>
      <w:pPr>
        <w:pStyle w:val="ListParagraph"/>
        <w:numPr>
          <w:ilvl w:val="0"/>
          <w:numId w:val="2"/>
        </w:numPr>
        <w:spacing w:after="80" w:line="280"/>
        <w:jc w:val="both"/>
      </w:pPr>
      <w:r>
        <w:rPr>
          <w:rFonts w:ascii="Arial" w:cs="Arial" w:eastAsia="Arial" w:hAnsi="Arial"/>
          <w:b w:val="false"/>
          <w:bCs w:val="false"/>
        </w:rPr>
        <w:t xml:space="preserve">Analiza calitativă — matricea probabilitate × impact (5×5), categorizare în Amenințări / Oportunități;</w:t>
      </w:r>
    </w:p>
    <w:p>
      <w:pPr>
        <w:pStyle w:val="ListParagraph"/>
        <w:numPr>
          <w:ilvl w:val="0"/>
          <w:numId w:val="2"/>
        </w:numPr>
        <w:spacing w:after="80" w:line="280"/>
        <w:jc w:val="both"/>
      </w:pPr>
      <w:r>
        <w:rPr>
          <w:rFonts w:ascii="Arial" w:cs="Arial" w:eastAsia="Arial" w:hAnsi="Arial"/>
          <w:b w:val="false"/>
          <w:bCs w:val="false"/>
        </w:rPr>
        <w:t xml:space="preserve">Analiza cantitativă — pentru riscurile critice, estimare în zile suplimentare / cost suplimentar prin simulare Monte-Carlo sau analiză de senzitivitate;</w:t>
      </w:r>
    </w:p>
    <w:p>
      <w:pPr>
        <w:pStyle w:val="ListParagraph"/>
        <w:numPr>
          <w:ilvl w:val="0"/>
          <w:numId w:val="2"/>
        </w:numPr>
        <w:spacing w:after="80" w:line="280"/>
        <w:jc w:val="both"/>
      </w:pPr>
      <w:r>
        <w:rPr>
          <w:rFonts w:ascii="Arial" w:cs="Arial" w:eastAsia="Arial" w:hAnsi="Arial"/>
          <w:b w:val="false"/>
          <w:bCs w:val="false"/>
        </w:rPr>
        <w:t xml:space="preserve">Planificarea răspunsului — pentru fiecare risc: strategie (evitare, transfer, mitigare, acceptare), plan de mitigare detaliat, plan de contingență, proprietar (Risk Owner);</w:t>
      </w:r>
    </w:p>
    <w:p>
      <w:pPr>
        <w:pStyle w:val="ListParagraph"/>
        <w:numPr>
          <w:ilvl w:val="0"/>
          <w:numId w:val="2"/>
        </w:numPr>
        <w:spacing w:after="80" w:line="280"/>
        <w:jc w:val="both"/>
      </w:pPr>
      <w:r>
        <w:rPr>
          <w:rFonts w:ascii="Arial" w:cs="Arial" w:eastAsia="Arial" w:hAnsi="Arial"/>
          <w:b w:val="false"/>
          <w:bCs w:val="false"/>
        </w:rPr>
        <w:t xml:space="preserve">Monitorizare și control — registru de riscuri actualizat lunar, raport către Steering Committee, reevaluare la fiecare milestone.</w:t>
      </w:r>
    </w:p>
    <w:p>
      <w:pPr>
        <w:pStyle w:val="Heading2"/>
        <w:spacing w:after="140" w:before="220"/>
      </w:pPr>
      <w:r>
        <w:rPr>
          <w:rFonts w:ascii="Arial" w:cs="Arial" w:eastAsia="Arial" w:hAnsi="Arial"/>
          <w:b/>
          <w:bCs/>
          <w:color w:val="2E74B5"/>
          <w:sz w:val="26"/>
          <w:szCs w:val="26"/>
        </w:rPr>
        <w:t xml:space="preserve">2.4 Managementul schimbărilor</w:t>
      </w:r>
    </w:p>
    <w:p>
      <w:pPr>
        <w:spacing w:after="120" w:line="300"/>
        <w:jc w:val="both"/>
      </w:pPr>
      <w:r>
        <w:rPr>
          <w:rFonts w:ascii="Arial" w:cs="Arial" w:eastAsia="Arial" w:hAnsi="Arial"/>
        </w:rPr>
        <w:t xml:space="preserve">Pentru gestionarea schimbărilor de scop, timp sau buget pe parcursul implementării, VOGO TECHNOLOGY aplică o procedură formală de Change Management, cu următorii pași:</w:t>
      </w:r>
    </w:p>
    <w:p>
      <w:pPr>
        <w:pStyle w:val="ListParagraph"/>
        <w:numPr>
          <w:ilvl w:val="0"/>
          <w:numId w:val="2"/>
        </w:numPr>
        <w:spacing w:after="80" w:line="280"/>
        <w:jc w:val="both"/>
      </w:pPr>
      <w:r>
        <w:rPr>
          <w:rFonts w:ascii="Arial" w:cs="Arial" w:eastAsia="Arial" w:hAnsi="Arial"/>
          <w:b w:val="false"/>
          <w:bCs w:val="false"/>
        </w:rPr>
        <w:t xml:space="preserve">Identificarea schimbării — orice parte poate iniția o cerere prin formularul Change Request (CR);</w:t>
      </w:r>
    </w:p>
    <w:p>
      <w:pPr>
        <w:pStyle w:val="ListParagraph"/>
        <w:numPr>
          <w:ilvl w:val="0"/>
          <w:numId w:val="2"/>
        </w:numPr>
        <w:spacing w:after="80" w:line="280"/>
        <w:jc w:val="both"/>
      </w:pPr>
      <w:r>
        <w:rPr>
          <w:rFonts w:ascii="Arial" w:cs="Arial" w:eastAsia="Arial" w:hAnsi="Arial"/>
          <w:b w:val="false"/>
          <w:bCs w:val="false"/>
        </w:rPr>
        <w:t xml:space="preserve">Evaluare impact — analiza impactului asupra scopului, timpului, bugetului, calității și a celorlalte CR-uri în curs;</w:t>
      </w:r>
    </w:p>
    <w:p>
      <w:pPr>
        <w:pStyle w:val="ListParagraph"/>
        <w:numPr>
          <w:ilvl w:val="0"/>
          <w:numId w:val="2"/>
        </w:numPr>
        <w:spacing w:after="80" w:line="280"/>
        <w:jc w:val="both"/>
      </w:pPr>
      <w:r>
        <w:rPr>
          <w:rFonts w:ascii="Arial" w:cs="Arial" w:eastAsia="Arial" w:hAnsi="Arial"/>
          <w:b w:val="false"/>
          <w:bCs w:val="false"/>
        </w:rPr>
        <w:t xml:space="preserve">Decizie Change Control Board — Comitetul de schimbare (CCB) format din PM VOGO + reprezentant ANSVSA aprobă/respinge/amână schimbarea;</w:t>
      </w:r>
    </w:p>
    <w:p>
      <w:pPr>
        <w:pStyle w:val="ListParagraph"/>
        <w:numPr>
          <w:ilvl w:val="0"/>
          <w:numId w:val="2"/>
        </w:numPr>
        <w:spacing w:after="80" w:line="280"/>
        <w:jc w:val="both"/>
      </w:pPr>
      <w:r>
        <w:rPr>
          <w:rFonts w:ascii="Arial" w:cs="Arial" w:eastAsia="Arial" w:hAnsi="Arial"/>
          <w:b w:val="false"/>
          <w:bCs w:val="false"/>
        </w:rPr>
        <w:t xml:space="preserve">Implementare — după aprobare, schimbarea este planificată, executată și integrată în Baseline-ul proiectului;</w:t>
      </w:r>
    </w:p>
    <w:p>
      <w:pPr>
        <w:pStyle w:val="ListParagraph"/>
        <w:numPr>
          <w:ilvl w:val="0"/>
          <w:numId w:val="2"/>
        </w:numPr>
        <w:spacing w:after="80" w:line="280"/>
        <w:jc w:val="both"/>
      </w:pPr>
      <w:r>
        <w:rPr>
          <w:rFonts w:ascii="Arial" w:cs="Arial" w:eastAsia="Arial" w:hAnsi="Arial"/>
          <w:b w:val="false"/>
          <w:bCs w:val="false"/>
        </w:rPr>
        <w:t xml:space="preserve">Documentare — toate CR-urile sunt arhivate în registrul de schimbări al proiectului.</w:t>
      </w:r>
    </w:p>
    <w:p>
      <w:pPr>
        <w:pStyle w:val="Heading2"/>
        <w:spacing w:after="140" w:before="220"/>
      </w:pPr>
      <w:r>
        <w:rPr>
          <w:rFonts w:ascii="Arial" w:cs="Arial" w:eastAsia="Arial" w:hAnsi="Arial"/>
          <w:b/>
          <w:bCs/>
          <w:color w:val="2E74B5"/>
          <w:sz w:val="26"/>
          <w:szCs w:val="26"/>
        </w:rPr>
        <w:t xml:space="preserve">2.5 Procedura de testare și acceptanță</w:t>
      </w:r>
    </w:p>
    <w:p>
      <w:pPr>
        <w:spacing w:after="120" w:line="300"/>
        <w:jc w:val="both"/>
      </w:pPr>
      <w:r>
        <w:rPr>
          <w:rFonts w:ascii="Arial" w:cs="Arial" w:eastAsia="Arial" w:hAnsi="Arial"/>
        </w:rPr>
        <w:t xml:space="preserve">Procedura de testare și acceptanță VOGO TECHNOLOGY pentru SIDISVA respectă standardele ISTQB și include următoarele faze:</w:t>
      </w:r>
    </w:p>
    <w:p>
      <w:pPr>
        <w:pStyle w:val="ListParagraph"/>
        <w:numPr>
          <w:ilvl w:val="0"/>
          <w:numId w:val="2"/>
        </w:numPr>
        <w:spacing w:after="80" w:line="280"/>
        <w:jc w:val="both"/>
      </w:pPr>
      <w:r>
        <w:rPr>
          <w:rFonts w:ascii="Arial" w:cs="Arial" w:eastAsia="Arial" w:hAnsi="Arial"/>
          <w:b w:val="false"/>
          <w:bCs w:val="false"/>
        </w:rPr>
        <w:t xml:space="preserve">Testare unitară — efectuată de dezvoltatori, TDD, acoperire minim 80%;</w:t>
      </w:r>
    </w:p>
    <w:p>
      <w:pPr>
        <w:pStyle w:val="ListParagraph"/>
        <w:numPr>
          <w:ilvl w:val="0"/>
          <w:numId w:val="2"/>
        </w:numPr>
        <w:spacing w:after="80" w:line="280"/>
        <w:jc w:val="both"/>
      </w:pPr>
      <w:r>
        <w:rPr>
          <w:rFonts w:ascii="Arial" w:cs="Arial" w:eastAsia="Arial" w:hAnsi="Arial"/>
          <w:b w:val="false"/>
          <w:bCs w:val="false"/>
        </w:rPr>
        <w:t xml:space="preserve">Testare de integrare — verifică interacțiunea între componente și module;</w:t>
      </w:r>
    </w:p>
    <w:p>
      <w:pPr>
        <w:pStyle w:val="ListParagraph"/>
        <w:numPr>
          <w:ilvl w:val="0"/>
          <w:numId w:val="2"/>
        </w:numPr>
        <w:spacing w:after="80" w:line="280"/>
        <w:jc w:val="both"/>
      </w:pPr>
      <w:r>
        <w:rPr>
          <w:rFonts w:ascii="Arial" w:cs="Arial" w:eastAsia="Arial" w:hAnsi="Arial"/>
          <w:b w:val="false"/>
          <w:bCs w:val="false"/>
        </w:rPr>
        <w:t xml:space="preserve">Testare funcțională (FAT — Factory Acceptance Test) — la VOGO TECHNOLOGY, pe scenarii derivate din cerințele CS;</w:t>
      </w:r>
    </w:p>
    <w:p>
      <w:pPr>
        <w:pStyle w:val="ListParagraph"/>
        <w:numPr>
          <w:ilvl w:val="0"/>
          <w:numId w:val="2"/>
        </w:numPr>
        <w:spacing w:after="80" w:line="280"/>
        <w:jc w:val="both"/>
      </w:pPr>
      <w:r>
        <w:rPr>
          <w:rFonts w:ascii="Arial" w:cs="Arial" w:eastAsia="Arial" w:hAnsi="Arial"/>
          <w:b w:val="false"/>
          <w:bCs w:val="false"/>
        </w:rPr>
        <w:t xml:space="preserve">Testare de acceptanță utilizator (UAT) — la ANSVSA, pe scenarii agreate în comun, semnătură pe fiecare scenariu;</w:t>
      </w:r>
    </w:p>
    <w:p>
      <w:pPr>
        <w:pStyle w:val="ListParagraph"/>
        <w:numPr>
          <w:ilvl w:val="0"/>
          <w:numId w:val="2"/>
        </w:numPr>
        <w:spacing w:after="80" w:line="280"/>
        <w:jc w:val="both"/>
      </w:pPr>
      <w:r>
        <w:rPr>
          <w:rFonts w:ascii="Arial" w:cs="Arial" w:eastAsia="Arial" w:hAnsi="Arial"/>
          <w:b w:val="false"/>
          <w:bCs w:val="false"/>
        </w:rPr>
        <w:t xml:space="preserve">Testare de performanță — load testing, stress testing, capacity planning;</w:t>
      </w:r>
    </w:p>
    <w:p>
      <w:pPr>
        <w:pStyle w:val="ListParagraph"/>
        <w:numPr>
          <w:ilvl w:val="0"/>
          <w:numId w:val="2"/>
        </w:numPr>
        <w:spacing w:after="80" w:line="280"/>
        <w:jc w:val="both"/>
      </w:pPr>
      <w:r>
        <w:rPr>
          <w:rFonts w:ascii="Arial" w:cs="Arial" w:eastAsia="Arial" w:hAnsi="Arial"/>
          <w:b w:val="false"/>
          <w:bCs w:val="false"/>
        </w:rPr>
        <w:t xml:space="preserve">Testare de securitate (Pen-Test) — efectuată de echipa internă VOGO Security + audit extern independent;</w:t>
      </w:r>
    </w:p>
    <w:p>
      <w:pPr>
        <w:pStyle w:val="ListParagraph"/>
        <w:numPr>
          <w:ilvl w:val="0"/>
          <w:numId w:val="2"/>
        </w:numPr>
        <w:spacing w:after="80" w:line="280"/>
        <w:jc w:val="both"/>
      </w:pPr>
      <w:r>
        <w:rPr>
          <w:rFonts w:ascii="Arial" w:cs="Arial" w:eastAsia="Arial" w:hAnsi="Arial"/>
          <w:b w:val="false"/>
          <w:bCs w:val="false"/>
        </w:rPr>
        <w:t xml:space="preserve">Testare de Disaster Recovery — simulare incidente, validare RPO/RTO;</w:t>
      </w:r>
    </w:p>
    <w:p>
      <w:pPr>
        <w:pStyle w:val="ListParagraph"/>
        <w:numPr>
          <w:ilvl w:val="0"/>
          <w:numId w:val="2"/>
        </w:numPr>
        <w:spacing w:after="80" w:line="280"/>
        <w:jc w:val="both"/>
      </w:pPr>
      <w:r>
        <w:rPr>
          <w:rFonts w:ascii="Arial" w:cs="Arial" w:eastAsia="Arial" w:hAnsi="Arial"/>
          <w:b w:val="false"/>
          <w:bCs w:val="false"/>
        </w:rPr>
        <w:t xml:space="preserve">Testare de portabilitate și conformitate Cloud Guvernamental.</w:t>
      </w:r>
    </w:p>
    <w:p>
      <w:pPr>
        <w:spacing w:after="120" w:line="300"/>
        <w:jc w:val="both"/>
      </w:pPr>
      <w:r>
        <w:rPr>
          <w:rFonts w:ascii="Arial" w:cs="Arial" w:eastAsia="Arial" w:hAnsi="Arial"/>
        </w:rPr>
        <w:t xml:space="preserve">La finalul fiecărei faze, livrabilele sunt validate prin </w:t>
      </w:r>
      <w:r>
        <w:rPr>
          <w:rFonts w:ascii="Arial" w:cs="Arial" w:eastAsia="Arial" w:hAnsi="Arial"/>
          <w:b/>
          <w:bCs/>
        </w:rPr>
        <w:t xml:space="preserve">semnătură electronică calificată</w:t>
      </w:r>
      <w:r>
        <w:rPr>
          <w:rFonts w:ascii="Arial" w:cs="Arial" w:eastAsia="Arial" w:hAnsi="Arial"/>
        </w:rPr>
        <w:t xml:space="preserve"> de către reprezentanții ambelor părți (VOGO TECHNOLOGY și ANSVSA). Trasabilitatea completă a cerințelor pe traseul Caiet de Sarcini → Document de Analiză → Scenarii de Testare → Recepție Finală este asigurată prin Matricea de Trasabilitate a Cerințelor (RTM), instrument central al managementului calității proiectului.</w:t>
      </w:r>
    </w:p>
    <w:p>
      <w:pPr>
        <w:pStyle w:val="Heading2"/>
        <w:spacing w:after="140" w:before="220"/>
      </w:pPr>
      <w:r>
        <w:rPr>
          <w:rFonts w:ascii="Arial" w:cs="Arial" w:eastAsia="Arial" w:hAnsi="Arial"/>
          <w:b/>
          <w:bCs/>
          <w:color w:val="2E74B5"/>
          <w:sz w:val="26"/>
          <w:szCs w:val="26"/>
        </w:rPr>
        <w:t xml:space="preserve">2.6 Procedura de suport tehnic și SLA</w:t>
      </w:r>
    </w:p>
    <w:p>
      <w:pPr>
        <w:spacing w:after="120" w:line="300"/>
        <w:jc w:val="both"/>
      </w:pPr>
      <w:r>
        <w:rPr>
          <w:rFonts w:ascii="Arial" w:cs="Arial" w:eastAsia="Arial" w:hAnsi="Arial"/>
        </w:rPr>
        <w:t xml:space="preserve">VOGO TECHNOLOGY oferă servicii de suport tehnic pe perioada garanției de 3 ani de la trecerea în producție, prin următoarele canale:</w:t>
      </w:r>
    </w:p>
    <w:p>
      <w:pPr>
        <w:pStyle w:val="ListParagraph"/>
        <w:numPr>
          <w:ilvl w:val="0"/>
          <w:numId w:val="2"/>
        </w:numPr>
        <w:spacing w:after="80" w:line="280"/>
        <w:jc w:val="both"/>
      </w:pPr>
      <w:r>
        <w:rPr>
          <w:rFonts w:ascii="Arial" w:cs="Arial" w:eastAsia="Arial" w:hAnsi="Arial"/>
          <w:b w:val="false"/>
          <w:bCs w:val="false"/>
        </w:rPr>
        <w:t xml:space="preserve">Aplicație de suport și issue tracking online (Jira Service Management) — punct unic de intrare 24×7;</w:t>
      </w:r>
    </w:p>
    <w:p>
      <w:pPr>
        <w:pStyle w:val="ListParagraph"/>
        <w:numPr>
          <w:ilvl w:val="0"/>
          <w:numId w:val="2"/>
        </w:numPr>
        <w:spacing w:after="80" w:line="280"/>
        <w:jc w:val="both"/>
      </w:pPr>
      <w:r>
        <w:rPr>
          <w:rFonts w:ascii="Arial" w:cs="Arial" w:eastAsia="Arial" w:hAnsi="Arial"/>
          <w:b w:val="false"/>
          <w:bCs w:val="false"/>
        </w:rPr>
        <w:t xml:space="preserve">Număr de suport tehnic dedicat — disponibil L-V 08:00-18:00 ora României;</w:t>
      </w:r>
    </w:p>
    <w:p>
      <w:pPr>
        <w:pStyle w:val="ListParagraph"/>
        <w:numPr>
          <w:ilvl w:val="0"/>
          <w:numId w:val="2"/>
        </w:numPr>
        <w:spacing w:after="80" w:line="280"/>
        <w:jc w:val="both"/>
      </w:pPr>
      <w:r>
        <w:rPr>
          <w:rFonts w:ascii="Arial" w:cs="Arial" w:eastAsia="Arial" w:hAnsi="Arial"/>
          <w:b w:val="false"/>
          <w:bCs w:val="false"/>
        </w:rPr>
        <w:t xml:space="preserve">Număr de urgență — disponibil 24×7 pentru incidente critice (nivel 1);</w:t>
      </w:r>
    </w:p>
    <w:p>
      <w:pPr>
        <w:pStyle w:val="ListParagraph"/>
        <w:numPr>
          <w:ilvl w:val="0"/>
          <w:numId w:val="2"/>
        </w:numPr>
        <w:spacing w:after="80" w:line="280"/>
        <w:jc w:val="both"/>
      </w:pPr>
      <w:r>
        <w:rPr>
          <w:rFonts w:ascii="Arial" w:cs="Arial" w:eastAsia="Arial" w:hAnsi="Arial"/>
          <w:b w:val="false"/>
          <w:bCs w:val="false"/>
        </w:rPr>
        <w:t xml:space="preserve">E-mail suport tehnic — răspuns garantat în maximum 1 oră pentru incidente critice.</w:t>
      </w:r>
    </w:p>
    <w:p>
      <w:pPr>
        <w:spacing w:after="120" w:line="300"/>
        <w:jc w:val="both"/>
      </w:pPr>
      <w:r>
        <w:rPr>
          <w:rFonts w:ascii="Arial" w:cs="Arial" w:eastAsia="Arial" w:hAnsi="Arial"/>
        </w:rPr>
        <w:t xml:space="preserve">Parametrii SLA garantați: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1700"/>
        <w:gridCol w:w="1638"/>
      </w:tblGrid>
      <w:t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Nivel severitate</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Descriere</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Timp răspuns</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Soluție provizorie</w:t>
            </w:r>
          </w:p>
        </w:tc>
        <w:tc>
          <w:tcPr>
            <w:tcW w:type="dxa" w:w="1638"/>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Remediere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Critic (nivel 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Sistem total nefuncțional sau funcție majoră blocată</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Max 1 oră</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12 ore</w:t>
            </w:r>
          </w:p>
        </w:tc>
        <w:tc>
          <w:tcPr>
            <w:tcW w:type="dxa" w:w="1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zile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Major (nivel 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Eroare ce afectează majoritatea funcționalităților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Max 2 ore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 zi</w:t>
            </w:r>
          </w:p>
        </w:tc>
        <w:tc>
          <w:tcPr>
            <w:tcW w:type="dxa" w:w="1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 zile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Mediu (nivel 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Eroare la o funcție/proces, sistem parțial nefuncțional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Max 3 ore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zile</w:t>
            </w:r>
          </w:p>
        </w:tc>
        <w:tc>
          <w:tcPr>
            <w:tcW w:type="dxa" w:w="1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 zile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Minor (nivel 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Eroare care afectează o funcție dar nu sistemul în ansamblu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Max 4 ore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 zile</w:t>
            </w:r>
          </w:p>
        </w:tc>
        <w:tc>
          <w:tcPr>
            <w:tcW w:type="dxa" w:w="1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10 zile</w:t>
            </w:r>
          </w:p>
        </w:tc>
      </w:tr>
    </w:tbl>
    <w:p>
      <w:pPr>
        <w:pStyle w:val="Heading2"/>
        <w:spacing w:after="140" w:before="220"/>
      </w:pPr>
      <w:r>
        <w:rPr>
          <w:rFonts w:ascii="Arial" w:cs="Arial" w:eastAsia="Arial" w:hAnsi="Arial"/>
          <w:b/>
          <w:bCs/>
          <w:color w:val="2E74B5"/>
          <w:sz w:val="26"/>
          <w:szCs w:val="26"/>
        </w:rPr>
        <w:t xml:space="preserve">2.7 Asigurarea calității</w:t>
      </w:r>
    </w:p>
    <w:p>
      <w:pPr>
        <w:spacing w:after="120" w:line="300"/>
        <w:jc w:val="both"/>
      </w:pPr>
      <w:r>
        <w:rPr>
          <w:rFonts w:ascii="Arial" w:cs="Arial" w:eastAsia="Arial" w:hAnsi="Arial"/>
        </w:rPr>
        <w:t xml:space="preserve">Procedurile interne VOGO TECHNOLOGY sunt certificate </w:t>
      </w:r>
      <w:r>
        <w:rPr>
          <w:rFonts w:ascii="Arial" w:cs="Arial" w:eastAsia="Arial" w:hAnsi="Arial"/>
          <w:b/>
          <w:bCs/>
        </w:rPr>
        <w:t xml:space="preserve">ISO 9001:2015</w:t>
      </w:r>
      <w:r>
        <w:rPr>
          <w:rFonts w:ascii="Arial" w:cs="Arial" w:eastAsia="Arial" w:hAnsi="Arial"/>
        </w:rPr>
        <w:t xml:space="preserve">. Asigurarea calității proiectului SIDISVA include:</w:t>
      </w:r>
    </w:p>
    <w:p>
      <w:pPr>
        <w:pStyle w:val="ListParagraph"/>
        <w:numPr>
          <w:ilvl w:val="0"/>
          <w:numId w:val="2"/>
        </w:numPr>
        <w:spacing w:after="80" w:line="280"/>
        <w:jc w:val="both"/>
      </w:pPr>
      <w:r>
        <w:rPr>
          <w:rFonts w:ascii="Arial" w:cs="Arial" w:eastAsia="Arial" w:hAnsi="Arial"/>
          <w:b w:val="false"/>
          <w:bCs w:val="false"/>
        </w:rPr>
        <w:t xml:space="preserve">Quality Plan dedicat — definește standardele de calitate, metricile, criteriile de acceptanță;</w:t>
      </w:r>
    </w:p>
    <w:p>
      <w:pPr>
        <w:pStyle w:val="ListParagraph"/>
        <w:numPr>
          <w:ilvl w:val="0"/>
          <w:numId w:val="2"/>
        </w:numPr>
        <w:spacing w:after="80" w:line="280"/>
        <w:jc w:val="both"/>
      </w:pPr>
      <w:r>
        <w:rPr>
          <w:rFonts w:ascii="Arial" w:cs="Arial" w:eastAsia="Arial" w:hAnsi="Arial"/>
          <w:b w:val="false"/>
          <w:bCs w:val="false"/>
        </w:rPr>
        <w:t xml:space="preserve">Quality Assurance (QA) — review-uri tehnice independente la finalul fiecărei etape, audituri interne;</w:t>
      </w:r>
    </w:p>
    <w:p>
      <w:pPr>
        <w:pStyle w:val="ListParagraph"/>
        <w:numPr>
          <w:ilvl w:val="0"/>
          <w:numId w:val="2"/>
        </w:numPr>
        <w:spacing w:after="80" w:line="280"/>
        <w:jc w:val="both"/>
      </w:pPr>
      <w:r>
        <w:rPr>
          <w:rFonts w:ascii="Arial" w:cs="Arial" w:eastAsia="Arial" w:hAnsi="Arial"/>
          <w:b w:val="false"/>
          <w:bCs w:val="false"/>
        </w:rPr>
        <w:t xml:space="preserve">Quality Control (QC) — testare pe toate nivelurile, inspecții ale livrabilelor, verificarea conformității cu cerințele;</w:t>
      </w:r>
    </w:p>
    <w:p>
      <w:pPr>
        <w:pStyle w:val="ListParagraph"/>
        <w:numPr>
          <w:ilvl w:val="0"/>
          <w:numId w:val="2"/>
        </w:numPr>
        <w:spacing w:after="80" w:line="280"/>
        <w:jc w:val="both"/>
      </w:pPr>
      <w:r>
        <w:rPr>
          <w:rFonts w:ascii="Arial" w:cs="Arial" w:eastAsia="Arial" w:hAnsi="Arial"/>
          <w:b w:val="false"/>
          <w:bCs w:val="false"/>
        </w:rPr>
        <w:t xml:space="preserve">Lessons Learned — sesiuni post-proiect și post-milestone pentru îmbunătățire continuă;</w:t>
      </w:r>
    </w:p>
    <w:p>
      <w:pPr>
        <w:pStyle w:val="ListParagraph"/>
        <w:numPr>
          <w:ilvl w:val="0"/>
          <w:numId w:val="2"/>
        </w:numPr>
        <w:spacing w:after="80" w:line="280"/>
        <w:jc w:val="both"/>
      </w:pPr>
      <w:r>
        <w:rPr>
          <w:rFonts w:ascii="Arial" w:cs="Arial" w:eastAsia="Arial" w:hAnsi="Arial"/>
          <w:b w:val="false"/>
          <w:bCs w:val="false"/>
        </w:rPr>
        <w:t xml:space="preserve">Matricea de Conformitate (vezi Anexa F) — punct cu punct, pentru fiecare cerință din Caietul de Sarcini.</w:t>
      </w:r>
    </w:p>
    <w:p>
      <w:pPr>
        <w:pStyle w:val="Heading2"/>
        <w:spacing w:after="140" w:before="220"/>
      </w:pPr>
      <w:r>
        <w:rPr>
          <w:rFonts w:ascii="Arial" w:cs="Arial" w:eastAsia="Arial" w:hAnsi="Arial"/>
          <w:b/>
          <w:bCs/>
          <w:color w:val="2E74B5"/>
          <w:sz w:val="26"/>
          <w:szCs w:val="26"/>
        </w:rPr>
        <w:t xml:space="preserve">2.8 Sinteza abordării</w:t>
      </w:r>
    </w:p>
    <w:p>
      <w:pPr>
        <w:spacing w:after="120" w:line="300"/>
        <w:jc w:val="both"/>
      </w:pPr>
      <w:r>
        <w:rPr>
          <w:rFonts w:ascii="Arial" w:cs="Arial" w:eastAsia="Arial" w:hAnsi="Arial"/>
        </w:rPr>
        <w:t xml:space="preserve">Metodologia și planul de proiect VOGO TECHNOLOGY sunt special gândite și adaptate pentru specificul contractului SIDISVA — respectând cerințele din Caietul de Sarcini, inclusiv livrabilele solicitate pentru atingerea obiectivelor contractului. Prin integrarea cadrelor recunoscute internațional (PMI/PMBoK + BABOK + Agile-Scrum + ISO 9001 + ISTQB) cu experiența practică a echipei noastre, </w:t>
      </w:r>
      <w:r>
        <w:rPr>
          <w:rFonts w:ascii="Arial" w:cs="Arial" w:eastAsia="Arial" w:hAnsi="Arial"/>
          <w:b/>
          <w:bCs/>
        </w:rPr>
        <w:t xml:space="preserve">ne asigurăm că vom respecta atât indicatorii calitativi cât și indicatorii de buget și timp ai proiectului</w:t>
      </w:r>
      <w:r>
        <w:rPr>
          <w:rFonts w:ascii="Arial" w:cs="Arial" w:eastAsia="Arial" w:hAnsi="Arial"/>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SIDISVA — Abordare și metodologie</dc:title>
  <dc:creator>VOGO TECHNOLOGY</dc:creator>
  <cp:lastModifiedBy>Un-named</cp:lastModifiedBy>
  <cp:revision>1</cp:revision>
  <dcterms:created xsi:type="dcterms:W3CDTF">2026-05-12T22:37:52.434Z</dcterms:created>
  <dcterms:modified xsi:type="dcterms:W3CDTF">2026-05-12T22:37:52.435Z</dcterms:modified>
</cp:coreProperties>
</file>

<file path=docProps/custom.xml><?xml version="1.0" encoding="utf-8"?>
<Properties xmlns="http://schemas.openxmlformats.org/officeDocument/2006/custom-properties" xmlns:vt="http://schemas.openxmlformats.org/officeDocument/2006/docPropsVTypes"/>
</file>