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Arhitectura soluției și lista licențelor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răspunde la cerința IV.4.1 lit. b) din Fișa de date. Soluția </w:t>
      </w:r>
      <w:r>
        <w:rPr>
          <w:rFonts w:ascii="Arial" w:cs="Arial" w:eastAsia="Arial" w:hAnsi="Arial"/>
          <w:b/>
          <w:bCs/>
        </w:rPr>
        <w:t xml:space="preserve">VOGO ENTERPRISE BUSINESS SUITE</w:t>
      </w:r>
      <w:r>
        <w:rPr>
          <w:rFonts w:ascii="Arial" w:cs="Arial" w:eastAsia="Arial" w:hAnsi="Arial"/>
        </w:rPr>
        <w:t xml:space="preserve"> este construită pe o arhitectură multi-nivel modernă, scalabilă și sigură, conformă cu OUG nr. 89/2022 (Cloud Guvernamental) și cu cerințele arhitecturale ale Caietului de Sarcini (cap. 3.4.3).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5.1 Arhitectura logică (multi-tier)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Soluția SIDISVA este structurată pe </w:t>
      </w:r>
      <w:r>
        <w:rPr>
          <w:rFonts w:ascii="Arial" w:cs="Arial" w:eastAsia="Arial" w:hAnsi="Arial"/>
          <w:b/>
          <w:bCs/>
        </w:rPr>
        <w:t xml:space="preserve">5 nivele logice (tier-uri)</w:t>
      </w:r>
      <w:r>
        <w:rPr>
          <w:rFonts w:ascii="Arial" w:cs="Arial" w:eastAsia="Arial" w:hAnsi="Arial"/>
        </w:rPr>
        <w:t xml:space="preserve">, conform principiului divizării arhitecturii pe nivele: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Tier 1 — Nivel prezentare: Portal web responsive, aplicații mobile native (iOS, Android), interfețe administrative pentru personalul ANSVSA;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Tier 2 — API Gateway: punct unic de intrare pentru toate cererile externe; autentificare, throttling, audit, transformare protocol;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Tier 3 — Microservicii business: implementarea funcționalităților celor 14 module funcționale; comunicare prin REST/JSON și event-driven (Kafka);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Tier 4 — Servicii partajate: autentificare (IAM), management documente (DMS engine), workflow (BPMN engine), notificări, audit, raportare;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Tier 5 — Date: baze de date relaționale, BD spațiale (PostGIS), cache distribuit (Redis), search engine (Elasticsearch), object storage (S3-compatible).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Componentele cross-cutting (orizontale) asigură funcționalitățile transversale: securitate, monitoring, logging, deployment automatizat (CI/CD). Arhitectura este construită ferm pe principiile </w:t>
      </w:r>
      <w:r>
        <w:rPr>
          <w:rFonts w:ascii="Arial" w:cs="Arial" w:eastAsia="Arial" w:hAnsi="Arial"/>
          <w:b/>
          <w:bCs/>
        </w:rPr>
        <w:t xml:space="preserve">SOA</w:t>
      </w:r>
      <w:r>
        <w:rPr>
          <w:rFonts w:ascii="Arial" w:cs="Arial" w:eastAsia="Arial" w:hAnsi="Arial"/>
        </w:rPr>
        <w:t xml:space="preserve"> (Service-Oriented Architecture) și </w:t>
      </w:r>
      <w:r>
        <w:rPr>
          <w:rFonts w:ascii="Arial" w:cs="Arial" w:eastAsia="Arial" w:hAnsi="Arial"/>
          <w:b/>
          <w:bCs/>
        </w:rPr>
        <w:t xml:space="preserve">REST</w:t>
      </w:r>
      <w:r>
        <w:rPr>
          <w:rFonts w:ascii="Arial" w:cs="Arial" w:eastAsia="Arial" w:hAnsi="Arial"/>
        </w:rPr>
        <w:t xml:space="preserve"> — interoperabilitatea cu sisteme externe se realizează prin servicii web standard, complet documentate în Anexa C.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5.2 Arhitectura fizică (deployment)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Soluția VOGO ENTERPRISE BUSINESS SUITE este implementată în </w:t>
      </w:r>
      <w:r>
        <w:rPr>
          <w:rFonts w:ascii="Arial" w:cs="Arial" w:eastAsia="Arial" w:hAnsi="Arial"/>
          <w:b/>
          <w:bCs/>
        </w:rPr>
        <w:t xml:space="preserve">Cloud-ul Privat Guvernamental</w:t>
      </w:r>
      <w:r>
        <w:rPr>
          <w:rFonts w:ascii="Arial" w:cs="Arial" w:eastAsia="Arial" w:hAnsi="Arial"/>
        </w:rPr>
        <w:t xml:space="preserve"> conform OUG 89/2022. Topologia de deployment: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Centrul de date principal (Cloud Privat Guvernamental): toate componentele software, baze de date, integrări;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Site Disaster Recovery (DR): replicare sincronă pentru date critice, asincronă pentru istoric; RPO ≤15 minute, RTO ≤4 ore;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Locații DSVSA (42) + Institute (3) + ANSVSA centru: NGFW (90 buc), switch-uri (241 acces + 50 POE + 2 agregare), access points (175), echipamente teren (336 complete), IoT laboratoare (126);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Comunicații site-to-site prin VPN IPSec sau MPLS dedicat;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Edge servers la nivelul DSVSA pentru funcționalități critice cu latență scăzută;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DMZ separată pentru Portalul Servicii Publice — izolare strictă a accesului extern.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5.3 Arhitectura operațională — Înaltă disponibilitate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Având în vedere că SIDISVA este un sistem </w:t>
      </w:r>
      <w:r>
        <w:rPr>
          <w:rFonts w:ascii="Arial" w:cs="Arial" w:eastAsia="Arial" w:hAnsi="Arial"/>
          <w:b/>
          <w:bCs/>
        </w:rPr>
        <w:t xml:space="preserve">critic</w:t>
      </w:r>
      <w:r>
        <w:rPr>
          <w:rFonts w:ascii="Arial" w:cs="Arial" w:eastAsia="Arial" w:hAnsi="Arial"/>
        </w:rPr>
        <w:t xml:space="preserve"> pentru ANSVSA — susținând procesele operaționale ale rețelei naționale sanitar-veterinare — arhitectura este recomandată să fie redundantă pe toate nivelele, asigurând astfel continuitatea operațională: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Cluster activ-activ pentru nivelul de aplicație — scalabilitate orizontală automată, fără single point of failure;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Load Balancer redundant în fața serverelor de aplicație — capacitate ≥300.000 cereri L7 HTTP/secundă;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Cluster activ-pasiv sau activ-activ pentru baza de date — replicare sincronă pentru integritate;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Storage cu redundanță RAID 10 + replicare la nivel de site;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Două medii: producție + testare-dezvoltare (conform cerinței CS — un singur mediu inițial pentru dev/testare/instruire, ulterior producție).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5.4 Arhitectura de securitate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Securitatea sistemului SIDISVA este asigurată prin </w:t>
      </w:r>
      <w:r>
        <w:rPr>
          <w:rFonts w:ascii="Arial" w:cs="Arial" w:eastAsia="Arial" w:hAnsi="Arial"/>
          <w:b/>
          <w:bCs/>
        </w:rPr>
        <w:t xml:space="preserve">arhitectura defense-in-depth</w:t>
      </w:r>
      <w:r>
        <w:rPr>
          <w:rFonts w:ascii="Arial" w:cs="Arial" w:eastAsia="Arial" w:hAnsi="Arial"/>
        </w:rPr>
        <w:t xml:space="preserve"> pe 7 straturi (detaliată în cap. 10 al ofertei). Echipamentele de securitate ofertate respectă specificațiile cap. 3.4.3.4.1.1 și următoarele: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WAF appliance virtual redundant — VMware/Hyper-V/KVM, 8 vCPU, 3 Gbps HTTP, până la 64 domenii administrative, modes Reverse proxy + Inline transparent (cf. caiet 3.4.3.4.1.1);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Honeypot — detecție atacuri, alimentare automată SIEM;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SIEM — corelare evenimente, retenție 1 an cald + 6 ani rece, alertare 24×7;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Email security — anti-spam, anti-malware, sandboxing fișiere atașate;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NGFW — segmentare rețea, IPS/IDS, application control, SSL inspection.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Detalii tehnice complete cu fișe producători sunt prezentate în </w:t>
      </w:r>
      <w:r>
        <w:rPr>
          <w:rFonts w:ascii="Arial" w:cs="Arial" w:eastAsia="Arial" w:hAnsi="Arial"/>
          <w:b/>
          <w:bCs/>
        </w:rPr>
        <w:t xml:space="preserve">Anexa B</w:t>
      </w:r>
      <w:r>
        <w:rPr>
          <w:rFonts w:ascii="Arial" w:cs="Arial" w:eastAsia="Arial" w:hAnsi="Arial"/>
        </w:rPr>
        <w:t xml:space="preserve"> (Lista echipamentelor hardware).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5.5 Integrarea cu sistemele externe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VOGO ENTERPRISE BUSINESS SUITE expune un set complet de conectori pentru realizarea integrărilor cu sistemele externe, prin interfețe standard: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Servicii web REST + SOAP — pentru integrări sincrone cu sisteme partenere;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CMIS (Content Management Interoperability Services) — pentru schimburi de documente;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HL7 FHIR — pentru integrarea cu sisteme medicale și veterinare;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Event-driven prin Kafka — pentru integrări asincrone scalabile;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Conectori dedicați pentru: ROeID, eIDAS, ONRC, APIA, ANCPI, ANARZ, PNI, PDURo, BND-SNIIA, LIMS extern, RASFF.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5.6 Necesar hardware al soluției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Pornind de la arhitectura soluției, VOGO TECHNOLOGY recomandă următoarele caracteristici ale serverelor:</w:t>
      </w:r>
    </w:p>
    <w:p>
      <w:pPr>
        <w:pStyle w:val="Heading3"/>
        <w:spacing w:after="120" w:before="18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Mediul de producție — sistemul intern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Load Balancer (HW sau SW): minim 1 GB throughput L7, 1 GB throughput SSL, ≥300.000 cereri L7 HTTP/secundă;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Server Baze de Date (cluster activ-pasiv): minim 64 GB RAM, procesor cu minim 8 core-uri, spațiu local 512 GB SSD;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Server Aplicație (cluster activ-activ): minim 64 GB RAM, procesor cu minim 8 core-uri, spațiu local 512 GB SSD;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Storage extern: dependent de volumul documentelor — estimat 10-20 TB utili / RAID 10.</w:t>
      </w:r>
    </w:p>
    <w:p>
      <w:pPr>
        <w:pStyle w:val="Heading3"/>
        <w:spacing w:after="120" w:before="18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Mediul de producție — sistemul portal expus cetățeni (DMZ)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Load Balancer DMZ: aceleași specificații;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Server BD + Aplicație DMZ: aceleași specificații, izolare de la sistemul intern;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Storage DMZ: 1-2 TB utili / RAID 10.</w:t>
      </w:r>
    </w:p>
    <w:p>
      <w:pPr>
        <w:pStyle w:val="Heading3"/>
        <w:spacing w:after="120" w:before="180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Mediul de testare-dezvoltare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Server BD: minim 8 GB RAM, 8 core-uri, 512 GB SSD;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Server Aplicație: minim 8 GB RAM, 8 core-uri, 512 GB SSD;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Storage extern: 1 TB util / RAID 10.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Soluția poate fi implementată atât într-un mediu fizic, cât și într-un mediu </w:t>
      </w:r>
      <w:r>
        <w:rPr>
          <w:rFonts w:ascii="Arial" w:cs="Arial" w:eastAsia="Arial" w:hAnsi="Arial"/>
          <w:b/>
          <w:bCs/>
        </w:rPr>
        <w:t xml:space="preserve">virtualizat integral</w:t>
      </w:r>
      <w:r>
        <w:rPr>
          <w:rFonts w:ascii="Arial" w:cs="Arial" w:eastAsia="Arial" w:hAnsi="Arial"/>
        </w:rPr>
        <w:t xml:space="preserve"> (recomandat) — VMware vSphere, Microsoft Hyper-V, KVM sau echivalent. Implementarea în Cloud Guvernamental este preferată conform OUG 89/2022.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5.7 Lista licențelor software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Tabelul de mai jos prezintă lista licențelor software propuse de VOGO TECHNOLOGY pentru sistemul SIDISVA. </w:t>
      </w:r>
      <w:r>
        <w:rPr>
          <w:rFonts w:ascii="Arial" w:cs="Arial" w:eastAsia="Arial" w:hAnsi="Arial"/>
          <w:b/>
          <w:bCs/>
        </w:rPr>
        <w:t xml:space="preserve">ATENȚIE: Lipsa Listei Licențelor face oferta NECONFORMĂ</w:t>
      </w:r>
      <w:r>
        <w:rPr>
          <w:rFonts w:ascii="Arial" w:cs="Arial" w:eastAsia="Arial" w:hAnsi="Arial"/>
        </w:rPr>
        <w:t xml:space="preserve">. Versiunea completă (estimat 30-50 itemuri), cu toate cantitățile finale, prețurile de listă și parametrii de licențiere, este anexată ofertei ca </w:t>
      </w:r>
      <w:r>
        <w:rPr>
          <w:rFonts w:ascii="Arial" w:cs="Arial" w:eastAsia="Arial" w:hAnsi="Arial"/>
          <w:b/>
          <w:bCs/>
        </w:rPr>
        <w:t xml:space="preserve">Anexa A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700"/>
        <w:gridCol w:w="1700"/>
        <w:gridCol w:w="1300"/>
        <w:gridCol w:w="1100"/>
        <w:gridCol w:w="1138"/>
      </w:tblGrid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Nr.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Nume licență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Ediție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Producător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Cantitate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Unitate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Cap. caiet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 Hat Enterprise Linux Server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[Standard/Premium]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 Hat Inc.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 socket]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socket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3.4.3.2.3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Enterprise (sau Oracle DB)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core / server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3.4.3.2.4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Keycloak / Entra ID (IAM)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user / MAU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3.4.3.2.7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WAF appliance virtual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[Throughput tier]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appliance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3.4.3.4.1.1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SIEM (Splunk / IBM QRadar / Elastic)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EPS / nod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3.4.3.4.1.4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NGFW Centre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[Throughput]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appliance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3.4.3.4.2.x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NGFW Locații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[Throughput]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appliance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3.4.3.4.2.x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 Security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user / throughput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3.4.3.4.1.5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Honeypot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appliance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Management centralizat rețea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node managed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VOGO ENTERPRISE BUSINESS SUITE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Enterprise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VOGO TECHNOLOGY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 license perpetuă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3.4.3.3.x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Licențe Microsoft Office / M365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[Plan]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user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Antivirus / EDR endpoint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endpoint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Backup software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TB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Kubernetes / OpenShift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[Edition]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[Producător]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[Nr.]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node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3.4.3.x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…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[Continuat — estimat 30-50 itemuri în Anexa A]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Pentru licența VOGO ENTERPRISE BUSINESS SUITE, VOGO TECHNOLOGY oferă </w:t>
      </w:r>
      <w:r>
        <w:rPr>
          <w:rFonts w:ascii="Arial" w:cs="Arial" w:eastAsia="Arial" w:hAnsi="Arial"/>
          <w:b/>
          <w:bCs/>
        </w:rPr>
        <w:t xml:space="preserve">drept de proprietate perpetuu</w:t>
      </w:r>
      <w:r>
        <w:rPr>
          <w:rFonts w:ascii="Arial" w:cs="Arial" w:eastAsia="Arial" w:hAnsi="Arial"/>
        </w:rPr>
        <w:t xml:space="preserve"> pentru ANSVSA, fără limitare de utilizatori, instituții sau funcționalități. Codul sursă custom dezvoltat pentru specificul SIDISVA este transferat integral ANSVSA conform cap. 12 din Caietul de Sarcini.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Arhitectură și licențe</dc:title>
  <dc:creator>VOGO TECHNOLOGY</dc:creator>
  <cp:lastModifiedBy>Un-named</cp:lastModifiedBy>
  <cp:revision>1</cp:revision>
  <dcterms:created xsi:type="dcterms:W3CDTF">2026-05-12T22:37:52.906Z</dcterms:created>
  <dcterms:modified xsi:type="dcterms:W3CDTF">2026-05-12T22:37:52.906Z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