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Plan de măsuri pentru perioada de garanție (3 ani)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Capitolul răspunde la cerința IV.4.1 lit. d) din Fișa de date. </w:t>
      </w:r>
      <w:r>
        <w:rPr>
          <w:rFonts w:ascii="Arial" w:cs="Arial" w:eastAsia="Arial" w:hAnsi="Arial"/>
          <w:b/>
          <w:bCs/>
        </w:rPr>
        <w:t xml:space="preserve">VOGO TECHNOLOGY</w:t>
      </w:r>
      <w:r>
        <w:rPr>
          <w:rFonts w:ascii="Arial" w:cs="Arial" w:eastAsia="Arial" w:hAnsi="Arial"/>
        </w:rPr>
        <w:t xml:space="preserve"> oferă pentru sistemul SIDISVA o </w:t>
      </w:r>
      <w:r>
        <w:rPr>
          <w:rFonts w:ascii="Arial" w:cs="Arial" w:eastAsia="Arial" w:hAnsi="Arial"/>
          <w:b/>
          <w:bCs/>
        </w:rPr>
        <w:t xml:space="preserve">garanție extinsă de 3 ani</w:t>
      </w:r>
      <w:r>
        <w:rPr>
          <w:rFonts w:ascii="Arial" w:cs="Arial" w:eastAsia="Arial" w:hAnsi="Arial"/>
        </w:rPr>
        <w:t xml:space="preserve"> de la data recepției finale, acoperind integral hardware-ul, software-ul (de bază și aplicativ) și sistemul informatic ca întreg. Procedura de suport tehnic și SLA-urile sunt în conformitate cu prevederile cap. „4.9 Cerințe privind servicii de garanție și suport" din Caietul de Sarcini.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Domeniul garanției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Hardware (3 ani): Toate echipamentele ofertate (firewall-uri, switch-uri, access points, laptop-uri, complete teren, IoT) sunt acoperite de garanția producătorilor pe 3 ani, cu intervenție on-site și înlocuire piese defecte;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Software de bază (3 ani): Update-uri majore și minore, patch-uri de securitate, suport tehnic L3 din partea producătorilor (contract de mentenanță inclus);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VOGO ENTERPRISE BUSINESS SUITE (3 ani): Corecții bug-uri, mentenanță evolutivă minoră (ajustări pentru modificări legislative, optimizări UX, îmbunătățiri performanță), update-uri majore și minore;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Suport operațional 24×7 — Helpdesk + escaladare la echipele de specialitate.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Procedura de suport tehnic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Procedura de suport tehnic VOGO TECHNOLOGY include următoarele etape: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Solicitarea clientului — cerere de dezvoltare sau tichet de lucru deschis prin: aplicația de issue tracking online, numărul de suport tehnic, numărul de urgență (24×7), e-mail-ul dedicat;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Definire tichet (consultant VOGO) — categorizare în: Funcționalități noi (cod F) / Erori pe funcționalități existente (cod ER); evaluare prioritate; alocare resurse;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Investigare și diagnosticare — analiza logs, reproducere problemă, identificare cauză rădăcină;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Soluționare — implementare/configurare soluție; testare pe mediul de testare;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Validare ANSVSA — testare UAT, semnătură pe scenariu de testare; trecerea tichetului în status „Acceptat";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Documentare în baza de cunoștințe — pentru reutilizare ulterioară.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Pentru tichetele care necesită implicarea programatorilor (modificări de cod sursă), procedura include obligatoriu: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Code review minim 2 reviewers;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Testare locală + testare QA;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Deploy controlat (QA → Producție);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Verificare post-deploy și confirmare client.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7.3 SLA — Service Level Agreement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Parametrii SLA garantați de VOGO TECHNOLOGY pentru perioada de garanție: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500"/>
        <w:gridCol w:w="1700"/>
        <w:gridCol w:w="1638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Descriere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Timp răspuns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Timp remediere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Disponibilitate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 — Critică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 indisponibil sau funcție majoră blocată; afectează ≥30% utilizatori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≤30 min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≤4 ore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24×7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 — Majoră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Funcție importantă afectată dar există workaround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≤2 ore (business)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≤8 ore (business)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24×7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 — Minoră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Funcție secundară afectată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≤4 ore (business)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≤24 ore (business)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L-V 09:00-18:00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 — Cosmetică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Defect fără impact funcțional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≤1 zi (business)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≤5 zile (business)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L-V 09:00-18:00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VOGO TECHNOLOGY își rezervă dreptul de a modifica nivelul de prioritate al unui incident, </w:t>
      </w:r>
      <w:r>
        <w:rPr>
          <w:rFonts w:ascii="Arial" w:cs="Arial" w:eastAsia="Arial" w:hAnsi="Arial"/>
          <w:b/>
          <w:bCs/>
        </w:rPr>
        <w:t xml:space="preserve">cu anunțarea în avans a echipei ANSVSA</w:t>
      </w:r>
      <w:r>
        <w:rPr>
          <w:rFonts w:ascii="Arial" w:cs="Arial" w:eastAsia="Arial" w:hAnsi="Arial"/>
        </w:rPr>
        <w:t xml:space="preserve">. Pentru incidentele cu prioritate „Critică", intervenția este asigurată 24×7, din momentul primirii sesizării și până la remedierea definitivă a problemei. Serviciile de suport vor fi furnizate sub incidența Clauzelor de Confidențialitate.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7.4 Resurse alocate perioadei de garanție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1 × Coordonator suport tehnic (PM perioada garanție) — punct unic de contact pentru ANSVSA;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3 × experți L1 (helpdesk first line, 24×7);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3 × experți L2 (analiză tehnică, configurări, escaladări);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2 × experți L3 (development, bug-fixing, mentenanță evolutivă);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1 × inginer hardware (intervenții fizice, înlocuire piese);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Sistem ticketing dedicat (Jira Service Management / ServiceNow);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Monitoring 24×7 (Prometheus + Grafana + AlertManager);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Stoc spare-parts pentru hardware critic.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7.5 Servicii Help Desk + Fault Management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În cadrul SLA, VOGO TECHNOLOGY acordă următoarele servicii de suport: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Servicii de Help Desk — punct unic de contact pentru toate incidentele;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Fault Management — diagnosticare, soluționare, închidere incidente;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Suport în caz de urgență — disponibil 24×7;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Rapoarte de deranjamente și corelarea erorilor — analiza periodică pentru identificare pattern-uri;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Bază de cunoștințe tehnice accesibilă utilizatorilor ANSVSA;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Documentație tehnică actualizată continuu.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Toate intervențiile efectuate în sistem (la cerere sau în caz de incidente) vor fi documentate și, dacă este cazul, vor fi urmate de propuneri concrete de eliminare a cauzelor în vederea evitării repetării acestora. La finalizarea unui serviciu de suport, VOGO TECHNOLOGY întocmește un raport de activitate care va fi înaintat Beneficiarului spre aprobare.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SIDISVA — Plan de garanție</dc:title>
  <dc:creator>VOGO TECHNOLOGY</dc:creator>
  <cp:lastModifiedBy>Un-named</cp:lastModifiedBy>
  <cp:revision>1</cp:revision>
  <dcterms:created xsi:type="dcterms:W3CDTF">2026-05-12T22:37:53.087Z</dcterms:created>
  <dcterms:modified xsi:type="dcterms:W3CDTF">2026-05-12T22:37:53.087Z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