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Conformitate cu specificațiile tehnice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răspunde la cerința IV.4.1 lit. e) din Fișa de date. </w:t>
      </w:r>
      <w:r>
        <w:rPr>
          <w:rFonts w:ascii="Arial" w:cs="Arial" w:eastAsia="Arial" w:hAnsi="Arial"/>
          <w:b/>
          <w:bCs/>
        </w:rPr>
        <w:t xml:space="preserve">Răspunsuri de tip „OK" / „100%" / „Soluția răspunde la cerință" NU sunt acceptate</w:t>
      </w:r>
      <w:r>
        <w:rPr>
          <w:rFonts w:ascii="Arial" w:cs="Arial" w:eastAsia="Arial" w:hAnsi="Arial"/>
        </w:rPr>
        <w:t xml:space="preserve">. Trimiterile doar la hyperlink-uri NU sunt acceptate. VOGO TECHNOLOGY răspunde la fiecare cerință cu detalii concrete despre modul de îndeplinire, tehnologia folosită, capacitatea oferită și documentele justificative anexate.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8.1 Reguli formale de redactare a răspunsurilor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Fiecare cerință din Caietul de Sarcini primește un răspuns detaliat;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Răspunsul indică concret modul în care cerința este sau va fi îndeplinită (tehnologie, configurație, capacitate, dovadă);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Pentru fiecare răspuns sunt indicate: documentul anexă, pagina, paragraful relevant;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Trimiterile către documente de la producători sunt însoțite de citarea textului concret (nu doar URL);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Nu se admit răspunsuri prin simpla repetare a cerinței (cu schimbarea timpului verbal);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Răspunsurile sunt asertive — formulări tip „VOGO ENTERPRISE BUSINESS SUITE asigură…", „Soluția VOGO TECHNOLOGY răspunde la cerință prin…".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8.2 Tabel sintetic de conformitate (extras reprezentativ)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Tabelul de mai jos este un extras reprezentativ. Versiunea completă, structurată identic, este prezentată în </w:t>
      </w:r>
      <w:r>
        <w:rPr>
          <w:rFonts w:ascii="Arial" w:cs="Arial" w:eastAsia="Arial" w:hAnsi="Arial"/>
          <w:b/>
          <w:bCs/>
        </w:rPr>
        <w:t xml:space="preserve">Anexa F</w:t>
      </w:r>
      <w:r>
        <w:rPr>
          <w:rFonts w:ascii="Arial" w:cs="Arial" w:eastAsia="Arial" w:hAnsi="Arial"/>
        </w:rPr>
        <w:t xml:space="preserve"> — Matricea de Conformitate, conținând toate cele 1.294 cerințe extrase din Caietul de Sarcini.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700"/>
        <w:gridCol w:w="1638"/>
      </w:tblGrid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Cap. caiet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Cerință (citat scurt)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 îndeplinire VOGO TECHNOLOGY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referință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3.4.1.1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 Cloud-Native găzduit în Cloud Guvernamental, compatibil cu containerizare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VOGO ENTERPRISE BUSINESS SUITE este implementat ca microservicii în containere Docker, orchestrate prin Kubernetes/OpenShift, găzduit în Cloud Privat conform OUG 89/2022. Compatibilă cu serviciile S3 și BD manage ale Cloud Guvernamental.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5.1, 5.2 ofertă; Anexa C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3.4.1.2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Prevederi securitate cibernetică — Legea 362/2018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 certificat ISO 27001, defense-in-depth pe 7 nivele (cap. 10 ofertă), audit anual pen-test, conformitate L 362/2018 art. 12-15 prin SIEM 24×7 și plan IR.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10 ofertă; Anexa H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3.4.2.1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Funcționalități LIMS — gestiune cereri analiză, fluxuri laborator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 LIMS dedicat (cap. 4.2.1 ofertă) cu workflow primire→distribuție→analiză→validare→eliberare; integrare echipamente prin IoT (126 buc); HL7 FHIR pentru schimburi externe.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4.2.1; Anexa specificații LIMS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3.4.2.6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Portal Servicii Publice — minim 56 servicii electronice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Catalog complet 56+ servicii (cap. 4.2.3 ofertă); autentificare ROeID/eIDAS; plăți online integrate; accesibilitate WCAG 2.1 AA.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4.2.3; Anexa wireframes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WAF appliance virtual — 8 vCPU, 3 Gbps HTTP, 64 domenii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WAF [Producător] versiune [X], appliance virtual deployabil pe VMware/Hyper-V/KVM, HA cu 8 vCPU + 16GB RAM, throughput certificat 3 Gbps HTTP, ≥64 domenii admin.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Anexa B item 1; fișa tehnică [link]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Laptop — consum redus DNSH (max 20Wh veghe)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Laptop [Producător/Model] certificat EnergyStar 8.0 + EU Ecolabel, consum măsurat [X] Wh &lt; 20 Wh; 100 buc pentru ANSVSA.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Anexa B item 12; raport test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…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[Continuat în Anexa F — toate cele 1.294 cerințe extrase]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Răspuns detaliat per cerință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Anexa F</w:t>
            </w:r>
          </w:p>
        </w:tc>
      </w:tr>
    </w:tbl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8.3 Trasabilitate cerințe → soluție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Trasabilitatea cerințelor pe traseul Caiet de Sarcini → Ofertă Tehnică → Document de Analiză → Scenarii de Testare → Recepție Finală este asigurată de VOGO TECHNOLOGY prin </w:t>
      </w:r>
      <w:r>
        <w:rPr>
          <w:rFonts w:ascii="Arial" w:cs="Arial" w:eastAsia="Arial" w:hAnsi="Arial"/>
          <w:b/>
          <w:bCs/>
        </w:rPr>
        <w:t xml:space="preserve">Matricea de Trasabilitate a Cerințelor (RTM)</w:t>
      </w:r>
      <w:r>
        <w:rPr>
          <w:rFonts w:ascii="Arial" w:cs="Arial" w:eastAsia="Arial" w:hAnsi="Arial"/>
        </w:rPr>
        <w:t xml:space="preserve"> — instrument central al managementului calității proiectului. Această matrice permite ANSVSA să verifice oricând, în orice etapă a proiectului, modul în care fiecare cerință din Caietul de Sarcini este îndeplinită concret.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Conformitate specificații</dc:title>
  <dc:creator>VOGO TECHNOLOGY</dc:creator>
  <cp:lastModifiedBy>Un-named</cp:lastModifiedBy>
  <cp:revision>1</cp:revision>
  <dcterms:created xsi:type="dcterms:W3CDTF">2026-05-12T22:37:53.098Z</dcterms:created>
  <dcterms:modified xsi:type="dcterms:W3CDTF">2026-05-12T22:37:53.098Z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