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6936" w14:textId="77777777" w:rsidR="009C3D3E" w:rsidRDefault="00000000" w:rsidP="00816F39">
      <w:pPr>
        <w:pStyle w:val="Heading1"/>
        <w:jc w:val="both"/>
      </w:pPr>
      <w:r>
        <w:t>1. Rezumat executiv</w:t>
      </w:r>
    </w:p>
    <w:p w14:paraId="2B4416C2" w14:textId="77777777" w:rsidR="009C3D3E" w:rsidRDefault="00000000" w:rsidP="00816F39">
      <w:pPr>
        <w:jc w:val="both"/>
      </w:pPr>
      <w:r>
        <w:t>Capitolul prezintă, în sinteză, identificarea procedurii și a ofertantului (§1.1), înțelegerea obiectivelor proiectului SIDISVA (§1.2), soluția tehnică propusă (§1.3), conformitatea cu cadrul legislativ și standardele aplicabile (§1.4), confirmarea acoperirii cerințelor eliminatorii (§1.5), punctajul țintă pe factorii de evaluare (§1.6) și angajamentele explicite ale ofertantului (§1.7). Detaliile complete se regăsesc în capitolele următoare ale prezentei oferte tehnice.</w:t>
      </w:r>
    </w:p>
    <w:p w14:paraId="6E29D7A8" w14:textId="77777777" w:rsidR="009C3D3E" w:rsidRDefault="00000000" w:rsidP="00816F39">
      <w:pPr>
        <w:pStyle w:val="Heading2"/>
        <w:jc w:val="both"/>
      </w:pPr>
      <w:r>
        <w:t>1.1 Identificarea procedurii și a ofertantului</w:t>
      </w:r>
    </w:p>
    <w:p w14:paraId="5643374C" w14:textId="77777777" w:rsidR="009C3D3E" w:rsidRDefault="00000000" w:rsidP="00816F39">
      <w:pPr>
        <w:jc w:val="both"/>
      </w:pPr>
      <w:r>
        <w:t>Prezenta ofertă tehnică este depusă de &lt;LIDER&gt;, în asociere cu &lt;PARTENER&gt;, în cadrul procedurii de atribuire având ca obiect „Achiziție de servicii pentru implementarea Sistemului Informatic Digitalizat în domeniul Sanitar Veterinar și pentru Siguranța Alimentelor — SIDISVA", organizată de Autoritatea Națională Sanitară Veterinară și pentru Siguranța Alimentelor (ANSVSA).</w:t>
      </w:r>
    </w:p>
    <w:p w14:paraId="6BAD54C5" w14:textId="77777777" w:rsidR="009C3D3E" w:rsidRDefault="00000000" w:rsidP="00816F39">
      <w:pPr>
        <w:jc w:val="both"/>
      </w:pPr>
      <w:r>
        <w:rPr>
          <w:b/>
        </w:rPr>
        <w:t>Date de identificare procedură:</w:t>
      </w:r>
    </w:p>
    <w:p w14:paraId="7399F490" w14:textId="77777777" w:rsidR="009C3D3E" w:rsidRDefault="00000000" w:rsidP="00816F39">
      <w:pPr>
        <w:pStyle w:val="ListBullet"/>
        <w:jc w:val="both"/>
      </w:pPr>
      <w:r>
        <w:t>Anunț de participare publicat în SEAP: CN1089237;</w:t>
      </w:r>
    </w:p>
    <w:p w14:paraId="744820D6" w14:textId="77777777" w:rsidR="009C3D3E" w:rsidRDefault="00000000" w:rsidP="00816F39">
      <w:pPr>
        <w:pStyle w:val="ListBullet"/>
        <w:jc w:val="both"/>
      </w:pPr>
      <w:r>
        <w:t>Caiet de Sarcini nr. 7574/CP/2025, Revizia 1 din 30.12.2025, 252 pagini;</w:t>
      </w:r>
    </w:p>
    <w:p w14:paraId="0E209A92" w14:textId="77777777" w:rsidR="009C3D3E" w:rsidRDefault="00000000" w:rsidP="00816F39">
      <w:pPr>
        <w:pStyle w:val="ListBullet"/>
        <w:jc w:val="both"/>
      </w:pPr>
      <w:r>
        <w:t>Cod SMIS al proiectului: 336342;</w:t>
      </w:r>
    </w:p>
    <w:p w14:paraId="13D68B03" w14:textId="77777777" w:rsidR="009C3D3E" w:rsidRDefault="00000000" w:rsidP="00816F39">
      <w:pPr>
        <w:pStyle w:val="ListBullet"/>
        <w:jc w:val="both"/>
      </w:pPr>
      <w:r>
        <w:t>Finanțare: Programul Creștere Inteligentă, Digitalizare și Instrumente Financiare 2021–2027 (POCIDIF), Prioritatea P2 — Digitalizare în administrația publică centrală și mediul de afaceri, Acțiunea 2.2 — E-guvernarea și digitalizarea în beneficiul cetățenilor;</w:t>
      </w:r>
    </w:p>
    <w:p w14:paraId="289FBFDE" w14:textId="77777777" w:rsidR="009C3D3E" w:rsidRDefault="00000000" w:rsidP="00816F39">
      <w:pPr>
        <w:pStyle w:val="ListBullet"/>
        <w:jc w:val="both"/>
      </w:pPr>
      <w:r>
        <w:t>Sursa de finanțare: Fondul European de Dezvoltare Regională (FEDR) + cofinanțare din bugetul de stat;</w:t>
      </w:r>
    </w:p>
    <w:p w14:paraId="13906FF5" w14:textId="77777777" w:rsidR="009C3D3E" w:rsidRDefault="00000000" w:rsidP="00816F39">
      <w:pPr>
        <w:pStyle w:val="ListBullet"/>
        <w:jc w:val="both"/>
      </w:pPr>
      <w:r>
        <w:t>Termen de depunere a ofertelor: conform Fișei de date a achiziției anexate procedurii SEAP.</w:t>
      </w:r>
    </w:p>
    <w:p w14:paraId="2723C859" w14:textId="77777777" w:rsidR="009C3D3E" w:rsidRDefault="00000000" w:rsidP="00816F39">
      <w:pPr>
        <w:pStyle w:val="Heading2"/>
        <w:jc w:val="both"/>
      </w:pPr>
      <w:r>
        <w:t>1.2 Înțelegerea obiectivelor proiectului SIDISVA</w:t>
      </w:r>
    </w:p>
    <w:p w14:paraId="22C9B69B" w14:textId="77777777" w:rsidR="009C3D3E" w:rsidRDefault="00000000" w:rsidP="00816F39">
      <w:pPr>
        <w:jc w:val="both"/>
      </w:pPr>
      <w:r>
        <w:t>Obiectivul general al proiectului SIDISVA este digitalizarea completă a fluxurilor sanitar-veterinare și de siguranță alimentară din România, prin implementarea unui sistem informatic integrat care deservește:</w:t>
      </w:r>
    </w:p>
    <w:p w14:paraId="2F6F1B98" w14:textId="77777777" w:rsidR="009C3D3E" w:rsidRDefault="00000000" w:rsidP="00816F39">
      <w:pPr>
        <w:pStyle w:val="ListBullet"/>
        <w:jc w:val="both"/>
      </w:pPr>
      <w:r>
        <w:t>cca. 5.300 angajați ai ANSVSA centru + 42 DSVSA județene + 3 institute subordonate (IISPV — Igienă; ICBMV — Biologice și Medicamente Veterinare; IDSA — Diagnostic);</w:t>
      </w:r>
    </w:p>
    <w:p w14:paraId="54827467" w14:textId="77777777" w:rsidR="009C3D3E" w:rsidRDefault="00000000" w:rsidP="00816F39">
      <w:pPr>
        <w:pStyle w:val="ListBullet"/>
        <w:jc w:val="both"/>
      </w:pPr>
      <w:r>
        <w:t>cca. 2.600 medici veterinari concesionari și 4.800 utilizatori externi acreditați;</w:t>
      </w:r>
    </w:p>
    <w:p w14:paraId="2BB8799F" w14:textId="77777777" w:rsidR="009C3D3E" w:rsidRDefault="00000000" w:rsidP="00816F39">
      <w:pPr>
        <w:pStyle w:val="ListBullet"/>
        <w:jc w:val="both"/>
      </w:pPr>
      <w:r>
        <w:t>cca. 185.000 utilizatori unici anual (cetățeni, fermieri, operatori economici) — țintă pentru indicatorul de rezultat RCR11 al POCIDIF;</w:t>
      </w:r>
    </w:p>
    <w:p w14:paraId="5F1E994F" w14:textId="77777777" w:rsidR="009C3D3E" w:rsidRDefault="00000000" w:rsidP="00816F39">
      <w:pPr>
        <w:pStyle w:val="ListBullet"/>
        <w:jc w:val="both"/>
      </w:pPr>
      <w:r>
        <w:t>cca. 280.000 cereri de analiză de laborator anual.</w:t>
      </w:r>
    </w:p>
    <w:p w14:paraId="33EC4FA8" w14:textId="77777777" w:rsidR="009C3D3E" w:rsidRDefault="00000000" w:rsidP="00816F39">
      <w:pPr>
        <w:jc w:val="both"/>
      </w:pPr>
      <w:r>
        <w:rPr>
          <w:b/>
        </w:rPr>
        <w:t>Beneficiile concrete urmărite de Autoritatea Contractantă sunt structurate pe trei axe:</w:t>
      </w:r>
    </w:p>
    <w:p w14:paraId="0BB89F59" w14:textId="77777777" w:rsidR="009C3D3E" w:rsidRDefault="00000000" w:rsidP="00816F39">
      <w:pPr>
        <w:pStyle w:val="ListBullet"/>
        <w:jc w:val="both"/>
      </w:pPr>
      <w:r>
        <w:lastRenderedPageBreak/>
        <w:t>Servicii publice digitale către cetățeni, medici veterinari și operatori economici, prin Portal Servicii Publice și aplicații mobile native — minimum 56 servicii electronice publice noi sau optimizate (indicator de rezultat obligatoriu RCR11 POCIDIF);</w:t>
      </w:r>
    </w:p>
    <w:p w14:paraId="44C5DF77" w14:textId="77777777" w:rsidR="009C3D3E" w:rsidRDefault="00000000" w:rsidP="00816F39">
      <w:pPr>
        <w:pStyle w:val="ListBullet"/>
        <w:jc w:val="both"/>
      </w:pPr>
      <w:r>
        <w:t>Optimizarea proceselor interne și a fluxurilor de lucru la nivelul celor 46 instituții publice deservite — DMS unic național, BPMN engine cu workflow-uri configurabile, audit log inalterabil;</w:t>
      </w:r>
    </w:p>
    <w:p w14:paraId="761AB2AA" w14:textId="77777777" w:rsidR="009C3D3E" w:rsidRDefault="00000000" w:rsidP="00816F39">
      <w:pPr>
        <w:pStyle w:val="ListBullet"/>
        <w:jc w:val="both"/>
      </w:pPr>
      <w:r>
        <w:t>Integrarea nativă în Cloud Guvernamental și interoperabilitatea cu ecosistemul național și european de referință — ROeID, eIDAS, PNI, PCUe/PDURo, ONRC, APIA, ANCPI, ANARZ, Colegiul Medicilor Veterinari, Ghișeul.ro.</w:t>
      </w:r>
    </w:p>
    <w:p w14:paraId="79452D2C" w14:textId="77777777" w:rsidR="009C3D3E" w:rsidRDefault="00000000" w:rsidP="00816F39">
      <w:pPr>
        <w:pStyle w:val="Heading2"/>
        <w:jc w:val="both"/>
      </w:pPr>
      <w:r>
        <w:t>1.3 Soluția tehnică propusă (sinteză)</w:t>
      </w:r>
    </w:p>
    <w:p w14:paraId="6DE2F648" w14:textId="77777777" w:rsidR="009C3D3E" w:rsidRDefault="00000000" w:rsidP="00816F39">
      <w:pPr>
        <w:jc w:val="both"/>
      </w:pPr>
      <w:r>
        <w:t>Soluția propusă este un sistem informatic Cloud-Native, modular, găzduit în Cloud Guvernamental conform OUG nr. 89/2022, construit pe principiul microserviciilor containerizate (Docker / Kubernetes), cu disponibilitate țintă ≥99,5%, RPO ≤15 minute și RTO ≤4 ore.</w:t>
      </w:r>
    </w:p>
    <w:p w14:paraId="370F0764" w14:textId="77777777" w:rsidR="009C3D3E" w:rsidRDefault="00000000" w:rsidP="00816F39">
      <w:pPr>
        <w:jc w:val="both"/>
      </w:pPr>
      <w:r>
        <w:rPr>
          <w:b/>
        </w:rPr>
        <w:t>Componenta funcțională — 14 componente conform cap. 3.4.2.1 – 3.4.2.14 din Caietul de Sarcini (descrise în capitolul 4 al ofertei):</w:t>
      </w:r>
    </w:p>
    <w:p w14:paraId="569B5C12" w14:textId="77777777" w:rsidR="009C3D3E" w:rsidRDefault="00000000" w:rsidP="00816F39">
      <w:pPr>
        <w:pStyle w:val="ListBullet"/>
        <w:jc w:val="both"/>
      </w:pPr>
      <w:r>
        <w:t>LIMS — Sistem informatic de laborator (cap. 3.4.2.1);</w:t>
      </w:r>
    </w:p>
    <w:p w14:paraId="21280917" w14:textId="77777777" w:rsidR="009C3D3E" w:rsidRDefault="00000000" w:rsidP="00816F39">
      <w:pPr>
        <w:pStyle w:val="ListBullet"/>
        <w:jc w:val="both"/>
      </w:pPr>
      <w:r>
        <w:t>DMS — Sistem național de management documente (cap. 3.4.2.2);</w:t>
      </w:r>
    </w:p>
    <w:p w14:paraId="17F17613" w14:textId="77777777" w:rsidR="009C3D3E" w:rsidRDefault="00000000" w:rsidP="00816F39">
      <w:pPr>
        <w:pStyle w:val="ListBullet"/>
        <w:jc w:val="both"/>
      </w:pPr>
      <w:r>
        <w:t>Management scheme de intercomparare (cap. 3.4.2.3);</w:t>
      </w:r>
    </w:p>
    <w:p w14:paraId="254B6BA7" w14:textId="77777777" w:rsidR="009C3D3E" w:rsidRDefault="00000000" w:rsidP="00816F39">
      <w:pPr>
        <w:pStyle w:val="ListBullet"/>
        <w:jc w:val="both"/>
      </w:pPr>
      <w:r>
        <w:t>GIS — Sistem geo-informațional (cap. 3.4.2.4);</w:t>
      </w:r>
    </w:p>
    <w:p w14:paraId="596DBAB6" w14:textId="77777777" w:rsidR="009C3D3E" w:rsidRDefault="00000000" w:rsidP="00816F39">
      <w:pPr>
        <w:pStyle w:val="ListBullet"/>
        <w:jc w:val="both"/>
      </w:pPr>
      <w:r>
        <w:t>Culegere date, raportare, dashboard și sinteze — BI (cap. 3.4.2.5);</w:t>
      </w:r>
    </w:p>
    <w:p w14:paraId="61A0B82C" w14:textId="77777777" w:rsidR="009C3D3E" w:rsidRDefault="00000000" w:rsidP="00816F39">
      <w:pPr>
        <w:pStyle w:val="ListBullet"/>
        <w:jc w:val="both"/>
      </w:pPr>
      <w:r>
        <w:t>Portal Servicii Publice (cap. 3.4.2.6);</w:t>
      </w:r>
    </w:p>
    <w:p w14:paraId="6DC66AF0" w14:textId="77777777" w:rsidR="009C3D3E" w:rsidRDefault="00000000" w:rsidP="00816F39">
      <w:pPr>
        <w:pStyle w:val="ListBullet"/>
        <w:jc w:val="both"/>
      </w:pPr>
      <w:r>
        <w:t>BND-SNIIA — Baza Națională de Date pentru identificarea și înregistrarea animalelor (cap. 3.4.2.7);</w:t>
      </w:r>
    </w:p>
    <w:p w14:paraId="70017C29" w14:textId="77777777" w:rsidR="009C3D3E" w:rsidRDefault="00000000" w:rsidP="00816F39">
      <w:pPr>
        <w:pStyle w:val="ListBullet"/>
        <w:jc w:val="both"/>
      </w:pPr>
      <w:r>
        <w:t>Catagrafie și cartografiere exploatații, unități autorizate, farmacii (cap. 3.4.2.8);</w:t>
      </w:r>
    </w:p>
    <w:p w14:paraId="04051E38" w14:textId="77777777" w:rsidR="009C3D3E" w:rsidRDefault="00000000" w:rsidP="00816F39">
      <w:pPr>
        <w:pStyle w:val="ListBullet"/>
        <w:jc w:val="both"/>
      </w:pPr>
      <w:r>
        <w:t>Supraveghere, prevenire, control și anchete (cap. 3.4.2.9);</w:t>
      </w:r>
    </w:p>
    <w:p w14:paraId="5364FE6B" w14:textId="77777777" w:rsidR="009C3D3E" w:rsidRDefault="00000000" w:rsidP="00816F39">
      <w:pPr>
        <w:pStyle w:val="ListBullet"/>
        <w:jc w:val="both"/>
      </w:pPr>
      <w:r>
        <w:t>Management instruire personal laboratoare (cap. 3.4.2.10);</w:t>
      </w:r>
    </w:p>
    <w:p w14:paraId="648131ED" w14:textId="77777777" w:rsidR="009C3D3E" w:rsidRDefault="00000000" w:rsidP="00816F39">
      <w:pPr>
        <w:pStyle w:val="ListBullet"/>
        <w:jc w:val="both"/>
      </w:pPr>
      <w:r>
        <w:t>Aplicație mobilă raportare animale sălbatice bolnave sau decedate (cap. 3.4.2.11);</w:t>
      </w:r>
    </w:p>
    <w:p w14:paraId="4B652FE2" w14:textId="77777777" w:rsidR="009C3D3E" w:rsidRDefault="00000000" w:rsidP="00816F39">
      <w:pPr>
        <w:pStyle w:val="ListBullet"/>
        <w:jc w:val="both"/>
      </w:pPr>
      <w:r>
        <w:t>Autorizare, acreditare și desemnare (cap. 3.4.2.12);</w:t>
      </w:r>
    </w:p>
    <w:p w14:paraId="03EAC254" w14:textId="77777777" w:rsidR="009C3D3E" w:rsidRDefault="00000000" w:rsidP="00816F39">
      <w:pPr>
        <w:pStyle w:val="ListBullet"/>
        <w:jc w:val="both"/>
      </w:pPr>
      <w:r>
        <w:t>Contorizare folosire servicii publice — indicator RCR11 (cap. 3.4.2.13);</w:t>
      </w:r>
    </w:p>
    <w:p w14:paraId="602DC018" w14:textId="77777777" w:rsidR="009C3D3E" w:rsidRDefault="00000000" w:rsidP="00816F39">
      <w:pPr>
        <w:pStyle w:val="ListBullet"/>
        <w:jc w:val="both"/>
      </w:pPr>
      <w:r>
        <w:t>Integrări externe și preluări de date (cap. 3.4.2.14).</w:t>
      </w:r>
    </w:p>
    <w:p w14:paraId="562F3FAB" w14:textId="77777777" w:rsidR="009C3D3E" w:rsidRDefault="00000000" w:rsidP="00816F39">
      <w:pPr>
        <w:jc w:val="both"/>
      </w:pPr>
      <w:r>
        <w:rPr>
          <w:b/>
        </w:rPr>
        <w:t>Componenta software — 27 produse software organizate pe 4 categorii (detaliate în capitolul 5 al ofertei și în Lista_Software_SIDISVA.xlsx):</w:t>
      </w:r>
    </w:p>
    <w:p w14:paraId="6DAA72FD" w14:textId="77777777" w:rsidR="009C3D3E" w:rsidRDefault="00000000" w:rsidP="00816F39">
      <w:pPr>
        <w:pStyle w:val="ListBullet"/>
        <w:jc w:val="both"/>
      </w:pPr>
      <w:r>
        <w:t>A. Infrastructură software (11 produse) — sisteme de operare, server web, server aplicație, bază de date relațională + NoSQL, ETL, BI, IAM, GIS, ESB;</w:t>
      </w:r>
    </w:p>
    <w:p w14:paraId="3F0A3505" w14:textId="77777777" w:rsidR="009C3D3E" w:rsidRDefault="00000000" w:rsidP="00816F39">
      <w:pPr>
        <w:pStyle w:val="ListBullet"/>
        <w:jc w:val="both"/>
      </w:pPr>
      <w:r>
        <w:t>B. Software aplicativ (6 produse) — DMS, Portal, Chatbot, aplicație mobilă, LIMS, gateway HL7;</w:t>
      </w:r>
    </w:p>
    <w:p w14:paraId="05A0C3E2" w14:textId="77777777" w:rsidR="009C3D3E" w:rsidRDefault="00000000" w:rsidP="00816F39">
      <w:pPr>
        <w:pStyle w:val="ListBullet"/>
        <w:jc w:val="both"/>
      </w:pPr>
      <w:r>
        <w:lastRenderedPageBreak/>
        <w:t>C. Securitate (7 produse) — WAF, Honeypot, NMS/NAC, SIEM, Email Security, NGFW centru + NGFW locații;</w:t>
      </w:r>
    </w:p>
    <w:p w14:paraId="03875806" w14:textId="77777777" w:rsidR="009C3D3E" w:rsidRDefault="00000000" w:rsidP="00816F39">
      <w:pPr>
        <w:pStyle w:val="ListBullet"/>
        <w:jc w:val="both"/>
      </w:pPr>
      <w:r>
        <w:t>D. Productivity (3 produse) — suite Office laptopuri, suite Office complete teren, antivirus EDR/XDR.</w:t>
      </w:r>
    </w:p>
    <w:p w14:paraId="7A488404" w14:textId="77777777" w:rsidR="009C3D3E" w:rsidRDefault="00000000" w:rsidP="00816F39">
      <w:pPr>
        <w:jc w:val="both"/>
      </w:pPr>
      <w:r>
        <w:rPr>
          <w:b/>
        </w:rPr>
        <w:t>Componenta hardware — detaliată în capitolul 6 al ofertei:</w:t>
      </w:r>
    </w:p>
    <w:p w14:paraId="4AFD833D" w14:textId="77777777" w:rsidR="009C3D3E" w:rsidRDefault="00000000" w:rsidP="00816F39">
      <w:pPr>
        <w:pStyle w:val="ListBullet"/>
        <w:jc w:val="both"/>
      </w:pPr>
      <w:r>
        <w:t>Echipamente de securitate pentru centrul de date și 42 locații DSVSA (NGFW redundant, switching, access point);</w:t>
      </w:r>
    </w:p>
    <w:p w14:paraId="7AA0A9AD" w14:textId="77777777" w:rsidR="009C3D3E" w:rsidRDefault="00000000" w:rsidP="00816F39">
      <w:pPr>
        <w:pStyle w:val="ListBullet"/>
        <w:jc w:val="both"/>
      </w:pPr>
      <w:r>
        <w:t>100 laptopuri pentru ANSVSA centru — conforme cerinței DNSH (consum în veghe ≤20 Wh) — vezi §1.5 și capitolul 11;</w:t>
      </w:r>
    </w:p>
    <w:p w14:paraId="009A4EFB" w14:textId="77777777" w:rsidR="009C3D3E" w:rsidRDefault="00000000" w:rsidP="00816F39">
      <w:pPr>
        <w:pStyle w:val="ListBullet"/>
        <w:jc w:val="both"/>
      </w:pPr>
      <w:r>
        <w:t>336 complete de teren pentru echipele de inspecție (8 per județ × 42 DSVSA);</w:t>
      </w:r>
    </w:p>
    <w:p w14:paraId="3AD4B3D9" w14:textId="77777777" w:rsidR="009C3D3E" w:rsidRDefault="00000000" w:rsidP="00816F39">
      <w:pPr>
        <w:pStyle w:val="ListBullet"/>
        <w:jc w:val="both"/>
      </w:pPr>
      <w:r>
        <w:t>126 dispozitive IoT pentru integrarea echipamentelor de laborator (3 per institut și pe fiecare DSVSA cu activitate de laborator).</w:t>
      </w:r>
    </w:p>
    <w:p w14:paraId="0D045C4F" w14:textId="77777777" w:rsidR="009C3D3E" w:rsidRDefault="00000000" w:rsidP="00816F39">
      <w:pPr>
        <w:jc w:val="both"/>
      </w:pPr>
      <w:r>
        <w:t>Servicii — durată implementare 18 luni, conform cap. 6 al Caietului de Sarcini; garanție extinsă 3 ani de la data Punerii în Producție pentru ansamblul HW + SW + sistem informatic (detalii cap. 7).</w:t>
      </w:r>
    </w:p>
    <w:p w14:paraId="7B5604C8" w14:textId="77777777" w:rsidR="009C3D3E" w:rsidRDefault="00000000" w:rsidP="00816F39">
      <w:pPr>
        <w:pStyle w:val="Heading2"/>
        <w:jc w:val="both"/>
      </w:pPr>
      <w:r>
        <w:t>1.4 Conformitate legală și standarde aplicabile</w:t>
      </w:r>
    </w:p>
    <w:p w14:paraId="2E0274CD" w14:textId="77777777" w:rsidR="009C3D3E" w:rsidRDefault="00000000" w:rsidP="00816F39">
      <w:pPr>
        <w:jc w:val="both"/>
      </w:pPr>
      <w:r>
        <w:t>Soluția propusă este conformă cu cadrul legislativ și standardele de mai jos. Lista exhaustivă a cerințelor individuale și modul lor de îndeplinire sunt în capitolul 8 (Conformitate cu specificațiile tehnice) și în Anexa F — Matricea de Conformitate (1.294 cerințe).</w:t>
      </w:r>
    </w:p>
    <w:tbl>
      <w:tblPr>
        <w:tblStyle w:val="LightGrid-Accent1"/>
        <w:tblW w:w="0" w:type="auto"/>
        <w:tblLook w:val="04A0" w:firstRow="1" w:lastRow="0" w:firstColumn="1" w:lastColumn="0" w:noHBand="0" w:noVBand="1"/>
      </w:tblPr>
      <w:tblGrid>
        <w:gridCol w:w="2791"/>
        <w:gridCol w:w="6065"/>
      </w:tblGrid>
      <w:tr w:rsidR="009C3D3E" w14:paraId="7678DB47" w14:textId="77777777" w:rsidTr="009C3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47B7F6" w14:textId="77777777" w:rsidR="009C3D3E" w:rsidRDefault="00000000" w:rsidP="00816F39">
            <w:pPr>
              <w:jc w:val="both"/>
            </w:pPr>
            <w:r>
              <w:rPr>
                <w:sz w:val="20"/>
              </w:rPr>
              <w:t>Domeniu</w:t>
            </w:r>
          </w:p>
        </w:tc>
        <w:tc>
          <w:tcPr>
            <w:tcW w:w="6236" w:type="dxa"/>
          </w:tcPr>
          <w:p w14:paraId="6D6929E3" w14:textId="77777777" w:rsidR="009C3D3E" w:rsidRDefault="00000000" w:rsidP="00816F39">
            <w:pPr>
              <w:jc w:val="both"/>
              <w:cnfStyle w:val="100000000000" w:firstRow="1" w:lastRow="0" w:firstColumn="0" w:lastColumn="0" w:oddVBand="0" w:evenVBand="0" w:oddHBand="0" w:evenHBand="0" w:firstRowFirstColumn="0" w:firstRowLastColumn="0" w:lastRowFirstColumn="0" w:lastRowLastColumn="0"/>
            </w:pPr>
            <w:r>
              <w:rPr>
                <w:sz w:val="20"/>
              </w:rPr>
              <w:t>Act normativ / standard</w:t>
            </w:r>
          </w:p>
        </w:tc>
      </w:tr>
      <w:tr w:rsidR="009C3D3E" w14:paraId="2E1586C6"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5812FB4" w14:textId="77777777" w:rsidR="009C3D3E" w:rsidRDefault="00000000" w:rsidP="00816F39">
            <w:pPr>
              <w:jc w:val="both"/>
            </w:pPr>
            <w:r>
              <w:rPr>
                <w:sz w:val="20"/>
              </w:rPr>
              <w:t>Cloud guvernamental</w:t>
            </w:r>
          </w:p>
        </w:tc>
        <w:tc>
          <w:tcPr>
            <w:tcW w:w="6236" w:type="dxa"/>
          </w:tcPr>
          <w:p w14:paraId="180FB814"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OUG nr. 89/2022</w:t>
            </w:r>
          </w:p>
        </w:tc>
      </w:tr>
      <w:tr w:rsidR="009C3D3E" w14:paraId="24CAC691"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AE0138E" w14:textId="77777777" w:rsidR="009C3D3E" w:rsidRDefault="00000000" w:rsidP="00816F39">
            <w:pPr>
              <w:jc w:val="both"/>
            </w:pPr>
            <w:r>
              <w:rPr>
                <w:sz w:val="20"/>
              </w:rPr>
              <w:t>Securitate cibernetică</w:t>
            </w:r>
          </w:p>
        </w:tc>
        <w:tc>
          <w:tcPr>
            <w:tcW w:w="6236" w:type="dxa"/>
          </w:tcPr>
          <w:p w14:paraId="515AD5D9"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Directiva (UE) 2022/2555 (NIS2); OUG nr. 155/2024 (transpunere NIS2); Legea nr. 362/2018 (Lege NIS)</w:t>
            </w:r>
          </w:p>
        </w:tc>
      </w:tr>
      <w:tr w:rsidR="009C3D3E" w14:paraId="2E122C9E"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2306F43" w14:textId="77777777" w:rsidR="009C3D3E" w:rsidRDefault="00000000" w:rsidP="00816F39">
            <w:pPr>
              <w:jc w:val="both"/>
            </w:pPr>
            <w:r>
              <w:rPr>
                <w:sz w:val="20"/>
              </w:rPr>
              <w:t>Protecția sistemelor IT publice</w:t>
            </w:r>
          </w:p>
        </w:tc>
        <w:tc>
          <w:tcPr>
            <w:tcW w:w="6236" w:type="dxa"/>
          </w:tcPr>
          <w:p w14:paraId="672914DC"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Legea nr. 354/2022 (context de securitate națională, restricții privind originea soluțiilor critice)</w:t>
            </w:r>
          </w:p>
        </w:tc>
      </w:tr>
      <w:tr w:rsidR="009C3D3E" w14:paraId="5F2C8E40"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A466412" w14:textId="77777777" w:rsidR="009C3D3E" w:rsidRDefault="00000000" w:rsidP="00816F39">
            <w:pPr>
              <w:jc w:val="both"/>
            </w:pPr>
            <w:r>
              <w:rPr>
                <w:sz w:val="20"/>
              </w:rPr>
              <w:t>Date personale</w:t>
            </w:r>
          </w:p>
        </w:tc>
        <w:tc>
          <w:tcPr>
            <w:tcW w:w="6236" w:type="dxa"/>
          </w:tcPr>
          <w:p w14:paraId="4979C2A2"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Regulamentul (UE) 2016/679 (GDPR); Legea nr. 190/2018; Legea nr. 363/2018</w:t>
            </w:r>
          </w:p>
        </w:tc>
      </w:tr>
      <w:tr w:rsidR="009C3D3E" w14:paraId="334D8766"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5A1F71" w14:textId="77777777" w:rsidR="009C3D3E" w:rsidRDefault="00000000" w:rsidP="00816F39">
            <w:pPr>
              <w:jc w:val="both"/>
            </w:pPr>
            <w:r>
              <w:rPr>
                <w:sz w:val="20"/>
              </w:rPr>
              <w:t>Semnătură electronică</w:t>
            </w:r>
          </w:p>
        </w:tc>
        <w:tc>
          <w:tcPr>
            <w:tcW w:w="6236" w:type="dxa"/>
          </w:tcPr>
          <w:p w14:paraId="5B7504FF"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Regulamentul (UE) 910/2014 (eIDAS); Legea nr. 455/2001</w:t>
            </w:r>
          </w:p>
        </w:tc>
      </w:tr>
      <w:tr w:rsidR="009C3D3E" w14:paraId="4F5E59E4"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5028F3" w14:textId="77777777" w:rsidR="009C3D3E" w:rsidRDefault="00000000" w:rsidP="00816F39">
            <w:pPr>
              <w:jc w:val="both"/>
            </w:pPr>
            <w:r>
              <w:rPr>
                <w:sz w:val="20"/>
              </w:rPr>
              <w:t>Interoperabilitate</w:t>
            </w:r>
          </w:p>
        </w:tc>
        <w:tc>
          <w:tcPr>
            <w:tcW w:w="6236" w:type="dxa"/>
          </w:tcPr>
          <w:p w14:paraId="5E3FC466"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SEMIC.EU; Ordinul MCID nr. 21286/26.10.2023; Legea nr. 242/2022 (PNI, RNR)</w:t>
            </w:r>
          </w:p>
        </w:tc>
      </w:tr>
      <w:tr w:rsidR="009C3D3E" w14:paraId="75935E41"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1AB5BB0" w14:textId="77777777" w:rsidR="009C3D3E" w:rsidRDefault="00000000" w:rsidP="00816F39">
            <w:pPr>
              <w:jc w:val="both"/>
            </w:pPr>
            <w:r>
              <w:rPr>
                <w:sz w:val="20"/>
              </w:rPr>
              <w:t>Accesibilitate</w:t>
            </w:r>
          </w:p>
        </w:tc>
        <w:tc>
          <w:tcPr>
            <w:tcW w:w="6236" w:type="dxa"/>
          </w:tcPr>
          <w:p w14:paraId="55E9634D"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WCAG 2.1 nivel AA; Carta UE a Drepturilor Fundamentale</w:t>
            </w:r>
          </w:p>
        </w:tc>
      </w:tr>
      <w:tr w:rsidR="009C3D3E" w14:paraId="7226EAFD"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193E949" w14:textId="77777777" w:rsidR="009C3D3E" w:rsidRDefault="00000000" w:rsidP="00816F39">
            <w:pPr>
              <w:jc w:val="both"/>
            </w:pPr>
            <w:r>
              <w:rPr>
                <w:sz w:val="20"/>
              </w:rPr>
              <w:t>Arhivare</w:t>
            </w:r>
          </w:p>
        </w:tc>
        <w:tc>
          <w:tcPr>
            <w:tcW w:w="6236" w:type="dxa"/>
          </w:tcPr>
          <w:p w14:paraId="12697129"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Legea nr. 16/1996 (Arhivele Naționale)</w:t>
            </w:r>
          </w:p>
        </w:tc>
      </w:tr>
      <w:tr w:rsidR="009C3D3E" w14:paraId="6CCD4D88"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A11D57C" w14:textId="77777777" w:rsidR="009C3D3E" w:rsidRDefault="00000000" w:rsidP="00816F39">
            <w:pPr>
              <w:jc w:val="both"/>
            </w:pPr>
            <w:r>
              <w:rPr>
                <w:sz w:val="20"/>
              </w:rPr>
              <w:t>Laboratoare</w:t>
            </w:r>
          </w:p>
        </w:tc>
        <w:tc>
          <w:tcPr>
            <w:tcW w:w="6236" w:type="dxa"/>
          </w:tcPr>
          <w:p w14:paraId="7937CD56"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SR EN ISO/IEC 17025; SR EN ISO/IEC 17043; cerințe RENAR</w:t>
            </w:r>
          </w:p>
        </w:tc>
      </w:tr>
      <w:tr w:rsidR="009C3D3E" w14:paraId="600FA158"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B244CD3" w14:textId="77777777" w:rsidR="009C3D3E" w:rsidRDefault="00000000" w:rsidP="00816F39">
            <w:pPr>
              <w:jc w:val="both"/>
            </w:pPr>
            <w:r>
              <w:rPr>
                <w:sz w:val="20"/>
              </w:rPr>
              <w:t>Plăți electronice</w:t>
            </w:r>
          </w:p>
        </w:tc>
        <w:tc>
          <w:tcPr>
            <w:tcW w:w="6236" w:type="dxa"/>
          </w:tcPr>
          <w:p w14:paraId="5AA3FC37"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Legea nr. 207/2015 (Cod fiscal procedural); OUG nr. 41/2016</w:t>
            </w:r>
          </w:p>
        </w:tc>
      </w:tr>
      <w:tr w:rsidR="009C3D3E" w14:paraId="5FB72802"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2ADA53A" w14:textId="77777777" w:rsidR="009C3D3E" w:rsidRDefault="00000000" w:rsidP="00816F39">
            <w:pPr>
              <w:jc w:val="both"/>
            </w:pPr>
            <w:r>
              <w:rPr>
                <w:sz w:val="20"/>
              </w:rPr>
              <w:t>Identificare animale</w:t>
            </w:r>
          </w:p>
        </w:tc>
        <w:tc>
          <w:tcPr>
            <w:tcW w:w="6236" w:type="dxa"/>
          </w:tcPr>
          <w:p w14:paraId="6AA8905D"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Reg. (CE) nr. 1760/2000; Reg. (UE) 2016/429; legislația națională specifică</w:t>
            </w:r>
          </w:p>
        </w:tc>
      </w:tr>
      <w:tr w:rsidR="009C3D3E" w14:paraId="58E1E2A8"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086C7F8" w14:textId="77777777" w:rsidR="009C3D3E" w:rsidRDefault="00000000" w:rsidP="00816F39">
            <w:pPr>
              <w:jc w:val="both"/>
            </w:pPr>
            <w:r>
              <w:rPr>
                <w:sz w:val="20"/>
              </w:rPr>
              <w:t>Sisteme de management</w:t>
            </w:r>
          </w:p>
        </w:tc>
        <w:tc>
          <w:tcPr>
            <w:tcW w:w="6236" w:type="dxa"/>
          </w:tcPr>
          <w:p w14:paraId="1DB23682"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ISO/IEC 27001 (securitate); ISO/IEC 27017 / 27018 (cloud); ISO 9001 (calitate); ISO/IEC 20000-1 (servicii IT)</w:t>
            </w:r>
          </w:p>
        </w:tc>
      </w:tr>
    </w:tbl>
    <w:p w14:paraId="6CC1212B" w14:textId="77777777" w:rsidR="009C3D3E" w:rsidRDefault="00000000" w:rsidP="00816F39">
      <w:pPr>
        <w:pStyle w:val="Heading2"/>
        <w:jc w:val="both"/>
      </w:pPr>
      <w:r>
        <w:lastRenderedPageBreak/>
        <w:t>1.5 Confirmarea acoperirii cerințelor eliminatorii</w:t>
      </w:r>
    </w:p>
    <w:p w14:paraId="48225C2B" w14:textId="77777777" w:rsidR="009C3D3E" w:rsidRDefault="00000000" w:rsidP="00816F39">
      <w:pPr>
        <w:jc w:val="both"/>
      </w:pPr>
      <w:r>
        <w:t>Cerințele eliminatorii din Caietul de Sarcini sunt confirmate prin prezenta ofertă, după cum urmează:</w:t>
      </w:r>
    </w:p>
    <w:p w14:paraId="6936A6AD" w14:textId="77777777" w:rsidR="009C3D3E" w:rsidRDefault="00000000" w:rsidP="00816F39">
      <w:pPr>
        <w:jc w:val="both"/>
      </w:pPr>
      <w:r>
        <w:rPr>
          <w:b/>
        </w:rPr>
        <w:t xml:space="preserve">a) Acoperirea tuturor celor 1.294 cerințe individuale </w:t>
      </w:r>
      <w:r>
        <w:t>extrase din cap. 3.4 al Caietului de Sarcini — matricea de conformitate este în Anexa F a ofertei.</w:t>
      </w:r>
    </w:p>
    <w:p w14:paraId="70A51881" w14:textId="77777777" w:rsidR="009C3D3E" w:rsidRDefault="00000000" w:rsidP="00816F39">
      <w:pPr>
        <w:jc w:val="both"/>
      </w:pPr>
      <w:r>
        <w:rPr>
          <w:b/>
        </w:rPr>
        <w:t xml:space="preserve">b) Demonstrarea celor 33 cerințe DEMO </w:t>
      </w:r>
      <w:r>
        <w:t>— scenariul video este detaliat în capitolul 14 al ofertei, iar înregistrarea video este atașată separat. Cerințele DEMO acoperă, fără limitare: înregistrarea documentelor de intrare/ieșire cu OCR și indexare; integrarea ROeID + eIDAS + 2FA; modificarea diagramelor BPMN/UML din UI; formulare drag-and-drop cu asistență chatbot AI; integrări terțe și GIS; lucru offline cu sincronizare; fluxuri configurabile cu min. 5 pași și 3 roluri; semnătură electronică calificată eIDAS + semnătură olografă captată pe pad USB; editarea documentelor Word/Excel direct în DMS; tipărirea plicurilor și a borderourilor cu coduri de bare; dashboard-uri drag-and-drop; multi-tenant pe aceeași instalare cu izolare totală; API REST documentat Swagger / OpenAPI 3.0.</w:t>
      </w:r>
    </w:p>
    <w:p w14:paraId="08AA0F04" w14:textId="77777777" w:rsidR="009C3D3E" w:rsidRDefault="00000000" w:rsidP="00816F39">
      <w:pPr>
        <w:jc w:val="both"/>
      </w:pPr>
      <w:r>
        <w:rPr>
          <w:b/>
        </w:rPr>
        <w:t xml:space="preserve">c) Acceptarea explicită a condițiilor de drepturi de proprietate intelectuală </w:t>
      </w:r>
      <w:r>
        <w:t>din capitolul 12 al Caietului de Sarcini: transferul drepturilor de proprietate către Beneficiar pentru toate dezvoltările și customizările realizate în cadrul contractului; licențe perpetue + cod sursă pentru componentele aplicative dezvoltate / customizate; documentația tehnică completă livrată în format editabil. Acceptarea este reluată formal în capitolul 15 al ofertei (Declarații obligatorii).</w:t>
      </w:r>
    </w:p>
    <w:p w14:paraId="7F0ED38E" w14:textId="77777777" w:rsidR="009C3D3E" w:rsidRDefault="00000000" w:rsidP="00816F39">
      <w:pPr>
        <w:jc w:val="both"/>
      </w:pPr>
      <w:r>
        <w:rPr>
          <w:b/>
        </w:rPr>
        <w:t xml:space="preserve">d) Găzduirea exclusivă în Cloud Guvernamental </w:t>
      </w:r>
      <w:r>
        <w:t>conform OUG nr. 89/2022, cu arhitectură Cloud-Native containerizată — detalii în capitolul 5.</w:t>
      </w:r>
    </w:p>
    <w:p w14:paraId="76D6FD3F" w14:textId="77777777" w:rsidR="009C3D3E" w:rsidRDefault="00000000" w:rsidP="00816F39">
      <w:pPr>
        <w:jc w:val="both"/>
      </w:pPr>
      <w:r>
        <w:rPr>
          <w:b/>
        </w:rPr>
        <w:t xml:space="preserve">e) Conformitatea cu Legea nr. 354/2022 </w:t>
      </w:r>
      <w:r>
        <w:t>— produsele software și hardware ofertate respectă restricțiile privind originea soluțiilor critice. Lista producătorilor și țara de origine este în Anexa B și în Lista_Software_SIDISVA.</w:t>
      </w:r>
    </w:p>
    <w:p w14:paraId="30BE5419" w14:textId="77777777" w:rsidR="009C3D3E" w:rsidRDefault="00000000" w:rsidP="00816F39">
      <w:pPr>
        <w:pStyle w:val="Heading2"/>
        <w:jc w:val="both"/>
      </w:pPr>
      <w:r>
        <w:t>1.6 Punctaj țintă pe factorii de evaluare</w:t>
      </w:r>
    </w:p>
    <w:p w14:paraId="10AD0074" w14:textId="77777777" w:rsidR="009C3D3E" w:rsidRDefault="00000000" w:rsidP="00816F39">
      <w:pPr>
        <w:jc w:val="both"/>
      </w:pPr>
      <w:r>
        <w:t>Criteriul de atribuire este „Cel mai bun raport calitate-preț", cu pondere de 60% pentru componenta tehnică și 40% pentru preț, evaluat pe următorii factori:</w:t>
      </w:r>
    </w:p>
    <w:tbl>
      <w:tblPr>
        <w:tblStyle w:val="LightGrid-Accent1"/>
        <w:tblW w:w="0" w:type="auto"/>
        <w:tblLook w:val="04A0" w:firstRow="1" w:lastRow="0" w:firstColumn="1" w:lastColumn="0" w:noHBand="0" w:noVBand="1"/>
      </w:tblPr>
      <w:tblGrid>
        <w:gridCol w:w="1963"/>
        <w:gridCol w:w="1390"/>
        <w:gridCol w:w="5503"/>
      </w:tblGrid>
      <w:tr w:rsidR="009C3D3E" w14:paraId="410C2F27" w14:textId="77777777" w:rsidTr="009C3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F70C8D" w14:textId="77777777" w:rsidR="009C3D3E" w:rsidRDefault="00000000" w:rsidP="00816F39">
            <w:pPr>
              <w:jc w:val="both"/>
            </w:pPr>
            <w:r>
              <w:rPr>
                <w:sz w:val="20"/>
              </w:rPr>
              <w:t>Factor</w:t>
            </w:r>
          </w:p>
        </w:tc>
        <w:tc>
          <w:tcPr>
            <w:tcW w:w="1417" w:type="dxa"/>
          </w:tcPr>
          <w:p w14:paraId="3BA94FB8" w14:textId="77777777" w:rsidR="009C3D3E" w:rsidRDefault="00000000" w:rsidP="00816F39">
            <w:pPr>
              <w:jc w:val="both"/>
              <w:cnfStyle w:val="100000000000" w:firstRow="1" w:lastRow="0" w:firstColumn="0" w:lastColumn="0" w:oddVBand="0" w:evenVBand="0" w:oddHBand="0" w:evenHBand="0" w:firstRowFirstColumn="0" w:firstRowLastColumn="0" w:lastRowFirstColumn="0" w:lastRowLastColumn="0"/>
            </w:pPr>
            <w:r>
              <w:rPr>
                <w:sz w:val="20"/>
              </w:rPr>
              <w:t>Pondere</w:t>
            </w:r>
          </w:p>
        </w:tc>
        <w:tc>
          <w:tcPr>
            <w:tcW w:w="5669" w:type="dxa"/>
          </w:tcPr>
          <w:p w14:paraId="69641F28" w14:textId="77777777" w:rsidR="009C3D3E" w:rsidRDefault="00000000" w:rsidP="00816F39">
            <w:pPr>
              <w:jc w:val="both"/>
              <w:cnfStyle w:val="100000000000" w:firstRow="1" w:lastRow="0" w:firstColumn="0" w:lastColumn="0" w:oddVBand="0" w:evenVBand="0" w:oddHBand="0" w:evenHBand="0" w:firstRowFirstColumn="0" w:firstRowLastColumn="0" w:lastRowFirstColumn="0" w:lastRowLastColumn="0"/>
            </w:pPr>
            <w:r>
              <w:rPr>
                <w:sz w:val="20"/>
              </w:rPr>
              <w:t>Țintă în ofertă</w:t>
            </w:r>
          </w:p>
        </w:tc>
      </w:tr>
      <w:tr w:rsidR="009C3D3E" w14:paraId="7377F9AB"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B79BB0C" w14:textId="77777777" w:rsidR="009C3D3E" w:rsidRDefault="00000000" w:rsidP="00816F39">
            <w:pPr>
              <w:jc w:val="both"/>
            </w:pPr>
            <w:r>
              <w:rPr>
                <w:sz w:val="20"/>
              </w:rPr>
              <w:t>P1 — Prețul ofertei</w:t>
            </w:r>
          </w:p>
        </w:tc>
        <w:tc>
          <w:tcPr>
            <w:tcW w:w="1417" w:type="dxa"/>
          </w:tcPr>
          <w:p w14:paraId="58096099"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40 puncte</w:t>
            </w:r>
          </w:p>
        </w:tc>
        <w:tc>
          <w:tcPr>
            <w:tcW w:w="5669" w:type="dxa"/>
          </w:tcPr>
          <w:p w14:paraId="7ACBB1FC"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Preț competitiv care respectă cele două plafoane procentuale (max. 20% hardware + servicii instalare/configurare/punere în producție; min. 10% securitate cibernetică) și se încadrează în valoarea estimată de 85.418.857,53 lei fără TVA</w:t>
            </w:r>
          </w:p>
        </w:tc>
      </w:tr>
      <w:tr w:rsidR="009C3D3E" w14:paraId="2426D7E5"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B20F54" w14:textId="77777777" w:rsidR="009C3D3E" w:rsidRDefault="00000000" w:rsidP="00816F39">
            <w:pPr>
              <w:jc w:val="both"/>
            </w:pPr>
            <w:r>
              <w:rPr>
                <w:sz w:val="20"/>
              </w:rPr>
              <w:t>P2 — Experiența celor 6 experți cheie punctați (5p × 6)</w:t>
            </w:r>
          </w:p>
        </w:tc>
        <w:tc>
          <w:tcPr>
            <w:tcW w:w="1417" w:type="dxa"/>
          </w:tcPr>
          <w:p w14:paraId="3602ED3F"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30 puncte</w:t>
            </w:r>
          </w:p>
        </w:tc>
        <w:tc>
          <w:tcPr>
            <w:tcW w:w="5669" w:type="dxa"/>
          </w:tcPr>
          <w:p w14:paraId="29545AA9"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Țintă scor maxim — câte 5+ proiecte / contracte demonstrabile per expert, pentru sisteme informatice cu min. 7 module interconectate + min. 1 modul de tip portal; certificările cerute (PMP/PRINCE2; business analysis; arhitectură enterprise + producător DMS; Scrum/Agile + cloud; Lean Six Sigma; administrare/HA/securitate BD ofertată)</w:t>
            </w:r>
          </w:p>
        </w:tc>
      </w:tr>
      <w:tr w:rsidR="009C3D3E" w14:paraId="63CF4C0F"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1351F26" w14:textId="77777777" w:rsidR="009C3D3E" w:rsidRDefault="00000000" w:rsidP="00816F39">
            <w:pPr>
              <w:jc w:val="both"/>
            </w:pPr>
            <w:r>
              <w:rPr>
                <w:sz w:val="20"/>
              </w:rPr>
              <w:t xml:space="preserve">P3 — Metodologia </w:t>
            </w:r>
            <w:r>
              <w:rPr>
                <w:sz w:val="20"/>
              </w:rPr>
              <w:lastRenderedPageBreak/>
              <w:t>de implementare (subfactori 10p + 10p)</w:t>
            </w:r>
          </w:p>
        </w:tc>
        <w:tc>
          <w:tcPr>
            <w:tcW w:w="1417" w:type="dxa"/>
          </w:tcPr>
          <w:p w14:paraId="6DF895B2"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lastRenderedPageBreak/>
              <w:t>20 puncte</w:t>
            </w:r>
          </w:p>
        </w:tc>
        <w:tc>
          <w:tcPr>
            <w:tcW w:w="5669" w:type="dxa"/>
          </w:tcPr>
          <w:p w14:paraId="7493C3E6"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 xml:space="preserve">Țintă calificativ „Excepțional" la ambii subfactori — metodologii </w:t>
            </w:r>
            <w:r>
              <w:rPr>
                <w:sz w:val="20"/>
              </w:rPr>
              <w:lastRenderedPageBreak/>
              <w:t>recunoscute prezentate detaliat (PMBOK, ISO 21500, ITIL, TOGAF, ISO 27001); adaptare specifică SIDISVA cu drum critic + registru de riscuri + ipoteze; inovație concretă (IA pentru calitate date BND-SNIIA, semnătură combinată olografă + digitală); securitate informatică demonstrată concret prin defense-in-depth, SIEM 24×7, IAM, criptare</w:t>
            </w:r>
          </w:p>
        </w:tc>
      </w:tr>
      <w:tr w:rsidR="009C3D3E" w14:paraId="0331B001"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2A5BEE2" w14:textId="77777777" w:rsidR="009C3D3E" w:rsidRDefault="00000000" w:rsidP="00816F39">
            <w:pPr>
              <w:jc w:val="both"/>
            </w:pPr>
            <w:r>
              <w:rPr>
                <w:sz w:val="20"/>
              </w:rPr>
              <w:lastRenderedPageBreak/>
              <w:t>P4 — DNSH (laptop consum veghe 5p + ambalaje/livrare 5p)</w:t>
            </w:r>
          </w:p>
        </w:tc>
        <w:tc>
          <w:tcPr>
            <w:tcW w:w="1417" w:type="dxa"/>
          </w:tcPr>
          <w:p w14:paraId="4B989900"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10 puncte</w:t>
            </w:r>
          </w:p>
        </w:tc>
        <w:tc>
          <w:tcPr>
            <w:tcW w:w="5669" w:type="dxa"/>
          </w:tcPr>
          <w:p w14:paraId="383277FB"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Țintă scor maxim — laptopuri certificate EU Ecolabel cu consum măsurat sub 20 Wh în modul veghe (rapoarte de testare atașate); ambalaje reciclabile/reutilizabile + livrare cu flotă electrică/hibridă (declarații furnizori atașate)</w:t>
            </w:r>
          </w:p>
        </w:tc>
      </w:tr>
    </w:tbl>
    <w:p w14:paraId="2439C558" w14:textId="77777777" w:rsidR="009C3D3E" w:rsidRDefault="00000000" w:rsidP="00816F39">
      <w:pPr>
        <w:jc w:val="both"/>
      </w:pPr>
      <w:r>
        <w:t>Țintă totală: punctaj maxim posibil pe componenta tehnică (60 puncte din 60), cu plus oferta de preț competitivă pentru a maximiza scorul P1.</w:t>
      </w:r>
    </w:p>
    <w:p w14:paraId="5754968A" w14:textId="77777777" w:rsidR="009C3D3E" w:rsidRDefault="00000000" w:rsidP="00816F39">
      <w:pPr>
        <w:pStyle w:val="Heading2"/>
        <w:jc w:val="both"/>
      </w:pPr>
      <w:r>
        <w:t>1.7 Angajamentele ofertantului</w:t>
      </w:r>
    </w:p>
    <w:p w14:paraId="6320073E" w14:textId="77777777" w:rsidR="009C3D3E" w:rsidRDefault="00000000" w:rsidP="00816F39">
      <w:pPr>
        <w:jc w:val="both"/>
      </w:pPr>
      <w:r>
        <w:t>&lt;LIDER&gt;, în numele asocierii cu &lt;PARTENER&gt;, se angajează prin prezenta ofertă să:</w:t>
      </w:r>
    </w:p>
    <w:p w14:paraId="5EC2D0EE" w14:textId="77777777" w:rsidR="009C3D3E" w:rsidRDefault="00000000" w:rsidP="00816F39">
      <w:pPr>
        <w:pStyle w:val="ListBullet"/>
        <w:jc w:val="both"/>
      </w:pPr>
      <w:r>
        <w:t>Respecte integral cerințele Caietului de Sarcini și ale Fișei de date a achiziției;</w:t>
      </w:r>
    </w:p>
    <w:p w14:paraId="72D61A84" w14:textId="77777777" w:rsidR="009C3D3E" w:rsidRDefault="00000000" w:rsidP="00816F39">
      <w:pPr>
        <w:pStyle w:val="ListBullet"/>
        <w:jc w:val="both"/>
      </w:pPr>
      <w:r>
        <w:t>Livreze cele 14 componente funcționale conform descrierii din capitolul 4 al ofertei, în cele 18 luni de implementare;</w:t>
      </w:r>
    </w:p>
    <w:p w14:paraId="1AC434EA" w14:textId="77777777" w:rsidR="009C3D3E" w:rsidRDefault="00000000" w:rsidP="00816F39">
      <w:pPr>
        <w:pStyle w:val="ListBullet"/>
        <w:jc w:val="both"/>
      </w:pPr>
      <w:r>
        <w:t>Asigure cele ≥56 servicii electronice publice (indicator RCR11 POCIDIF);</w:t>
      </w:r>
    </w:p>
    <w:p w14:paraId="742EAB54" w14:textId="77777777" w:rsidR="009C3D3E" w:rsidRDefault="00000000" w:rsidP="00816F39">
      <w:pPr>
        <w:pStyle w:val="ListBullet"/>
        <w:jc w:val="both"/>
      </w:pPr>
      <w:r>
        <w:t>Demonstreze toate cele 33 cerințe DEMO din Caietul de Sarcini — atât în înregistrarea video atașată ofertei, cât și la sediul ANSVSA în max. 5 zile lucrătoare de la cerere;</w:t>
      </w:r>
    </w:p>
    <w:p w14:paraId="3D6FA9CE" w14:textId="77777777" w:rsidR="009C3D3E" w:rsidRDefault="00000000" w:rsidP="00816F39">
      <w:pPr>
        <w:pStyle w:val="ListBullet"/>
        <w:jc w:val="both"/>
      </w:pPr>
      <w:r>
        <w:t>Realizeze integrarea ulterioară a sistemelor guvernamentale care nu sunt încă disponibile cu API la momentul implementării (PNI, PCUe/PDURo, alte) — fără cost suplimentar, în perioada de garanție, conform abordării solicitate prin Caietul de Sarcini;</w:t>
      </w:r>
    </w:p>
    <w:p w14:paraId="7FD21A13" w14:textId="77777777" w:rsidR="009C3D3E" w:rsidRDefault="00000000" w:rsidP="00816F39">
      <w:pPr>
        <w:pStyle w:val="ListBullet"/>
        <w:jc w:val="both"/>
      </w:pPr>
      <w:r>
        <w:t>Asigure trasabilitatea cerințelor pe traseul Caiet de Sarcini → Document de Analiză → Scenarii de Testare → Recepție Finală — instrument prezentat în capitolul 13;</w:t>
      </w:r>
    </w:p>
    <w:p w14:paraId="3A3F4DBA" w14:textId="77777777" w:rsidR="009C3D3E" w:rsidRDefault="00000000" w:rsidP="00816F39">
      <w:pPr>
        <w:pStyle w:val="ListBullet"/>
        <w:jc w:val="both"/>
      </w:pPr>
      <w:r>
        <w:t>Acorde garanție extinsă 3 ani de la data Punerii în Producție, pentru întregul ansamblu (HW + SW + sistem informatic), cu SLA cu 4 niveluri de severitate (Critic / Major / Mediu / Minor) și timpi de răspuns / remediere conform capitolului 7;</w:t>
      </w:r>
    </w:p>
    <w:p w14:paraId="2995B81B" w14:textId="77777777" w:rsidR="009C3D3E" w:rsidRDefault="00000000" w:rsidP="00816F39">
      <w:pPr>
        <w:pStyle w:val="ListBullet"/>
        <w:jc w:val="both"/>
      </w:pPr>
      <w:r>
        <w:t>Mențină valabilitatea ofertei pe perioada de 120 zile de la data limită de depunere a ofertelor, conform Fișei de date.</w:t>
      </w:r>
    </w:p>
    <w:p w14:paraId="6FC4ADFC" w14:textId="77777777" w:rsidR="009C3D3E" w:rsidRDefault="00000000" w:rsidP="00816F39">
      <w:pPr>
        <w:pStyle w:val="Heading2"/>
        <w:jc w:val="both"/>
      </w:pPr>
      <w:r>
        <w:t>1.8 Sinteza ofertei</w:t>
      </w:r>
    </w:p>
    <w:tbl>
      <w:tblPr>
        <w:tblStyle w:val="LightGrid-Accent1"/>
        <w:tblW w:w="0" w:type="auto"/>
        <w:tblLook w:val="04A0" w:firstRow="1" w:lastRow="0" w:firstColumn="1" w:lastColumn="0" w:noHBand="0" w:noVBand="1"/>
      </w:tblPr>
      <w:tblGrid>
        <w:gridCol w:w="3050"/>
        <w:gridCol w:w="5806"/>
      </w:tblGrid>
      <w:tr w:rsidR="009C3D3E" w14:paraId="1FB60556" w14:textId="77777777" w:rsidTr="009C3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7539601" w14:textId="77777777" w:rsidR="009C3D3E" w:rsidRDefault="00000000" w:rsidP="00816F39">
            <w:pPr>
              <w:jc w:val="both"/>
            </w:pPr>
            <w:r>
              <w:rPr>
                <w:sz w:val="20"/>
              </w:rPr>
              <w:t>Element</w:t>
            </w:r>
          </w:p>
        </w:tc>
        <w:tc>
          <w:tcPr>
            <w:tcW w:w="5953" w:type="dxa"/>
          </w:tcPr>
          <w:p w14:paraId="0CAE8F24" w14:textId="77777777" w:rsidR="009C3D3E" w:rsidRDefault="00000000" w:rsidP="00816F39">
            <w:pPr>
              <w:jc w:val="both"/>
              <w:cnfStyle w:val="100000000000" w:firstRow="1" w:lastRow="0" w:firstColumn="0" w:lastColumn="0" w:oddVBand="0" w:evenVBand="0" w:oddHBand="0" w:evenHBand="0" w:firstRowFirstColumn="0" w:firstRowLastColumn="0" w:lastRowFirstColumn="0" w:lastRowLastColumn="0"/>
            </w:pPr>
            <w:r>
              <w:rPr>
                <w:sz w:val="20"/>
              </w:rPr>
              <w:t>Valoare propusă</w:t>
            </w:r>
          </w:p>
        </w:tc>
      </w:tr>
      <w:tr w:rsidR="009C3D3E" w14:paraId="4A0E648B"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4F782FE" w14:textId="77777777" w:rsidR="009C3D3E" w:rsidRDefault="00000000" w:rsidP="00816F39">
            <w:pPr>
              <w:jc w:val="both"/>
            </w:pPr>
            <w:r>
              <w:rPr>
                <w:sz w:val="20"/>
              </w:rPr>
              <w:t>Ofertant</w:t>
            </w:r>
          </w:p>
        </w:tc>
        <w:tc>
          <w:tcPr>
            <w:tcW w:w="5953" w:type="dxa"/>
          </w:tcPr>
          <w:p w14:paraId="46692071"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&lt;LIDER&gt; (lider asociere) + &lt;PARTENER&gt; (asociat / subcontractant)</w:t>
            </w:r>
          </w:p>
        </w:tc>
      </w:tr>
      <w:tr w:rsidR="009C3D3E" w14:paraId="6F093C4A"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5340C01" w14:textId="77777777" w:rsidR="009C3D3E" w:rsidRDefault="00000000" w:rsidP="00816F39">
            <w:pPr>
              <w:jc w:val="both"/>
            </w:pPr>
            <w:r>
              <w:rPr>
                <w:sz w:val="20"/>
              </w:rPr>
              <w:t>Procedură</w:t>
            </w:r>
          </w:p>
        </w:tc>
        <w:tc>
          <w:tcPr>
            <w:tcW w:w="5953" w:type="dxa"/>
          </w:tcPr>
          <w:p w14:paraId="58BD3E3B"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CN1089237 (SEAP), Caiet de Sarcini nr. 7574/CP/2025</w:t>
            </w:r>
          </w:p>
        </w:tc>
      </w:tr>
      <w:tr w:rsidR="009C3D3E" w14:paraId="6837DD6C"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05AE170" w14:textId="77777777" w:rsidR="009C3D3E" w:rsidRDefault="00000000" w:rsidP="00816F39">
            <w:pPr>
              <w:jc w:val="both"/>
            </w:pPr>
            <w:r>
              <w:rPr>
                <w:sz w:val="20"/>
              </w:rPr>
              <w:t>Cod SMIS proiect</w:t>
            </w:r>
          </w:p>
        </w:tc>
        <w:tc>
          <w:tcPr>
            <w:tcW w:w="5953" w:type="dxa"/>
          </w:tcPr>
          <w:p w14:paraId="49875795"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336342 — POCIDIF 2021–2027, P2, Acțiunea 2.2</w:t>
            </w:r>
          </w:p>
        </w:tc>
      </w:tr>
      <w:tr w:rsidR="009C3D3E" w14:paraId="3D0F6FCD"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2366076" w14:textId="77777777" w:rsidR="009C3D3E" w:rsidRDefault="00000000" w:rsidP="00816F39">
            <w:pPr>
              <w:jc w:val="both"/>
            </w:pPr>
            <w:r>
              <w:rPr>
                <w:sz w:val="20"/>
              </w:rPr>
              <w:t>Soluție software aplicativă</w:t>
            </w:r>
          </w:p>
        </w:tc>
        <w:tc>
          <w:tcPr>
            <w:tcW w:w="5953" w:type="dxa"/>
          </w:tcPr>
          <w:p w14:paraId="3B1F5BBF"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VOGO Enterprise Suite (Portal + Chatbot + BND-SNIIA + Supraveghere + aplicații mobile) + ZIPPER DMS + &lt;FURNIZOR_LIMS&gt; + &lt;FURNIZOR_GIS&gt;</w:t>
            </w:r>
          </w:p>
        </w:tc>
      </w:tr>
      <w:tr w:rsidR="009C3D3E" w14:paraId="768812A1"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440D4E8" w14:textId="77777777" w:rsidR="009C3D3E" w:rsidRDefault="00000000" w:rsidP="00816F39">
            <w:pPr>
              <w:jc w:val="both"/>
            </w:pPr>
            <w:r>
              <w:rPr>
                <w:sz w:val="20"/>
              </w:rPr>
              <w:t>Soluție infrastructură SW</w:t>
            </w:r>
          </w:p>
        </w:tc>
        <w:tc>
          <w:tcPr>
            <w:tcW w:w="5953" w:type="dxa"/>
          </w:tcPr>
          <w:p w14:paraId="16347C0F"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27 produse pe 4 categorii (vezi §1.3 și Lista_Software_SIDISVA)</w:t>
            </w:r>
          </w:p>
        </w:tc>
      </w:tr>
      <w:tr w:rsidR="009C3D3E" w14:paraId="02BEA36E"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D3F99C1" w14:textId="77777777" w:rsidR="009C3D3E" w:rsidRDefault="00000000" w:rsidP="00816F39">
            <w:pPr>
              <w:jc w:val="both"/>
            </w:pPr>
            <w:r>
              <w:rPr>
                <w:sz w:val="20"/>
              </w:rPr>
              <w:t>Componente funcționale livrate</w:t>
            </w:r>
          </w:p>
        </w:tc>
        <w:tc>
          <w:tcPr>
            <w:tcW w:w="5953" w:type="dxa"/>
          </w:tcPr>
          <w:p w14:paraId="6BFA7746"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14 componente, conform cap. 3.4.2.1 – 3.4.2.14 din CdS</w:t>
            </w:r>
          </w:p>
        </w:tc>
      </w:tr>
      <w:tr w:rsidR="009C3D3E" w14:paraId="044ED463"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690751F" w14:textId="77777777" w:rsidR="009C3D3E" w:rsidRDefault="00000000" w:rsidP="00816F39">
            <w:pPr>
              <w:jc w:val="both"/>
            </w:pPr>
            <w:r>
              <w:rPr>
                <w:sz w:val="20"/>
              </w:rPr>
              <w:t>Servicii electronice publice</w:t>
            </w:r>
          </w:p>
        </w:tc>
        <w:tc>
          <w:tcPr>
            <w:tcW w:w="5953" w:type="dxa"/>
          </w:tcPr>
          <w:p w14:paraId="4EEA0F03"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≥56 servicii (indicator RCR11 POCIDIF)</w:t>
            </w:r>
          </w:p>
        </w:tc>
      </w:tr>
      <w:tr w:rsidR="009C3D3E" w14:paraId="4F34729A"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F369BD3" w14:textId="77777777" w:rsidR="009C3D3E" w:rsidRDefault="00000000" w:rsidP="00816F39">
            <w:pPr>
              <w:jc w:val="both"/>
            </w:pPr>
            <w:r>
              <w:rPr>
                <w:sz w:val="20"/>
              </w:rPr>
              <w:t>Utilizatori țintă</w:t>
            </w:r>
          </w:p>
        </w:tc>
        <w:tc>
          <w:tcPr>
            <w:tcW w:w="5953" w:type="dxa"/>
          </w:tcPr>
          <w:p w14:paraId="4D04E0E4"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≥185.000 utilizatori unici anual (cetățeni / fermieri / operatori economici)</w:t>
            </w:r>
          </w:p>
        </w:tc>
      </w:tr>
      <w:tr w:rsidR="009C3D3E" w14:paraId="333C10A8"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A1D6DBD" w14:textId="77777777" w:rsidR="009C3D3E" w:rsidRDefault="00000000" w:rsidP="00816F39">
            <w:pPr>
              <w:jc w:val="both"/>
            </w:pPr>
            <w:r>
              <w:rPr>
                <w:sz w:val="20"/>
              </w:rPr>
              <w:lastRenderedPageBreak/>
              <w:t>Instituții deservite</w:t>
            </w:r>
          </w:p>
        </w:tc>
        <w:tc>
          <w:tcPr>
            <w:tcW w:w="5953" w:type="dxa"/>
          </w:tcPr>
          <w:p w14:paraId="4607C5CD"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46 (ANSVSA centru + 42 DSVSA + 3 institute subordonate)</w:t>
            </w:r>
          </w:p>
        </w:tc>
      </w:tr>
      <w:tr w:rsidR="009C3D3E" w14:paraId="77A669AC"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257C5F0" w14:textId="77777777" w:rsidR="009C3D3E" w:rsidRDefault="00000000" w:rsidP="00816F39">
            <w:pPr>
              <w:jc w:val="both"/>
            </w:pPr>
            <w:r>
              <w:rPr>
                <w:sz w:val="20"/>
              </w:rPr>
              <w:t>Hardware</w:t>
            </w:r>
          </w:p>
        </w:tc>
        <w:tc>
          <w:tcPr>
            <w:tcW w:w="5953" w:type="dxa"/>
          </w:tcPr>
          <w:p w14:paraId="1C5157EA"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NGFW + switching + AP locații; 100 laptopuri DNSH; 336 complete teren; 126 IoT laborator</w:t>
            </w:r>
          </w:p>
        </w:tc>
      </w:tr>
      <w:tr w:rsidR="009C3D3E" w14:paraId="6ACA5456"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630D821" w14:textId="77777777" w:rsidR="009C3D3E" w:rsidRDefault="00000000" w:rsidP="00816F39">
            <w:pPr>
              <w:jc w:val="both"/>
            </w:pPr>
            <w:r>
              <w:rPr>
                <w:sz w:val="20"/>
              </w:rPr>
              <w:t>Cloud</w:t>
            </w:r>
          </w:p>
        </w:tc>
        <w:tc>
          <w:tcPr>
            <w:tcW w:w="5953" w:type="dxa"/>
          </w:tcPr>
          <w:p w14:paraId="5AE05283"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Cloud Guvernamental conform OUG nr. 89/2022, arhitectură Cloud-Native (Docker / Kubernetes)</w:t>
            </w:r>
          </w:p>
        </w:tc>
      </w:tr>
      <w:tr w:rsidR="009C3D3E" w14:paraId="645DBF0B"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F1264E5" w14:textId="77777777" w:rsidR="009C3D3E" w:rsidRDefault="00000000" w:rsidP="00816F39">
            <w:pPr>
              <w:jc w:val="both"/>
            </w:pPr>
            <w:r>
              <w:rPr>
                <w:sz w:val="20"/>
              </w:rPr>
              <w:t>Durată implementare</w:t>
            </w:r>
          </w:p>
        </w:tc>
        <w:tc>
          <w:tcPr>
            <w:tcW w:w="5953" w:type="dxa"/>
          </w:tcPr>
          <w:p w14:paraId="2FB5968F"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18 luni de la semnarea contractului (cap. 6 CdS)</w:t>
            </w:r>
          </w:p>
        </w:tc>
      </w:tr>
      <w:tr w:rsidR="009C3D3E" w14:paraId="6331B65F"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B76F3B1" w14:textId="77777777" w:rsidR="009C3D3E" w:rsidRDefault="00000000" w:rsidP="00816F39">
            <w:pPr>
              <w:jc w:val="both"/>
            </w:pPr>
            <w:r>
              <w:rPr>
                <w:sz w:val="20"/>
              </w:rPr>
              <w:t>Garanție</w:t>
            </w:r>
          </w:p>
        </w:tc>
        <w:tc>
          <w:tcPr>
            <w:tcW w:w="5953" w:type="dxa"/>
          </w:tcPr>
          <w:p w14:paraId="1D6FC051"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3 ani de la Punerea în Producție, pentru întreg ansamblul</w:t>
            </w:r>
          </w:p>
        </w:tc>
      </w:tr>
      <w:tr w:rsidR="009C3D3E" w14:paraId="21A23B47"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52E3747" w14:textId="77777777" w:rsidR="009C3D3E" w:rsidRDefault="00000000" w:rsidP="00816F39">
            <w:pPr>
              <w:jc w:val="both"/>
            </w:pPr>
            <w:r>
              <w:rPr>
                <w:sz w:val="20"/>
              </w:rPr>
              <w:t>Cadre legislative cheie</w:t>
            </w:r>
          </w:p>
        </w:tc>
        <w:tc>
          <w:tcPr>
            <w:tcW w:w="5953" w:type="dxa"/>
          </w:tcPr>
          <w:p w14:paraId="590B4D52"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OUG 89/2022; NIS2 (Dir. UE 2022/2555 + OUG 155/2024); L. 354/2022; GDPR; eIDAS; L. 16/1996</w:t>
            </w:r>
          </w:p>
        </w:tc>
      </w:tr>
      <w:tr w:rsidR="009C3D3E" w14:paraId="0E54B5AE"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7C8C944" w14:textId="77777777" w:rsidR="009C3D3E" w:rsidRDefault="00000000" w:rsidP="00816F39">
            <w:pPr>
              <w:jc w:val="both"/>
            </w:pPr>
            <w:r>
              <w:rPr>
                <w:sz w:val="20"/>
              </w:rPr>
              <w:t>Standarde</w:t>
            </w:r>
          </w:p>
        </w:tc>
        <w:tc>
          <w:tcPr>
            <w:tcW w:w="5953" w:type="dxa"/>
          </w:tcPr>
          <w:p w14:paraId="1CDE1191"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ISO/IEC 27001/27017/27018; ISO 9001; ISO/IEC 20000-1; SR EN ISO/IEC 17025; SR EN ISO/IEC 17043; HL7 FHIR; WCAG 2.1 AA</w:t>
            </w:r>
          </w:p>
        </w:tc>
      </w:tr>
      <w:tr w:rsidR="009C3D3E" w14:paraId="7BB6A323"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2CA8B0F" w14:textId="77777777" w:rsidR="009C3D3E" w:rsidRDefault="00000000" w:rsidP="00816F39">
            <w:pPr>
              <w:jc w:val="both"/>
            </w:pPr>
            <w:r>
              <w:rPr>
                <w:sz w:val="20"/>
              </w:rPr>
              <w:t>Metodologie</w:t>
            </w:r>
          </w:p>
        </w:tc>
        <w:tc>
          <w:tcPr>
            <w:tcW w:w="5953" w:type="dxa"/>
          </w:tcPr>
          <w:p w14:paraId="0F4596CB"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PMBOK pentru management proiect; BABOK pentru analiză; Agile / Scrum hibrid pentru dezvoltare; ITIL pentru servicii</w:t>
            </w:r>
          </w:p>
        </w:tc>
      </w:tr>
      <w:tr w:rsidR="009C3D3E" w14:paraId="321D759B"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89D7B2A" w14:textId="77777777" w:rsidR="009C3D3E" w:rsidRDefault="00000000" w:rsidP="00816F39">
            <w:pPr>
              <w:jc w:val="both"/>
            </w:pPr>
            <w:r>
              <w:rPr>
                <w:sz w:val="20"/>
              </w:rPr>
              <w:t>Acceptare drepturi IP (cap. 12 CdS)</w:t>
            </w:r>
          </w:p>
        </w:tc>
        <w:tc>
          <w:tcPr>
            <w:tcW w:w="5953" w:type="dxa"/>
          </w:tcPr>
          <w:p w14:paraId="3C8AC111"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Acceptat explicit (vezi §1.5.c și cap. 15 al ofertei)</w:t>
            </w:r>
          </w:p>
        </w:tc>
      </w:tr>
      <w:tr w:rsidR="009C3D3E" w14:paraId="3D0BD662"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F357947" w14:textId="77777777" w:rsidR="009C3D3E" w:rsidRDefault="00000000" w:rsidP="00816F39">
            <w:pPr>
              <w:jc w:val="both"/>
            </w:pPr>
            <w:r>
              <w:rPr>
                <w:sz w:val="20"/>
              </w:rPr>
              <w:t>Confirmare 33 cerințe DEMO</w:t>
            </w:r>
          </w:p>
        </w:tc>
        <w:tc>
          <w:tcPr>
            <w:tcW w:w="5953" w:type="dxa"/>
          </w:tcPr>
          <w:p w14:paraId="317A5496"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Scenariu video în cap. 14; demo la sediul ANSVSA în max. 5 zile lucrătoare la cerere</w:t>
            </w:r>
          </w:p>
        </w:tc>
      </w:tr>
      <w:tr w:rsidR="009C3D3E" w14:paraId="3CB9B7FD" w14:textId="77777777" w:rsidTr="009C3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A2C49EB" w14:textId="77777777" w:rsidR="009C3D3E" w:rsidRDefault="00000000" w:rsidP="00816F39">
            <w:pPr>
              <w:jc w:val="both"/>
            </w:pPr>
            <w:r>
              <w:rPr>
                <w:sz w:val="20"/>
              </w:rPr>
              <w:t>Validitate ofertă</w:t>
            </w:r>
          </w:p>
        </w:tc>
        <w:tc>
          <w:tcPr>
            <w:tcW w:w="5953" w:type="dxa"/>
          </w:tcPr>
          <w:p w14:paraId="601C6774" w14:textId="77777777" w:rsidR="009C3D3E" w:rsidRDefault="00000000" w:rsidP="00816F39">
            <w:pPr>
              <w:jc w:val="both"/>
              <w:cnfStyle w:val="000000100000" w:firstRow="0" w:lastRow="0" w:firstColumn="0" w:lastColumn="0" w:oddVBand="0" w:evenVBand="0" w:oddHBand="1" w:evenHBand="0" w:firstRowFirstColumn="0" w:firstRowLastColumn="0" w:lastRowFirstColumn="0" w:lastRowLastColumn="0"/>
            </w:pPr>
            <w:r>
              <w:rPr>
                <w:sz w:val="20"/>
              </w:rPr>
              <w:t>120 zile de la data limită de depunere</w:t>
            </w:r>
          </w:p>
        </w:tc>
      </w:tr>
      <w:tr w:rsidR="009C3D3E" w14:paraId="61CDB487" w14:textId="77777777" w:rsidTr="009C3D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BD43F80" w14:textId="77777777" w:rsidR="009C3D3E" w:rsidRDefault="00000000" w:rsidP="00816F39">
            <w:pPr>
              <w:jc w:val="both"/>
            </w:pPr>
            <w:r>
              <w:rPr>
                <w:sz w:val="20"/>
              </w:rPr>
              <w:t>Preț total (lei fără TVA)</w:t>
            </w:r>
          </w:p>
        </w:tc>
        <w:tc>
          <w:tcPr>
            <w:tcW w:w="5953" w:type="dxa"/>
          </w:tcPr>
          <w:p w14:paraId="5894DC21" w14:textId="77777777" w:rsidR="009C3D3E" w:rsidRDefault="00000000" w:rsidP="00816F39">
            <w:pPr>
              <w:jc w:val="both"/>
              <w:cnfStyle w:val="000000010000" w:firstRow="0" w:lastRow="0" w:firstColumn="0" w:lastColumn="0" w:oddVBand="0" w:evenVBand="0" w:oddHBand="0" w:evenHBand="1" w:firstRowFirstColumn="0" w:firstRowLastColumn="0" w:lastRowFirstColumn="0" w:lastRowLastColumn="0"/>
            </w:pPr>
            <w:r>
              <w:rPr>
                <w:sz w:val="20"/>
              </w:rPr>
              <w:t>Se completează la finalizarea propunerii financiare</w:t>
            </w:r>
          </w:p>
        </w:tc>
      </w:tr>
    </w:tbl>
    <w:p w14:paraId="2B939761" w14:textId="77777777" w:rsidR="009C3D3E" w:rsidRDefault="00000000" w:rsidP="00816F39">
      <w:pPr>
        <w:jc w:val="both"/>
      </w:pPr>
      <w:r>
        <w:t>Detaliile complete privind soluția, metodologia, echipa, planul de proiect, securitatea, garanția și conformitatea cu cerințele se regăsesc în capitolele 2 – 16 ale prezentei oferte tehnice și în anexele aferente.</w:t>
      </w:r>
    </w:p>
    <w:sectPr w:rsidR="009C3D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608512">
    <w:abstractNumId w:val="8"/>
  </w:num>
  <w:num w:numId="2" w16cid:durableId="637732969">
    <w:abstractNumId w:val="6"/>
  </w:num>
  <w:num w:numId="3" w16cid:durableId="1765224867">
    <w:abstractNumId w:val="5"/>
  </w:num>
  <w:num w:numId="4" w16cid:durableId="1482968863">
    <w:abstractNumId w:val="4"/>
  </w:num>
  <w:num w:numId="5" w16cid:durableId="1734237243">
    <w:abstractNumId w:val="7"/>
  </w:num>
  <w:num w:numId="6" w16cid:durableId="569191198">
    <w:abstractNumId w:val="3"/>
  </w:num>
  <w:num w:numId="7" w16cid:durableId="490488523">
    <w:abstractNumId w:val="2"/>
  </w:num>
  <w:num w:numId="8" w16cid:durableId="517962406">
    <w:abstractNumId w:val="1"/>
  </w:num>
  <w:num w:numId="9" w16cid:durableId="106175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F39"/>
    <w:rsid w:val="009C3D3E"/>
    <w:rsid w:val="00A930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35463"/>
  <w14:defaultImageDpi w14:val="300"/>
  <w15:docId w15:val="{76C77920-6CD2-4107-BBF8-D6FE4341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2119</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Barcutean | vogo.me</cp:lastModifiedBy>
  <cp:revision>2</cp:revision>
  <dcterms:created xsi:type="dcterms:W3CDTF">2013-12-23T23:15:00Z</dcterms:created>
  <dcterms:modified xsi:type="dcterms:W3CDTF">2026-05-14T23:45:00Z</dcterms:modified>
  <cp:category/>
</cp:coreProperties>
</file>