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pPr>
      <w:r>
        <w:rPr>
          <w:b/>
          <w:sz w:val="36"/>
        </w:rPr>
        <w:t>10. Securitate informatică și informațională</w:t>
      </w:r>
    </w:p>
    <w:p>
      <w:r>
        <w:t>Securitatea cibernetică și protecția informațiilor procesate de sistemul SIDISVA constituie pentru consorțiul condus de &lt;LIDER&gt; o prioritate strategică, integrată by-design în arhitectură și pe întregul ciclu de viață al proiectului. Prezentul capitol răspunde integral cerințelor explicite ale Caietului de Sarcini privind securitatea, anume:</w:t>
      </w:r>
    </w:p>
    <w:p>
      <w:pPr>
        <w:ind w:left="360"/>
      </w:pPr>
      <w:r>
        <w:t>• Cap. 3.4.1.2 — Prevederi de securitate (5 niveluri + 6 principii cibernetice)</w:t>
      </w:r>
    </w:p>
    <w:p>
      <w:pPr>
        <w:ind w:left="360"/>
      </w:pPr>
      <w:r>
        <w:t>• Cap. 3.4.1.3 — Cadrul legislativ aplicabil</w:t>
      </w:r>
    </w:p>
    <w:p>
      <w:pPr>
        <w:ind w:left="360"/>
      </w:pPr>
      <w:r>
        <w:t>• Cap. 3.4.6 — Securitatea sistemului (principiile CIA + tehnologii concrete)</w:t>
      </w:r>
    </w:p>
    <w:p>
      <w:pPr>
        <w:ind w:left="360"/>
      </w:pPr>
      <w:r>
        <w:t>• Cap. 3.4.7 — Confidențialitatea datelor (planuri obligatorii)</w:t>
      </w:r>
    </w:p>
    <w:p>
      <w:pPr>
        <w:ind w:left="360"/>
      </w:pPr>
      <w:r>
        <w:t>• Cap. 11 — Bugetul: minimum 10% pentru securitatea cibernetică</w:t>
      </w:r>
    </w:p>
    <w:p>
      <w:r>
        <w:t>Capitolul este structurat în 12 secțiuni care acoperă întregul spectru al securității: cadrul legal, principiile arhitecturale, arhitectura defense-in-depth pe 7 straturi cu produse concrete, mecanismele de detectare/răspuns, DevSecOps, protecția datelor personale, planurile obligatorii, conformitatea cu Legea 354/2022 și plafonul bugetar minim asigurat.</w:t>
      </w:r>
    </w:p>
    <w:p>
      <w:pPr>
        <w:spacing w:before="360" w:after="120"/>
      </w:pPr>
      <w:r>
        <w:rPr>
          <w:b/>
          <w:sz w:val="28"/>
        </w:rPr>
        <w:t>10.1 Cadrul legal aplicabil (cf. cap. 3.4.1.3 CdS)</w:t>
      </w:r>
    </w:p>
    <w:p>
      <w:r>
        <w:t>Conform cap. 3.4.1.3 al Caietului de Sarcini, sistemul SIDISVA respectă integral cadrul legislativ european și național privind securitatea cibernetică și protecția datelor. Tabelul de mai jos sintetizează legislația și standardele aplicabile, împreună cu modalitatea concretă de conformare din partea consorțiului:</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Act normativ / Standard</w:t>
            </w:r>
          </w:p>
        </w:tc>
        <w:tc>
          <w:tcPr>
            <w:tcW w:type="dxa" w:w="2880"/>
          </w:tcPr>
          <w:p>
            <w:r/>
            <w:r>
              <w:rPr>
                <w:b/>
              </w:rPr>
              <w:t>Domeniu</w:t>
            </w:r>
          </w:p>
        </w:tc>
        <w:tc>
          <w:tcPr>
            <w:tcW w:type="dxa" w:w="2880"/>
          </w:tcPr>
          <w:p>
            <w:r/>
            <w:r>
              <w:rPr>
                <w:b/>
              </w:rPr>
              <w:t>Conformitate în SIDISVA</w:t>
            </w:r>
          </w:p>
        </w:tc>
      </w:tr>
      <w:tr>
        <w:tc>
          <w:tcPr>
            <w:tcW w:type="dxa" w:w="2880"/>
          </w:tcPr>
          <w:p>
            <w:r>
              <w:t>Regulamentul (UE) 2016/679 — GDPR</w:t>
            </w:r>
          </w:p>
        </w:tc>
        <w:tc>
          <w:tcPr>
            <w:tcW w:type="dxa" w:w="2880"/>
          </w:tcPr>
          <w:p>
            <w:r>
              <w:t>Protecția datelor personale (DCP)</w:t>
            </w:r>
          </w:p>
        </w:tc>
        <w:tc>
          <w:tcPr>
            <w:tcW w:type="dxa" w:w="2880"/>
          </w:tcPr>
          <w:p>
            <w:r>
              <w:t>Privacy by Design + DPIA + drepturile Art. 15-22 + notificare breach 72h către ANSPDCP</w:t>
            </w:r>
          </w:p>
        </w:tc>
      </w:tr>
      <w:tr>
        <w:tc>
          <w:tcPr>
            <w:tcW w:type="dxa" w:w="2880"/>
          </w:tcPr>
          <w:p>
            <w:r>
              <w:t>Directiva (UE) 2016/680</w:t>
            </w:r>
          </w:p>
        </w:tc>
        <w:tc>
          <w:tcPr>
            <w:tcW w:type="dxa" w:w="2880"/>
          </w:tcPr>
          <w:p>
            <w:r>
              <w:t>Prelucrare DCP de autorități cu scopuri penale</w:t>
            </w:r>
          </w:p>
        </w:tc>
        <w:tc>
          <w:tcPr>
            <w:tcW w:type="dxa" w:w="2880"/>
          </w:tcPr>
          <w:p>
            <w:r>
              <w:t>Procese segregate pentru fluxurile relevante (anchete sanitar-veterinare)</w:t>
            </w:r>
          </w:p>
        </w:tc>
      </w:tr>
      <w:tr>
        <w:tc>
          <w:tcPr>
            <w:tcW w:type="dxa" w:w="2880"/>
          </w:tcPr>
          <w:p>
            <w:r>
              <w:t>Legea nr. 190/2018</w:t>
            </w:r>
          </w:p>
        </w:tc>
        <w:tc>
          <w:tcPr>
            <w:tcW w:type="dxa" w:w="2880"/>
          </w:tcPr>
          <w:p>
            <w:r>
              <w:t>Punere în aplicare GDPR în România</w:t>
            </w:r>
          </w:p>
        </w:tc>
        <w:tc>
          <w:tcPr>
            <w:tcW w:type="dxa" w:w="2880"/>
          </w:tcPr>
          <w:p>
            <w:r>
              <w:t>Conformitate cu cerințele naționale specifice</w:t>
            </w:r>
          </w:p>
        </w:tc>
      </w:tr>
      <w:tr>
        <w:tc>
          <w:tcPr>
            <w:tcW w:type="dxa" w:w="2880"/>
          </w:tcPr>
          <w:p>
            <w:r>
              <w:t>Legea nr. 363/2018</w:t>
            </w:r>
          </w:p>
        </w:tc>
        <w:tc>
          <w:tcPr>
            <w:tcW w:type="dxa" w:w="2880"/>
          </w:tcPr>
          <w:p>
            <w:r>
              <w:t>Protecția DCP de autorități cu scop penal</w:t>
            </w:r>
          </w:p>
        </w:tc>
        <w:tc>
          <w:tcPr>
            <w:tcW w:type="dxa" w:w="2880"/>
          </w:tcPr>
          <w:p>
            <w:r>
              <w:t>Conformitate prelucrare anchete + supraveghere ANSVSA</w:t>
            </w:r>
          </w:p>
        </w:tc>
      </w:tr>
      <w:tr>
        <w:tc>
          <w:tcPr>
            <w:tcW w:type="dxa" w:w="2880"/>
          </w:tcPr>
          <w:p>
            <w:r>
              <w:t>Directiva (UE) 2022/2555 NIS2 + OUG 155/2024</w:t>
            </w:r>
          </w:p>
        </w:tc>
        <w:tc>
          <w:tcPr>
            <w:tcW w:type="dxa" w:w="2880"/>
          </w:tcPr>
          <w:p>
            <w:r>
              <w:t>Securitate cibernetică pentru entități esențiale și importante</w:t>
            </w:r>
          </w:p>
        </w:tc>
        <w:tc>
          <w:tcPr>
            <w:tcW w:type="dxa" w:w="2880"/>
          </w:tcPr>
          <w:p>
            <w:r>
              <w:t>ISMS ISO 27001 + notificare DNSC 24h/72h/1 lună + audit anual</w:t>
            </w:r>
          </w:p>
        </w:tc>
      </w:tr>
      <w:tr>
        <w:tc>
          <w:tcPr>
            <w:tcW w:type="dxa" w:w="2880"/>
          </w:tcPr>
          <w:p>
            <w:r>
              <w:t>Legea nr. 362/2018 + OUG 119/2020</w:t>
            </w:r>
          </w:p>
        </w:tc>
        <w:tc>
          <w:tcPr>
            <w:tcW w:type="dxa" w:w="2880"/>
          </w:tcPr>
          <w:p>
            <w:r>
              <w:t>Securitate rețele și sisteme informatice (NIS 1)</w:t>
            </w:r>
          </w:p>
        </w:tc>
        <w:tc>
          <w:tcPr>
            <w:tcW w:type="dxa" w:w="2880"/>
          </w:tcPr>
          <w:p>
            <w:r>
              <w:t>Conformitate ca operator de servicii esențiale (subordonat ANSVSA — instituție publică)</w:t>
            </w:r>
          </w:p>
        </w:tc>
      </w:tr>
      <w:tr>
        <w:tc>
          <w:tcPr>
            <w:tcW w:type="dxa" w:w="2880"/>
          </w:tcPr>
          <w:p>
            <w:r>
              <w:t>Legea nr. 354/2022</w:t>
            </w:r>
          </w:p>
        </w:tc>
        <w:tc>
          <w:tcPr>
            <w:tcW w:type="dxa" w:w="2880"/>
          </w:tcPr>
          <w:p>
            <w:r>
              <w:t>Protecția sistemelor IT ale autorităților publice (context invazie RU/UA)</w:t>
            </w:r>
          </w:p>
        </w:tc>
        <w:tc>
          <w:tcPr>
            <w:tcW w:type="dxa" w:w="2880"/>
          </w:tcPr>
          <w:p>
            <w:r>
              <w:t>Stack tehnologic exclusiv din SUA/UE/Japonia (vezi sec. 10.11); antivirus CrowdStrike/SentinelOne</w:t>
            </w:r>
          </w:p>
        </w:tc>
      </w:tr>
      <w:tr>
        <w:tc>
          <w:tcPr>
            <w:tcW w:type="dxa" w:w="2880"/>
          </w:tcPr>
          <w:p>
            <w:r>
              <w:t>Regulamentul (UE) 910/2014 — eIDAS</w:t>
            </w:r>
          </w:p>
        </w:tc>
        <w:tc>
          <w:tcPr>
            <w:tcW w:type="dxa" w:w="2880"/>
          </w:tcPr>
          <w:p>
            <w:r>
              <w:t>Semnătură electronică + identificare digitală transfrontalieră</w:t>
            </w:r>
          </w:p>
        </w:tc>
        <w:tc>
          <w:tcPr>
            <w:tcW w:type="dxa" w:w="2880"/>
          </w:tcPr>
          <w:p>
            <w:r>
              <w:t>Integrare cu Nodul eIDAS pentru autentificare UE; semnături calificate</w:t>
            </w:r>
          </w:p>
        </w:tc>
      </w:tr>
      <w:tr>
        <w:tc>
          <w:tcPr>
            <w:tcW w:type="dxa" w:w="2880"/>
          </w:tcPr>
          <w:p>
            <w:r>
              <w:t>Legea nr. 455/2001</w:t>
            </w:r>
          </w:p>
        </w:tc>
        <w:tc>
          <w:tcPr>
            <w:tcW w:type="dxa" w:w="2880"/>
          </w:tcPr>
          <w:p>
            <w:r>
              <w:t>Semnătura electronică</w:t>
            </w:r>
          </w:p>
        </w:tc>
        <w:tc>
          <w:tcPr>
            <w:tcW w:type="dxa" w:w="2880"/>
          </w:tcPr>
          <w:p>
            <w:r>
              <w:t>Semnătura electronică calificată pentru documente emise prin Portal</w:t>
            </w:r>
          </w:p>
        </w:tc>
      </w:tr>
      <w:tr>
        <w:tc>
          <w:tcPr>
            <w:tcW w:type="dxa" w:w="2880"/>
          </w:tcPr>
          <w:p>
            <w:r>
              <w:t>OUG nr. 89/2022</w:t>
            </w:r>
          </w:p>
        </w:tc>
        <w:tc>
          <w:tcPr>
            <w:tcW w:type="dxa" w:w="2880"/>
          </w:tcPr>
          <w:p>
            <w:r>
              <w:t>Cloud Guvernamental Romania</w:t>
            </w:r>
          </w:p>
        </w:tc>
        <w:tc>
          <w:tcPr>
            <w:tcW w:type="dxa" w:w="2880"/>
          </w:tcPr>
          <w:p>
            <w:r>
              <w:t>Găzduire integrală a SIDISVA în Cloud Guvernamental (Azure RO)</w:t>
            </w:r>
          </w:p>
        </w:tc>
      </w:tr>
      <w:tr>
        <w:tc>
          <w:tcPr>
            <w:tcW w:type="dxa" w:w="2880"/>
          </w:tcPr>
          <w:p>
            <w:r>
              <w:t>Ordinul MCID nr. 21286/2023</w:t>
            </w:r>
          </w:p>
        </w:tc>
        <w:tc>
          <w:tcPr>
            <w:tcW w:type="dxa" w:w="2880"/>
          </w:tcPr>
          <w:p>
            <w:r>
              <w:t>Standarde interoperabilitate (SEMIC.EU + EIF)</w:t>
            </w:r>
          </w:p>
        </w:tc>
        <w:tc>
          <w:tcPr>
            <w:tcW w:type="dxa" w:w="2880"/>
          </w:tcPr>
          <w:p>
            <w:r>
              <w:t>API-uri SIDISVA conforme OpenAPI 3.0 + SEMIC.EU</w:t>
            </w:r>
          </w:p>
        </w:tc>
      </w:tr>
      <w:tr>
        <w:tc>
          <w:tcPr>
            <w:tcW w:type="dxa" w:w="2880"/>
          </w:tcPr>
          <w:p>
            <w:r>
              <w:t>Legea nr. 242/2022</w:t>
            </w:r>
          </w:p>
        </w:tc>
        <w:tc>
          <w:tcPr>
            <w:tcW w:type="dxa" w:w="2880"/>
          </w:tcPr>
          <w:p>
            <w:r>
              <w:t>Schimbul de date între sisteme IT publice + PNI</w:t>
            </w:r>
          </w:p>
        </w:tc>
        <w:tc>
          <w:tcPr>
            <w:tcW w:type="dxa" w:w="2880"/>
          </w:tcPr>
          <w:p>
            <w:r>
              <w:t>Integrare cu PNI când va fi disponibilă; mock-up până atunci</w:t>
            </w:r>
          </w:p>
        </w:tc>
      </w:tr>
      <w:tr>
        <w:tc>
          <w:tcPr>
            <w:tcW w:type="dxa" w:w="2880"/>
          </w:tcPr>
          <w:p>
            <w:r>
              <w:t>ISO/IEC 27001:2022</w:t>
            </w:r>
          </w:p>
        </w:tc>
        <w:tc>
          <w:tcPr>
            <w:tcW w:type="dxa" w:w="2880"/>
          </w:tcPr>
          <w:p>
            <w:r>
              <w:t>Information Security Management System (ISMS)</w:t>
            </w:r>
          </w:p>
        </w:tc>
        <w:tc>
          <w:tcPr>
            <w:tcW w:type="dxa" w:w="2880"/>
          </w:tcPr>
          <w:p>
            <w:r>
              <w:t>Implementare ISMS la nivelul consorțiului; audit certificare în luna 6</w:t>
            </w:r>
          </w:p>
        </w:tc>
      </w:tr>
      <w:tr>
        <w:tc>
          <w:tcPr>
            <w:tcW w:type="dxa" w:w="2880"/>
          </w:tcPr>
          <w:p>
            <w:r>
              <w:t>ISO/IEC 27017:2015</w:t>
            </w:r>
          </w:p>
        </w:tc>
        <w:tc>
          <w:tcPr>
            <w:tcW w:type="dxa" w:w="2880"/>
          </w:tcPr>
          <w:p>
            <w:r>
              <w:t>Cloud Security Controls</w:t>
            </w:r>
          </w:p>
        </w:tc>
        <w:tc>
          <w:tcPr>
            <w:tcW w:type="dxa" w:w="2880"/>
          </w:tcPr>
          <w:p>
            <w:r>
              <w:t>Aplicare specific pentru găzduirea Cloud Guvernamental</w:t>
            </w:r>
          </w:p>
        </w:tc>
      </w:tr>
      <w:tr>
        <w:tc>
          <w:tcPr>
            <w:tcW w:type="dxa" w:w="2880"/>
          </w:tcPr>
          <w:p>
            <w:r>
              <w:t>ISO/IEC 27018:2019</w:t>
            </w:r>
          </w:p>
        </w:tc>
        <w:tc>
          <w:tcPr>
            <w:tcW w:type="dxa" w:w="2880"/>
          </w:tcPr>
          <w:p>
            <w:r>
              <w:t>Privacy in Cloud (PII protection)</w:t>
            </w:r>
          </w:p>
        </w:tc>
        <w:tc>
          <w:tcPr>
            <w:tcW w:type="dxa" w:w="2880"/>
          </w:tcPr>
          <w:p>
            <w:r>
              <w:t>Aplicare pentru datele cetățenilor și medicilor veterinari</w:t>
            </w:r>
          </w:p>
        </w:tc>
      </w:tr>
      <w:tr>
        <w:tc>
          <w:tcPr>
            <w:tcW w:type="dxa" w:w="2880"/>
          </w:tcPr>
          <w:p>
            <w:r>
              <w:t>ISO/IEC 27701:2019</w:t>
            </w:r>
          </w:p>
        </w:tc>
        <w:tc>
          <w:tcPr>
            <w:tcW w:type="dxa" w:w="2880"/>
          </w:tcPr>
          <w:p>
            <w:r>
              <w:t>Privacy Information Management System (PIMS)</w:t>
            </w:r>
          </w:p>
        </w:tc>
        <w:tc>
          <w:tcPr>
            <w:tcW w:type="dxa" w:w="2880"/>
          </w:tcPr>
          <w:p>
            <w:r>
              <w:t>Extensie ISO 27001 pentru conformitate GDPR</w:t>
            </w:r>
          </w:p>
        </w:tc>
      </w:tr>
      <w:tr>
        <w:tc>
          <w:tcPr>
            <w:tcW w:type="dxa" w:w="2880"/>
          </w:tcPr>
          <w:p>
            <w:r>
              <w:t>ISO 22301:2019</w:t>
            </w:r>
          </w:p>
        </w:tc>
        <w:tc>
          <w:tcPr>
            <w:tcW w:type="dxa" w:w="2880"/>
          </w:tcPr>
          <w:p>
            <w:r>
              <w:t>Business Continuity Management (BCM)</w:t>
            </w:r>
          </w:p>
        </w:tc>
        <w:tc>
          <w:tcPr>
            <w:tcW w:type="dxa" w:w="2880"/>
          </w:tcPr>
          <w:p>
            <w:r>
              <w:t>Plan Continuitate Operațională (BCP) + DR — vezi sec. 10.7</w:t>
            </w:r>
          </w:p>
        </w:tc>
      </w:tr>
      <w:tr>
        <w:tc>
          <w:tcPr>
            <w:tcW w:type="dxa" w:w="2880"/>
          </w:tcPr>
          <w:p>
            <w:r>
              <w:t>NIST Cybersecurity Framework v2.0</w:t>
            </w:r>
          </w:p>
        </w:tc>
        <w:tc>
          <w:tcPr>
            <w:tcW w:type="dxa" w:w="2880"/>
          </w:tcPr>
          <w:p>
            <w:r>
              <w:t>Cadru funcțional securitate cibernetică</w:t>
            </w:r>
          </w:p>
        </w:tc>
        <w:tc>
          <w:tcPr>
            <w:tcW w:type="dxa" w:w="2880"/>
          </w:tcPr>
          <w:p>
            <w:r>
              <w:t>Aplicare Identify/Protect/Detect/Respond/Recover/Govern</w:t>
            </w:r>
          </w:p>
        </w:tc>
      </w:tr>
      <w:tr>
        <w:tc>
          <w:tcPr>
            <w:tcW w:type="dxa" w:w="2880"/>
          </w:tcPr>
          <w:p>
            <w:r>
              <w:t>OWASP Top 10 + OWASP ASVS L3</w:t>
            </w:r>
          </w:p>
        </w:tc>
        <w:tc>
          <w:tcPr>
            <w:tcW w:type="dxa" w:w="2880"/>
          </w:tcPr>
          <w:p>
            <w:r>
              <w:t>Securitate aplicații web</w:t>
            </w:r>
          </w:p>
        </w:tc>
        <w:tc>
          <w:tcPr>
            <w:tcW w:type="dxa" w:w="2880"/>
          </w:tcPr>
          <w:p>
            <w:r>
              <w:t>WAF cu reguli OWASP + SAST/DAST în CI/CD + audit cod sursă</w:t>
            </w:r>
          </w:p>
        </w:tc>
      </w:tr>
      <w:tr>
        <w:tc>
          <w:tcPr>
            <w:tcW w:type="dxa" w:w="2880"/>
          </w:tcPr>
          <w:p>
            <w:r>
              <w:t>OWASP MASVS L1</w:t>
            </w:r>
          </w:p>
        </w:tc>
        <w:tc>
          <w:tcPr>
            <w:tcW w:type="dxa" w:w="2880"/>
          </w:tcPr>
          <w:p>
            <w:r>
              <w:t>Securitate aplicații mobile</w:t>
            </w:r>
          </w:p>
        </w:tc>
        <w:tc>
          <w:tcPr>
            <w:tcW w:type="dxa" w:w="2880"/>
          </w:tcPr>
          <w:p>
            <w:r>
              <w:t>Aplicat pentru cele 3 aplicații mobile (medici vet, fermieri, cetățeni)</w:t>
            </w:r>
          </w:p>
        </w:tc>
      </w:tr>
    </w:tbl>
    <w:p>
      <w:pPr>
        <w:spacing w:before="360" w:after="120"/>
      </w:pPr>
      <w:r>
        <w:rPr>
          <w:b/>
          <w:sz w:val="28"/>
        </w:rPr>
        <w:t>10.2 Securitatea pe 5 niveluri și cele 6 principii cibernetice (cf. cap. 3.4.1.2 CdS)</w:t>
      </w:r>
    </w:p>
    <w:p>
      <w:pPr>
        <w:spacing w:before="240" w:after="80"/>
      </w:pPr>
      <w:r>
        <w:rPr>
          <w:b/>
          <w:sz w:val="24"/>
        </w:rPr>
        <w:t>10.2.1 Cele 5 niveluri de asigurare a securității (cf. cap. 3.4.1.2 alin. 1)</w:t>
      </w:r>
    </w:p>
    <w:p>
      <w:r>
        <w:t>Conform cap. 3.4.1.2 al Caietului de Sarcini, securitatea SIDISVA este asigurată la 5 niveluri distincte. Tabelul de mai jos prezintă măsurile concrete implementate de consorțiu pentru fiecare nivel:</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Nivel</w:t>
            </w:r>
          </w:p>
        </w:tc>
        <w:tc>
          <w:tcPr>
            <w:tcW w:type="dxa" w:w="2880"/>
          </w:tcPr>
          <w:p>
            <w:r/>
            <w:r>
              <w:rPr>
                <w:b/>
              </w:rPr>
              <w:t>Cerință CdS (citată)</w:t>
            </w:r>
          </w:p>
        </w:tc>
        <w:tc>
          <w:tcPr>
            <w:tcW w:type="dxa" w:w="2880"/>
          </w:tcPr>
          <w:p>
            <w:r/>
            <w:r>
              <w:rPr>
                <w:b/>
              </w:rPr>
              <w:t>Implementare concretă consorțiu</w:t>
            </w:r>
          </w:p>
        </w:tc>
      </w:tr>
      <w:tr>
        <w:tc>
          <w:tcPr>
            <w:tcW w:type="dxa" w:w="2880"/>
          </w:tcPr>
          <w:p>
            <w:r>
              <w:t>Fizic</w:t>
            </w:r>
          </w:p>
        </w:tc>
        <w:tc>
          <w:tcPr>
            <w:tcW w:type="dxa" w:w="2880"/>
          </w:tcPr>
          <w:p>
            <w:r>
              <w:t>Acces în sala serverelor conform politicilor cloudului guvernamental; acces în funcție de drepturi, rol, activitate</w:t>
            </w:r>
          </w:p>
        </w:tc>
        <w:tc>
          <w:tcPr>
            <w:tcW w:type="dxa" w:w="2880"/>
          </w:tcPr>
          <w:p>
            <w:r>
              <w:t>Găzduire în Cloud Guvernamental Azure RO (certificat ISO 27001 + ISAE 3402); control acces fizic conform politicilor Cloud Guvernamental; nicio responsabilitate consorțiu pe DC fizic</w:t>
            </w:r>
          </w:p>
        </w:tc>
      </w:tr>
      <w:tr>
        <w:tc>
          <w:tcPr>
            <w:tcW w:type="dxa" w:w="2880"/>
          </w:tcPr>
          <w:p>
            <w:r>
              <w:t>Server</w:t>
            </w:r>
          </w:p>
        </w:tc>
        <w:tc>
          <w:tcPr>
            <w:tcW w:type="dxa" w:w="2880"/>
          </w:tcPr>
          <w:p>
            <w:r>
              <w:t>Infrastructura Cloud Guvernamental; mașini virtuale/partiții cu comunicare doar prin canale special definite</w:t>
            </w:r>
          </w:p>
        </w:tc>
        <w:tc>
          <w:tcPr>
            <w:tcW w:type="dxa" w:w="2880"/>
          </w:tcPr>
          <w:p>
            <w:r>
              <w:t>VM-uri Azure izolate prin NSG (Network Security Groups); micro-segmentare cu Azure Private Endpoint; nicio rută implicită între tiers (web/app/db/management)</w:t>
            </w:r>
          </w:p>
        </w:tc>
      </w:tr>
      <w:tr>
        <w:tc>
          <w:tcPr>
            <w:tcW w:type="dxa" w:w="2880"/>
          </w:tcPr>
          <w:p>
            <w:r>
              <w:t>Comunicații</w:t>
            </w:r>
          </w:p>
        </w:tc>
        <w:tc>
          <w:tcPr>
            <w:tcW w:type="dxa" w:w="2880"/>
          </w:tcPr>
          <w:p>
            <w:r>
              <w:t>Tehnici de izolare a traficului + sisteme HW + SW dedicate de securitate</w:t>
            </w:r>
          </w:p>
        </w:tc>
        <w:tc>
          <w:tcPr>
            <w:tcW w:type="dxa" w:w="2880"/>
          </w:tcPr>
          <w:p>
            <w:r>
              <w:t>FortiGate / Palo Alto NGFW (2 centru + 90 locații) + IPSec VPN site-to-site + TLS 1.3 obligatoriu + segregare VLAN per zonă funcțională</w:t>
            </w:r>
          </w:p>
        </w:tc>
      </w:tr>
      <w:tr>
        <w:tc>
          <w:tcPr>
            <w:tcW w:type="dxa" w:w="2880"/>
          </w:tcPr>
          <w:p>
            <w:r>
              <w:t>Software</w:t>
            </w:r>
          </w:p>
        </w:tc>
        <w:tc>
          <w:tcPr>
            <w:tcW w:type="dxa" w:w="2880"/>
          </w:tcPr>
          <w:p>
            <w:r>
              <w:t>Capabilități de securitate proprii ale componentelor SW + design și implementare componente aplicative</w:t>
            </w:r>
          </w:p>
        </w:tc>
        <w:tc>
          <w:tcPr>
            <w:tcW w:type="dxa" w:w="2880"/>
          </w:tcPr>
          <w:p>
            <w:r>
              <w:t>Stack COTS cu securitate enterprise (MS SQL TDE, Oracle ESB cu auth, Keycloak Enterprise); cod aplicativ SAST/DAST în CI/CD; OWASP ASVS L3</w:t>
            </w:r>
          </w:p>
        </w:tc>
      </w:tr>
      <w:tr>
        <w:tc>
          <w:tcPr>
            <w:tcW w:type="dxa" w:w="2880"/>
          </w:tcPr>
          <w:p>
            <w:r>
              <w:t>Utilizatori</w:t>
            </w:r>
          </w:p>
        </w:tc>
        <w:tc>
          <w:tcPr>
            <w:tcW w:type="dxa" w:w="2880"/>
          </w:tcPr>
          <w:p>
            <w:r>
              <w:t>Sistem de gestiune a identității utilizatorilor</w:t>
            </w:r>
          </w:p>
        </w:tc>
        <w:tc>
          <w:tcPr>
            <w:tcW w:type="dxa" w:w="2880"/>
          </w:tcPr>
          <w:p>
            <w:r>
              <w:t>Keycloak Enterprise — 150 utilizatori interni cu MFA + 185.000 utilizatori portal federați prin ROeID/eIDAS; RBAC granular; audit logging end-to-end</w:t>
            </w:r>
          </w:p>
        </w:tc>
      </w:tr>
    </w:tbl>
    <w:p>
      <w:pPr>
        <w:spacing w:before="240" w:after="80"/>
      </w:pPr>
      <w:r>
        <w:rPr>
          <w:b/>
          <w:sz w:val="24"/>
        </w:rPr>
        <w:t>10.2.2 Cele 6 principii ale securității cibernetice SIDISVA (cf. cap. 3.4.1.2 alin. 2)</w:t>
      </w:r>
    </w:p>
    <w:p>
      <w:r>
        <w:t>Conform cap. 3.4.1.2 al Caietului de Sarcini, securitatea cibernetică SIDISVA se bazează pe 6 principii fundamentale, pe care consorțiul le aplică concret în arhitectură și procese: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w:t>
            </w:r>
          </w:p>
        </w:tc>
        <w:tc>
          <w:tcPr>
            <w:tcW w:type="dxa" w:w="2880"/>
          </w:tcPr>
          <w:p>
            <w:r/>
            <w:r>
              <w:rPr>
                <w:b/>
              </w:rPr>
              <w:t>Principiu CdS</w:t>
            </w:r>
          </w:p>
        </w:tc>
        <w:tc>
          <w:tcPr>
            <w:tcW w:type="dxa" w:w="2880"/>
          </w:tcPr>
          <w:p>
            <w:r/>
            <w:r>
              <w:rPr>
                <w:b/>
              </w:rPr>
              <w:t>Aplicare concretă în SIDISVA</w:t>
            </w:r>
          </w:p>
        </w:tc>
      </w:tr>
      <w:tr>
        <w:tc>
          <w:tcPr>
            <w:tcW w:type="dxa" w:w="2880"/>
          </w:tcPr>
          <w:p>
            <w:r>
              <w:t>P1</w:t>
            </w:r>
          </w:p>
        </w:tc>
        <w:tc>
          <w:tcPr>
            <w:tcW w:type="dxa" w:w="2880"/>
          </w:tcPr>
          <w:p>
            <w:r>
              <w:t>Principiul conformității — mecanisme tehnice pentru reglementări naționale (ex. GDPR) și standarde internaționale (ex. ISO)</w:t>
            </w:r>
          </w:p>
        </w:tc>
        <w:tc>
          <w:tcPr>
            <w:tcW w:type="dxa" w:w="2880"/>
          </w:tcPr>
          <w:p>
            <w:r>
              <w:t>ISMS ISO 27001 + PIMS ISO 27701 + DPIA + audit conformitate semestrial; toate componentele au mecanisme tehnice pentru GDPR (RoPA, drepturile data subject, notificare breach)</w:t>
            </w:r>
          </w:p>
        </w:tc>
      </w:tr>
      <w:tr>
        <w:tc>
          <w:tcPr>
            <w:tcW w:type="dxa" w:w="2880"/>
          </w:tcPr>
          <w:p>
            <w:r>
              <w:t>P2</w:t>
            </w:r>
          </w:p>
        </w:tc>
        <w:tc>
          <w:tcPr>
            <w:tcW w:type="dxa" w:w="2880"/>
          </w:tcPr>
          <w:p>
            <w:r>
              <w:t>Principiul optimizării costurilor — investițiile în securitate se stabilesc pe baza analizei de risc</w:t>
            </w:r>
          </w:p>
        </w:tc>
        <w:tc>
          <w:tcPr>
            <w:tcW w:type="dxa" w:w="2880"/>
          </w:tcPr>
          <w:p>
            <w:r>
              <w:t>Analiză de risc Privacy + Securitate efectuată în faza de analiză (luna 1-6); reevaluare anuală în garanție; prioritizare investiții CIS Controls / NIST CSF; plafon CdS minimum 10% buget</w:t>
            </w:r>
          </w:p>
        </w:tc>
      </w:tr>
      <w:tr>
        <w:tc>
          <w:tcPr>
            <w:tcW w:type="dxa" w:w="2880"/>
          </w:tcPr>
          <w:p>
            <w:r>
              <w:t>P3</w:t>
            </w:r>
          </w:p>
        </w:tc>
        <w:tc>
          <w:tcPr>
            <w:tcW w:type="dxa" w:w="2880"/>
          </w:tcPr>
          <w:p>
            <w:r>
              <w:t>Principiul responsabilităților de securitate partajate — rolurile entităților implicate stabilite, reglementate, asumate</w:t>
            </w:r>
          </w:p>
        </w:tc>
        <w:tc>
          <w:tcPr>
            <w:tcW w:type="dxa" w:w="2880"/>
          </w:tcPr>
          <w:p>
            <w:r>
              <w:t>Matrice RACI documentată (Confluence) — operator Cloud Guvernamental / consorțiu / ANSVSA / utilizatori finali; SLA-uri reciproce; acord de confidențialitate semnat de toți 9 membri consorțiu</w:t>
            </w:r>
          </w:p>
        </w:tc>
      </w:tr>
      <w:tr>
        <w:tc>
          <w:tcPr>
            <w:tcW w:type="dxa" w:w="2880"/>
          </w:tcPr>
          <w:p>
            <w:r>
              <w:t>P4</w:t>
            </w:r>
          </w:p>
        </w:tc>
        <w:tc>
          <w:tcPr>
            <w:tcW w:type="dxa" w:w="2880"/>
          </w:tcPr>
          <w:p>
            <w:r>
              <w:t>Principiul protecției informațiilor — (a) protecție în tranzit + stocare împotriva accesării/modificării neautorizate; (b) disponibilitate fără întârziere la cererea entităților autorizate</w:t>
            </w:r>
          </w:p>
        </w:tc>
        <w:tc>
          <w:tcPr>
            <w:tcW w:type="dxa" w:w="2880"/>
          </w:tcPr>
          <w:p>
            <w:r>
              <w:t>(a) TLS 1.3 in-transit + AES-256 / TDE at-rest + Azure Key Vault HSM-backed; (b) RPO ≤1h + RTO ≤4h + DR site Azure regiune diferită + replicare asincronă continuă</w:t>
            </w:r>
          </w:p>
        </w:tc>
      </w:tr>
      <w:tr>
        <w:tc>
          <w:tcPr>
            <w:tcW w:type="dxa" w:w="2880"/>
          </w:tcPr>
          <w:p>
            <w:r>
              <w:t>P5</w:t>
            </w:r>
          </w:p>
        </w:tc>
        <w:tc>
          <w:tcPr>
            <w:tcW w:type="dxa" w:w="2880"/>
          </w:tcPr>
          <w:p>
            <w:r>
              <w:t>Principiul securității pe întreg ciclul de viață al sistemului — securitatea integrată în toate fazele, de la analiză la scoaterea din uz</w:t>
            </w:r>
          </w:p>
        </w:tc>
        <w:tc>
          <w:tcPr>
            <w:tcW w:type="dxa" w:w="2880"/>
          </w:tcPr>
          <w:p>
            <w:r>
              <w:t>Security Champion în fiecare echipă de furnizor; review de securitate la fiecare milestone; documentație ADR cu impact securitate; procedură decommissioning sigur (wipe NIST 800-88 la final contract)</w:t>
            </w:r>
          </w:p>
        </w:tc>
      </w:tr>
      <w:tr>
        <w:tc>
          <w:tcPr>
            <w:tcW w:type="dxa" w:w="2880"/>
          </w:tcPr>
          <w:p>
            <w:r>
              <w:t>P6</w:t>
            </w:r>
          </w:p>
        </w:tc>
        <w:tc>
          <w:tcPr>
            <w:tcW w:type="dxa" w:w="2880"/>
          </w:tcPr>
          <w:p>
            <w:r>
              <w:t>Principiul securizării operațiunilor — mecanisme pentru detectarea și prevenirea atacurilor, abordare pe niveluri</w:t>
            </w:r>
          </w:p>
        </w:tc>
        <w:tc>
          <w:tcPr>
            <w:tcW w:type="dxa" w:w="2880"/>
          </w:tcPr>
          <w:p>
            <w:r>
              <w:t>SIEM Splunk ES / IBM QRadar + SOC 24×7 + Honeypot FortiDeceptor + Threat Intelligence (MISP/ENISA/DNSC) + SOAR playbook-uri automate + exerciții red-team anuale</w:t>
            </w:r>
          </w:p>
        </w:tc>
      </w:tr>
    </w:tbl>
    <w:p>
      <w:pPr>
        <w:spacing w:before="360" w:after="120"/>
      </w:pPr>
      <w:r>
        <w:rPr>
          <w:b/>
          <w:sz w:val="28"/>
        </w:rPr>
        <w:t>10.3 Principiile fundamentale ale securității datelor (CIA — cf. cap. 3.4.6 CdS)</w:t>
      </w:r>
    </w:p>
    <w:p>
      <w:r>
        <w:t>Conform cap. 3.4.6 al Caietului de Sarcini, securitatea datelor gestionate de SIDISVA respectă cele 3 principii fundamentale CIA (Confidentiality, Integrity, Availability):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Principiu</w:t>
            </w:r>
          </w:p>
        </w:tc>
        <w:tc>
          <w:tcPr>
            <w:tcW w:type="dxa" w:w="2880"/>
          </w:tcPr>
          <w:p>
            <w:r/>
            <w:r>
              <w:rPr>
                <w:b/>
              </w:rPr>
              <w:t>Definiție CdS (citată)</w:t>
            </w:r>
          </w:p>
        </w:tc>
        <w:tc>
          <w:tcPr>
            <w:tcW w:type="dxa" w:w="2880"/>
          </w:tcPr>
          <w:p>
            <w:r/>
            <w:r>
              <w:rPr>
                <w:b/>
              </w:rPr>
              <w:t>Implementare consorțiu</w:t>
            </w:r>
          </w:p>
        </w:tc>
      </w:tr>
      <w:tr>
        <w:tc>
          <w:tcPr>
            <w:tcW w:type="dxa" w:w="2880"/>
          </w:tcPr>
          <w:p>
            <w:r>
              <w:t>Confidențialitate</w:t>
            </w:r>
          </w:p>
        </w:tc>
        <w:tc>
          <w:tcPr>
            <w:tcW w:type="dxa" w:w="2880"/>
          </w:tcPr>
          <w:p>
            <w:r>
              <w:t>Asigurarea protecției datelor împotriva accesărilor neautorizate</w:t>
            </w:r>
          </w:p>
        </w:tc>
        <w:tc>
          <w:tcPr>
            <w:tcW w:type="dxa" w:w="2880"/>
          </w:tcPr>
          <w:p>
            <w:r>
              <w:t>(1) Autentificare obligatorie prin Keycloak — MFA pentru personal intern, ROeID/eIDAS pentru cetățeni; (2) RBAC granular pe nivel de funcționalitate + atribute (ABAC) pentru date sensibile; (3) Encryption at rest + in transit; (4) Data masking în medii non-prod; (5) Audit logging end-to-end în Splunk SIEM</w:t>
            </w:r>
          </w:p>
        </w:tc>
      </w:tr>
      <w:tr>
        <w:tc>
          <w:tcPr>
            <w:tcW w:type="dxa" w:w="2880"/>
          </w:tcPr>
          <w:p>
            <w:r>
              <w:t>Integritate</w:t>
            </w:r>
          </w:p>
        </w:tc>
        <w:tc>
          <w:tcPr>
            <w:tcW w:type="dxa" w:w="2880"/>
          </w:tcPr>
          <w:p>
            <w:r>
              <w:t>Protecția, exactitatea și completitudinea datelor; protecție împotriva manipulării frauduloase</w:t>
            </w:r>
          </w:p>
        </w:tc>
        <w:tc>
          <w:tcPr>
            <w:tcW w:type="dxa" w:w="2880"/>
          </w:tcPr>
          <w:p>
            <w:r>
              <w:t>(1) Tranzacții ACID pe MS SQL Server Enterprise; (2) Constraints + foreign keys + check constraints; (3) Audit trail imutabil cu hash chains pentru date critice (BND-SNIIA evenimente animale); (4) Validare input cu pattern matching + business rules; (5) Detection anomalii prin AI/ML (sec. 2.13.2 — Isolation Forest pentru fraude BND)</w:t>
            </w:r>
          </w:p>
        </w:tc>
      </w:tr>
      <w:tr>
        <w:tc>
          <w:tcPr>
            <w:tcW w:type="dxa" w:w="2880"/>
          </w:tcPr>
          <w:p>
            <w:r>
              <w:t>Disponibilitate</w:t>
            </w:r>
          </w:p>
        </w:tc>
        <w:tc>
          <w:tcPr>
            <w:tcW w:type="dxa" w:w="2880"/>
          </w:tcPr>
          <w:p>
            <w:r>
              <w:t>Redundanța tuturor componentelor pentru păstrarea coerenței și ne-coruperii datelor</w:t>
            </w:r>
          </w:p>
        </w:tc>
        <w:tc>
          <w:tcPr>
            <w:tcW w:type="dxa" w:w="2880"/>
          </w:tcPr>
          <w:p>
            <w:r>
              <w:t>(1) HA pe toate componentele critice (NGFW redundant, SQL Server cluster, ESB cluster, Web/App tier auto-scaling Kubernetes); (2) Backup 3-2-1 cu RPO 1h; (3) DR site regiune Cloud Gov diferită cu RTO 4h; (4) DDoS protection layer prin NGFW + Cloud Gov scrubbing; (5) Monitoring SLO p95 &lt; 2s prin Prometheus + Grafana</w:t>
            </w:r>
          </w:p>
        </w:tc>
      </w:tr>
    </w:tbl>
    <w:p>
      <w:pPr>
        <w:spacing w:before="360" w:after="120"/>
      </w:pPr>
      <w:r>
        <w:rPr>
          <w:b/>
          <w:sz w:val="28"/>
        </w:rPr>
        <w:t>10.4 Arhitectura defense-in-depth pe 7 straturi (cf. cap. 3.4.6 CdS — apărare în adâncime)</w:t>
      </w:r>
    </w:p>
    <w:p>
      <w:r>
        <w:t>Conform cap. 3.4.6 al Caietului de Sarcini care prevede aplicarea modelului apărării în adâncime, consorțiul distribuie mecanismele de protecție pe 7 straturi independente. Fiecare strat are produsele și parametrii săi specifici (cantitățile conform cap. 3.4.3.4 CdS, vezi cap. 6 al ofertei tehnice). O breșă într-un strat nu compromite celelalte straturi:</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Strat</w:t>
            </w:r>
          </w:p>
        </w:tc>
        <w:tc>
          <w:tcPr>
            <w:tcW w:type="dxa" w:w="2880"/>
          </w:tcPr>
          <w:p>
            <w:r/>
            <w:r>
              <w:rPr>
                <w:b/>
              </w:rPr>
              <w:t>Mecanisme de protecție</w:t>
            </w:r>
          </w:p>
        </w:tc>
        <w:tc>
          <w:tcPr>
            <w:tcW w:type="dxa" w:w="2880"/>
          </w:tcPr>
          <w:p>
            <w:r/>
            <w:r>
              <w:rPr>
                <w:b/>
              </w:rPr>
              <w:t>Produse / Tehnologii</w:t>
            </w:r>
          </w:p>
        </w:tc>
      </w:tr>
      <w:tr>
        <w:tc>
          <w:tcPr>
            <w:tcW w:type="dxa" w:w="2880"/>
          </w:tcPr>
          <w:p>
            <w:r>
              <w:t>1. Fizic</w:t>
            </w:r>
          </w:p>
        </w:tc>
        <w:tc>
          <w:tcPr>
            <w:tcW w:type="dxa" w:w="2880"/>
          </w:tcPr>
          <w:p>
            <w:r>
              <w:t>Găzduire Cloud Guvernamental (Azure RO) certificat ISO 27001 + ISAE 3402; control acces fizic conform politicilor CG; protecție environmental (incendiu, inundație, putere redundantă)</w:t>
            </w:r>
          </w:p>
        </w:tc>
        <w:tc>
          <w:tcPr>
            <w:tcW w:type="dxa" w:w="2880"/>
          </w:tcPr>
          <w:p>
            <w:r>
              <w:t>Cloud Guvernamental (Azure Stack RO)</w:t>
            </w:r>
          </w:p>
        </w:tc>
      </w:tr>
      <w:tr>
        <w:tc>
          <w:tcPr>
            <w:tcW w:type="dxa" w:w="2880"/>
          </w:tcPr>
          <w:p>
            <w:r>
              <w:t>2. Rețea perimetru</w:t>
            </w:r>
          </w:p>
        </w:tc>
        <w:tc>
          <w:tcPr>
            <w:tcW w:type="dxa" w:w="2880"/>
          </w:tcPr>
          <w:p>
            <w:r>
              <w:t>NGFW redundant centru (2 instanțe HA, min. 10 VDOM); firewall în 45 locații DSVSA + institute (90 instanțe HA); IPSec VPN site-to-site; protecție DDoS prin NGFW + scrubbing Cloud Gov</w:t>
            </w:r>
          </w:p>
        </w:tc>
        <w:tc>
          <w:tcPr>
            <w:tcW w:type="dxa" w:w="2880"/>
          </w:tcPr>
          <w:p>
            <w:r>
              <w:t>FortiGate / Palo Alto (centru); FortiGate 100F (90 locații)</w:t>
            </w:r>
          </w:p>
        </w:tc>
      </w:tr>
      <w:tr>
        <w:tc>
          <w:tcPr>
            <w:tcW w:type="dxa" w:w="2880"/>
          </w:tcPr>
          <w:p>
            <w:r>
              <w:t>3. Rețea internă</w:t>
            </w:r>
          </w:p>
        </w:tc>
        <w:tc>
          <w:tcPr>
            <w:tcW w:type="dxa" w:w="2880"/>
          </w:tcPr>
          <w:p>
            <w:r>
              <w:t>Segmentare VLAN per zonă (DMZ / business / management / backup); NAC 802.1X pentru min. 600 dispozitive (cf. cap. 3.4.3.4.1.3 CdS); NMS pentru detecție anomalii trafic</w:t>
            </w:r>
          </w:p>
        </w:tc>
        <w:tc>
          <w:tcPr>
            <w:tcW w:type="dxa" w:w="2880"/>
          </w:tcPr>
          <w:p>
            <w:r>
              <w:t>Cisco DNA Center / Cisco ISE / Aruba ClearPass</w:t>
            </w:r>
          </w:p>
        </w:tc>
      </w:tr>
      <w:tr>
        <w:tc>
          <w:tcPr>
            <w:tcW w:type="dxa" w:w="2880"/>
          </w:tcPr>
          <w:p>
            <w:r>
              <w:t>4. Aplicație</w:t>
            </w:r>
          </w:p>
        </w:tc>
        <w:tc>
          <w:tcPr>
            <w:tcW w:type="dxa" w:w="2880"/>
          </w:tcPr>
          <w:p>
            <w:r>
              <w:t>WAF cu protecție OWASP Top 10 (2 instanțe HA, cf. cap. 3.4.3.4.1.1 CdS — nu per useri); Email Security cu filtrare + sandbox (2 instanțe); SAST + DAST automate în CI/CD pipeline; OWASP ASVS L3 pentru aplicații web; OWASP MASVS L1 pentru mobile</w:t>
            </w:r>
          </w:p>
        </w:tc>
        <w:tc>
          <w:tcPr>
            <w:tcW w:type="dxa" w:w="2880"/>
          </w:tcPr>
          <w:p>
            <w:r>
              <w:t>F5 / Imperva / FortiWeb (WAF); Cisco IronPort / Secure Email</w:t>
            </w:r>
          </w:p>
        </w:tc>
      </w:tr>
      <w:tr>
        <w:tc>
          <w:tcPr>
            <w:tcW w:type="dxa" w:w="2880"/>
          </w:tcPr>
          <w:p>
            <w:r>
              <w:t>5. Identitate (IAM)</w:t>
            </w:r>
          </w:p>
        </w:tc>
        <w:tc>
          <w:tcPr>
            <w:tcW w:type="dxa" w:w="2880"/>
          </w:tcPr>
          <w:p>
            <w:r>
              <w:t>Keycloak Enterprise (150 utilizatori interni + 185.000 portal); federație ROeID pentru cetățeni + eIDAS pentru UE; MFA obligatoriu pentru utilizatori interni (TOTP / FIDO2); SSO via OAuth2 / OIDC; RBAC granular; just-in-time access pentru administratori privilegiați</w:t>
            </w:r>
          </w:p>
        </w:tc>
        <w:tc>
          <w:tcPr>
            <w:tcW w:type="dxa" w:w="2880"/>
          </w:tcPr>
          <w:p>
            <w:r>
              <w:t>Keycloak Enterprise + ROeID + Nodul eIDAS</w:t>
            </w:r>
          </w:p>
        </w:tc>
      </w:tr>
      <w:tr>
        <w:tc>
          <w:tcPr>
            <w:tcW w:type="dxa" w:w="2880"/>
          </w:tcPr>
          <w:p>
            <w:r>
              <w:t>6. Date</w:t>
            </w:r>
          </w:p>
        </w:tc>
        <w:tc>
          <w:tcPr>
            <w:tcW w:type="dxa" w:w="2880"/>
          </w:tcPr>
          <w:p>
            <w:r>
              <w:t>Encryption at rest — TDE Microsoft SQL Server Enterprise (cf. cap. 3.4.3.2.4 CdS), BitLocker pe endpoints, Azure Disk Encryption pentru VM; encryption in transit — TLS 1.3 obligatoriu pe toate canalele; Azure Key Vault HSM-backed pentru chei criptografice (FIPS 140-2 Level 3); data masking + pseudo-anonimizare pentru medii test/dev</w:t>
            </w:r>
          </w:p>
        </w:tc>
        <w:tc>
          <w:tcPr>
            <w:tcW w:type="dxa" w:w="2880"/>
          </w:tcPr>
          <w:p>
            <w:r>
              <w:t>MS SQL TDE + Azure Disk Encryption + Azure Key Vault HSM</w:t>
            </w:r>
          </w:p>
        </w:tc>
      </w:tr>
      <w:tr>
        <w:tc>
          <w:tcPr>
            <w:tcW w:type="dxa" w:w="2880"/>
          </w:tcPr>
          <w:p>
            <w:r>
              <w:t>7. Endpoint</w:t>
            </w:r>
          </w:p>
        </w:tc>
        <w:tc>
          <w:tcPr>
            <w:tcW w:type="dxa" w:w="2880"/>
          </w:tcPr>
          <w:p>
            <w:r>
              <w:t>EDR (Endpoint Detection and Response) pe 486 endpoints (436 + 50 administratori, cf. xlsx); Microsoft Defender for Cloud; politici Group Policy; controlul dispozitivelor USB (block by default); patch management automat; conformitate L 354/2022 (antivirus din SUA, NU Kaspersky)</w:t>
            </w:r>
          </w:p>
        </w:tc>
        <w:tc>
          <w:tcPr>
            <w:tcW w:type="dxa" w:w="2880"/>
          </w:tcPr>
          <w:p>
            <w:r>
              <w:t>CrowdStrike Falcon / SentinelOne Singularity + MS Defender</w:t>
            </w:r>
          </w:p>
        </w:tc>
      </w:tr>
    </w:tbl>
    <w:p>
      <w:pPr>
        <w:spacing w:before="360" w:after="120"/>
      </w:pPr>
      <w:r>
        <w:rPr>
          <w:b/>
          <w:sz w:val="28"/>
        </w:rPr>
        <w:t>10.5 Tehnologii concrete de securitate (cf. cap. 3.4.6 CdS)</w:t>
      </w:r>
    </w:p>
    <w:p>
      <w:r>
        <w:t>Cap. 3.4.6 al Caietului de Sarcini enumerează explicit tehnologiile care trebuie să fie incluse în soluție. Tabelul de mai jos arată cum sunt acoperite toate aceste cerințe de către consorțiu:</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Cerință CdS (citată)</w:t>
            </w:r>
          </w:p>
        </w:tc>
        <w:tc>
          <w:tcPr>
            <w:tcW w:type="dxa" w:w="2880"/>
          </w:tcPr>
          <w:p>
            <w:r/>
            <w:r>
              <w:rPr>
                <w:b/>
              </w:rPr>
              <w:t>Tehnologie ofertată</w:t>
            </w:r>
          </w:p>
        </w:tc>
        <w:tc>
          <w:tcPr>
            <w:tcW w:type="dxa" w:w="2880"/>
          </w:tcPr>
          <w:p>
            <w:r/>
            <w:r>
              <w:rPr>
                <w:b/>
              </w:rPr>
              <w:t>Cantitate (cf. CdS 3.4.3.4)</w:t>
            </w:r>
          </w:p>
        </w:tc>
      </w:tr>
      <w:tr>
        <w:tc>
          <w:tcPr>
            <w:tcW w:type="dxa" w:w="2880"/>
          </w:tcPr>
          <w:p>
            <w:r>
              <w:t>Securizarea serviciilor web utilizând tehnologii de tip web application firewall</w:t>
            </w:r>
          </w:p>
        </w:tc>
        <w:tc>
          <w:tcPr>
            <w:tcW w:type="dxa" w:w="2880"/>
          </w:tcPr>
          <w:p>
            <w:r>
              <w:t>WAF F5 BIG-IP ASM / Imperva Cloud WAF / Fortinet FortiWeb</w:t>
            </w:r>
          </w:p>
        </w:tc>
        <w:tc>
          <w:tcPr>
            <w:tcW w:type="dxa" w:w="2880"/>
          </w:tcPr>
          <w:p>
            <w:r>
              <w:t>2 instanțe HA (cap. 3.4.3.4.1.1)</w:t>
            </w:r>
          </w:p>
        </w:tc>
      </w:tr>
      <w:tr>
        <w:tc>
          <w:tcPr>
            <w:tcW w:type="dxa" w:w="2880"/>
          </w:tcPr>
          <w:p>
            <w:r>
              <w:t>Protecția și securizarea comunicațiilor utilizând soluții firewall</w:t>
            </w:r>
          </w:p>
        </w:tc>
        <w:tc>
          <w:tcPr>
            <w:tcW w:type="dxa" w:w="2880"/>
          </w:tcPr>
          <w:p>
            <w:r>
              <w:t>NGFW FortiGate / Palo Alto / Cisco Firepower</w:t>
            </w:r>
          </w:p>
        </w:tc>
        <w:tc>
          <w:tcPr>
            <w:tcW w:type="dxa" w:w="2880"/>
          </w:tcPr>
          <w:p>
            <w:r>
              <w:t>2 (centru ANSVSA, cap. 3.4.3.4.2.1.1) + 90 (45 locații × 2 HA, cap. 3.4.3.4.2.1.2)</w:t>
            </w:r>
          </w:p>
        </w:tc>
      </w:tr>
      <w:tr>
        <w:tc>
          <w:tcPr>
            <w:tcW w:type="dxa" w:w="2880"/>
          </w:tcPr>
          <w:p>
            <w:r>
              <w:t>Managementul rețelei, analiza și raportarea logurilor de securitate</w:t>
            </w:r>
          </w:p>
        </w:tc>
        <w:tc>
          <w:tcPr>
            <w:tcW w:type="dxa" w:w="2880"/>
          </w:tcPr>
          <w:p>
            <w:r>
              <w:t>SIEM Splunk Enterprise Security / IBM QRadar + NMS Cisco DNA Center</w:t>
            </w:r>
          </w:p>
        </w:tc>
        <w:tc>
          <w:tcPr>
            <w:tcW w:type="dxa" w:w="2880"/>
          </w:tcPr>
          <w:p>
            <w:r>
              <w:t>1 cluster SIEM (cap. 3.4.3.4.1.4) + min. 600 dispozitive NMS (cap. 3.4.3.4.1.3)</w:t>
            </w:r>
          </w:p>
        </w:tc>
      </w:tr>
      <w:tr>
        <w:tc>
          <w:tcPr>
            <w:tcW w:type="dxa" w:w="2880"/>
          </w:tcPr>
          <w:p>
            <w:r>
              <w:t>Managementul vulnerabilităților și al actualizărilor</w:t>
            </w:r>
          </w:p>
        </w:tc>
        <w:tc>
          <w:tcPr>
            <w:tcW w:type="dxa" w:w="2880"/>
          </w:tcPr>
          <w:p>
            <w:r>
              <w:t>Tenable Nessus + Qualys VMDR + OWASP Dependency-Check + Snyk + Trivy</w:t>
            </w:r>
          </w:p>
        </w:tc>
        <w:tc>
          <w:tcPr>
            <w:tcW w:type="dxa" w:w="2880"/>
          </w:tcPr>
          <w:p>
            <w:r>
              <w:t>Scanning continuu pe toată infrastructura + dependencies</w:t>
            </w:r>
          </w:p>
        </w:tc>
      </w:tr>
      <w:tr>
        <w:tc>
          <w:tcPr>
            <w:tcW w:type="dxa" w:w="2880"/>
          </w:tcPr>
          <w:p>
            <w:r>
              <w:t>Sistem anti-malware centralizat pentru end-point-uri</w:t>
            </w:r>
          </w:p>
        </w:tc>
        <w:tc>
          <w:tcPr>
            <w:tcW w:type="dxa" w:w="2880"/>
          </w:tcPr>
          <w:p>
            <w:r>
              <w:t>CrowdStrike Falcon / SentinelOne Singularity (EDR) + Microsoft Defender</w:t>
            </w:r>
          </w:p>
        </w:tc>
        <w:tc>
          <w:tcPr>
            <w:tcW w:type="dxa" w:w="2880"/>
          </w:tcPr>
          <w:p>
            <w:r>
              <w:t>436 + 50 endpoints (conform cf. xlsx Sinteza)</w:t>
            </w:r>
          </w:p>
        </w:tc>
      </w:tr>
      <w:tr>
        <w:tc>
          <w:tcPr>
            <w:tcW w:type="dxa" w:w="2880"/>
          </w:tcPr>
          <w:p>
            <w:r>
              <w:t>Sistem de control acces — autentificare cf. zero-trust</w:t>
            </w:r>
          </w:p>
        </w:tc>
        <w:tc>
          <w:tcPr>
            <w:tcW w:type="dxa" w:w="2880"/>
          </w:tcPr>
          <w:p>
            <w:r>
              <w:t>Keycloak Enterprise + MFA TOTP/FIDO2 + RBAC/ABAC + just-in-time access</w:t>
            </w:r>
          </w:p>
        </w:tc>
        <w:tc>
          <w:tcPr>
            <w:tcW w:type="dxa" w:w="2880"/>
          </w:tcPr>
          <w:p>
            <w:r>
              <w:t>150 utilizatori interni + 185.000 portal (cap. 3.4.3.2.7)</w:t>
            </w:r>
          </w:p>
        </w:tc>
      </w:tr>
      <w:tr>
        <w:tc>
          <w:tcPr>
            <w:tcW w:type="dxa" w:w="2880"/>
          </w:tcPr>
          <w:p>
            <w:r>
              <w:t>Auditarea activităților realizate în sistem și a solicitărilor de acces</w:t>
            </w:r>
          </w:p>
        </w:tc>
        <w:tc>
          <w:tcPr>
            <w:tcW w:type="dxa" w:w="2880"/>
          </w:tcPr>
          <w:p>
            <w:r>
              <w:t>Splunk SIEM cu retenție IOC 3 ani (cap. 3.4.3.4.1.4); audit logging end-to-end în toate componentele aplicative</w:t>
            </w:r>
          </w:p>
        </w:tc>
        <w:tc>
          <w:tcPr>
            <w:tcW w:type="dxa" w:w="2880"/>
          </w:tcPr>
          <w:p>
            <w:r>
              <w:t>1 cluster SIEM cu retenție conform NIS2</w:t>
            </w:r>
          </w:p>
        </w:tc>
      </w:tr>
      <w:tr>
        <w:tc>
          <w:tcPr>
            <w:tcW w:type="dxa" w:w="2880"/>
          </w:tcPr>
          <w:p>
            <w:r>
              <w:t>Honeypot (cerință implicită cap. 3.4.3.4.1.2)</w:t>
            </w:r>
          </w:p>
        </w:tc>
        <w:tc>
          <w:tcPr>
            <w:tcW w:type="dxa" w:w="2880"/>
          </w:tcPr>
          <w:p>
            <w:r>
              <w:t>FortiDeceptor (4 instanțe Win × 4 vCPU)</w:t>
            </w:r>
          </w:p>
        </w:tc>
        <w:tc>
          <w:tcPr>
            <w:tcW w:type="dxa" w:w="2880"/>
          </w:tcPr>
          <w:p>
            <w:r>
              <w:t>1 management + 4 decoy</w:t>
            </w:r>
          </w:p>
        </w:tc>
      </w:tr>
      <w:tr>
        <w:tc>
          <w:tcPr>
            <w:tcW w:type="dxa" w:w="2880"/>
          </w:tcPr>
          <w:p>
            <w:r>
              <w:t>Email Security (cerință cap. 3.4.3.4.1.5)</w:t>
            </w:r>
          </w:p>
        </w:tc>
        <w:tc>
          <w:tcPr>
            <w:tcW w:type="dxa" w:w="2880"/>
          </w:tcPr>
          <w:p>
            <w:r>
              <w:t>Cisco IronPort / Secure Email Gateway</w:t>
            </w:r>
          </w:p>
        </w:tc>
        <w:tc>
          <w:tcPr>
            <w:tcW w:type="dxa" w:w="2880"/>
          </w:tcPr>
          <w:p>
            <w:r>
              <w:t>2 instanțe HA</w:t>
            </w:r>
          </w:p>
        </w:tc>
      </w:tr>
    </w:tbl>
    <w:p>
      <w:pPr>
        <w:spacing w:before="360" w:after="120"/>
      </w:pPr>
      <w:r>
        <w:rPr>
          <w:b/>
          <w:sz w:val="28"/>
        </w:rPr>
        <w:t>10.6 Confidențialitatea datelor (cf. cap. 3.4.7 CdS)</w:t>
      </w:r>
    </w:p>
    <w:p>
      <w:r>
        <w:t>Conform cap. 3.4.7 al Caietului de Sarcini, confidențialitatea este o activitate de bază pentru furnizarea serviciilor publice. Consorțiul implementează următoarele măsuri concrete pentru a respecta integral cerințele CdS:</w:t>
      </w:r>
    </w:p>
    <w:p>
      <w:pPr>
        <w:ind w:left="360"/>
      </w:pPr>
      <w:r>
        <w:t>• Acces protejat și auditat permanent — toate accesările datelor în SIDISVA sunt autentificate prin Keycloak (MFA pentru interni, ROeID/eIDAS pentru externi); fiecare accesare este loggată în Splunk SIEM cu identitate utilizator, timestamp, resursă accesată, IP origine; retenție log-uri 5 ani.</w:t>
      </w:r>
    </w:p>
    <w:p>
      <w:pPr>
        <w:ind w:left="360"/>
      </w:pPr>
      <w:r>
        <w:t>• Criptare BD pentru câmpuri sensibile — Microsoft SQL Server Enterprise oferă Transparent Data Encryption (TDE) pentru întreaga bază de date plus Always Encrypted pentru câmpurile cu PII (CNP, CUI, date contact); chei gestionate în Azure Key Vault HSM-backed (FIPS 140-2 Level 3).</w:t>
      </w:r>
    </w:p>
    <w:p>
      <w:pPr>
        <w:ind w:left="360"/>
      </w:pPr>
      <w:r>
        <w:t>• Comunicații securizate (SSL/TLS + VPN) — TLS 1.3 obligatoriu pe toate canalele (deprecate TLS 1.0/1.1/1.2); HSTS preload + Certificate Pinning în aplicațiile mobile; VPN IPSec site-to-site între cele 45 locații și centrul ANSVSA.</w:t>
      </w:r>
    </w:p>
    <w:p>
      <w:pPr>
        <w:ind w:left="360"/>
      </w:pPr>
      <w:r>
        <w:t>• Analiză periodică log-uri pentru identificare intruziuni — SIEM Splunk cu reguli MITRE ATT&amp;CK; SOC 24×7; threat hunting săptămânal; analiza pattern-uri lunare; raport trimestrial cu IoC-uri identificate și remediate.</w:t>
      </w:r>
    </w:p>
    <w:p>
      <w:pPr>
        <w:ind w:left="360"/>
      </w:pPr>
      <w:r>
        <w:t>• Privacy by Design și Privacy by Default — minimizare date colectate (doar necesarul serviciului); pseudo-anonimizare pentru analitică; retention policies automatizate; consimțământ explicit pentru prelucrări secundare; DPIA înainte de Go-live.</w:t>
      </w:r>
    </w:p>
    <w:p>
      <w:pPr>
        <w:ind w:left="360"/>
      </w:pPr>
      <w:r>
        <w:t>• Conformitate cu GDPR + NIS2 + L 354/2022 — toate principiile prelucrării respectate; notificare breach ANSPDCP în 72h conform Art. 33-34 GDPR; notificare DNSC în 24h/72h conform Art. 23 NIS2 + OUG 155/2024.</w:t>
      </w:r>
    </w:p>
    <w:p>
      <w:pPr>
        <w:spacing w:before="360" w:after="120"/>
      </w:pPr>
      <w:r>
        <w:rPr>
          <w:b/>
          <w:sz w:val="28"/>
        </w:rPr>
        <w:t>10.7 Cele 3 planuri obligatorii (cf. cap. 3.4.7 CdS)</w:t>
      </w:r>
    </w:p>
    <w:p>
      <w:r>
        <w:t>Cap. 3.4.7 al Caietului de Sarcini prevede explicit obligația de a elabora și menține 3 planuri de securitate. Consorțiul livrează aceste planuri ca documente standalone, actualizate anual pe perioada de garanție:</w:t>
      </w:r>
    </w:p>
    <w:p>
      <w:pPr>
        <w:spacing w:before="240" w:after="80"/>
      </w:pPr>
      <w:r>
        <w:rPr>
          <w:b/>
          <w:sz w:val="24"/>
        </w:rPr>
        <w:t>10.7.1 Planul de gestionare a riscurilor (Risk Management Plan)</w:t>
      </w:r>
    </w:p>
    <w:p>
      <w:pPr>
        <w:ind w:left="360"/>
      </w:pPr>
      <w:r>
        <w:t>• Cerința CdS: identificarea riscurilor, evaluarea potențialului impact, planificarea intervențiilor cu măsuri tehnice și organizatorice; nivel de securitate proporțional cu gradul de risc.</w:t>
      </w:r>
    </w:p>
    <w:p>
      <w:pPr>
        <w:ind w:left="360"/>
      </w:pPr>
      <w:r>
        <w:t>• Implementare consorțiu: metodologie ISO/IEC 27005 + NIST SP 800-30; identificare riscuri prin workshop-uri cu ANSVSA + threat modeling STRIDE; analiza calitativă (matrice probabilitate × impact 5×5) + analiză cantitativă (Monte Carlo pentru riscurile critice); plan mitigare per risc cu owner + termen + cost; reevaluare lunară de către Project Manager &lt;LIDER&gt; + reevaluare anuală cu DPO.</w:t>
      </w:r>
    </w:p>
    <w:p>
      <w:pPr>
        <w:ind w:left="360"/>
      </w:pPr>
      <w:r>
        <w:t>• Livrabil: Risk Register actualizat lunar în Confluence; Risk Review semestrial cu ANSVSA în Steering Committee.</w:t>
      </w:r>
    </w:p>
    <w:p>
      <w:pPr>
        <w:spacing w:before="240" w:after="80"/>
      </w:pPr>
      <w:r>
        <w:rPr>
          <w:b/>
          <w:sz w:val="24"/>
        </w:rPr>
        <w:t>10.7.2 Planul de continuitate a activității + Plan de rezervă și redresare (BCP/DR)</w:t>
      </w:r>
    </w:p>
    <w:p>
      <w:pPr>
        <w:ind w:left="360"/>
      </w:pPr>
      <w:r>
        <w:t>• Cerința CdS: instituirea procedurilor pentru asigurarea disponibilității funcțiilor după un eveniment dezastruos + readucerea tuturor funcțiilor la situația normală cât mai rapid.</w:t>
      </w:r>
    </w:p>
    <w:p>
      <w:pPr>
        <w:ind w:left="360"/>
      </w:pPr>
      <w:r>
        <w:t>• Implementare consorțiu: Business Continuity Plan (BCP) conform ISO 22301; Disaster Recovery Plan (DRP) cu RPO ≤1h și RTO ≤4h pentru funcții critice (Portal, BND-SNIIA, LIMS); strategie backup 3-2-1 (3 copii × 2 medii × 1 off-site); DR site secundar în Cloud Guvernamental regiune diferită; replicare asincronă continuă pentru date critice.</w:t>
      </w:r>
    </w:p>
    <w:p>
      <w:pPr>
        <w:ind w:left="360"/>
      </w:pPr>
      <w:r>
        <w:t>• Scenarii BCP testate: ransomware, indisponibilitate DC primar, atac DDoS prelungit, pierdere cont Cloud Guvernamental; testare DR semestrială pe perioada implementării + lunară pe perioada de garanție; rapoarte de exercițiu cu lessons learned.</w:t>
      </w:r>
    </w:p>
    <w:p>
      <w:pPr>
        <w:ind w:left="360"/>
      </w:pPr>
      <w:r>
        <w:t>• Livrabil: BCP + DRP ca documente standalone livrate în luna 8; actualizate anual.</w:t>
      </w:r>
    </w:p>
    <w:p>
      <w:pPr>
        <w:spacing w:before="240" w:after="80"/>
      </w:pPr>
      <w:r>
        <w:rPr>
          <w:b/>
          <w:sz w:val="24"/>
        </w:rPr>
        <w:t>10.7.3 Planul de acces la date și autorizare (Access Control Plan)</w:t>
      </w:r>
    </w:p>
    <w:p>
      <w:pPr>
        <w:ind w:left="360"/>
      </w:pPr>
      <w:r>
        <w:t>• Cerința CdS: stabilirea persoanelor care au acces la date, datele accesibile, condițiile accesării; monitorizarea accesului neautorizat și încălcărilor; măsuri documentate pentru prevenire.</w:t>
      </w:r>
    </w:p>
    <w:p>
      <w:pPr>
        <w:ind w:left="360"/>
      </w:pPr>
      <w:r>
        <w:t>• Implementare consorțiu: matrice de acces RBAC + ABAC documentată în Confluence + configurată tehnic în Keycloak Enterprise; principiul least privilege aplicat strict; access reviews trimestriale pentru utilizatorii cu privilegii ridicate; just-in-time access pentru administratori (acces temporar cu aprobare și logging detaliat); segregare obligații (separation of duties) între administratori IT și Data Stewards.</w:t>
      </w:r>
    </w:p>
    <w:p>
      <w:pPr>
        <w:ind w:left="360"/>
      </w:pPr>
      <w:r>
        <w:t>• Monitorizare access denied: alertă SIEM la 5+ încercări eșuate în 10 minute; alertă la accesare în afara orelor de program (pentru utilizatorii care nu sunt configurați explicit pentru on-call); raport săptămânal cu top 10 utilizatori cu activitate anormală.</w:t>
      </w:r>
    </w:p>
    <w:p>
      <w:pPr>
        <w:ind w:left="360"/>
      </w:pPr>
      <w:r>
        <w:t>• Livrabil: Access Control Plan ca document standalone; matrice RBAC actualizată lunar; audit trimestrial al rolurilor și permisiunilor.</w:t>
      </w:r>
    </w:p>
    <w:p>
      <w:pPr>
        <w:spacing w:before="360" w:after="120"/>
      </w:pPr>
      <w:r>
        <w:rPr>
          <w:b/>
          <w:sz w:val="28"/>
        </w:rPr>
        <w:t>10.8 Securitatea procesului de dezvoltare (DevSecOps shift-left)</w:t>
      </w:r>
    </w:p>
    <w:p>
      <w:r>
        <w:t>Conform principiului P5 (Securitate pe întreg ciclul de viață) din cap. 3.4.1.2 CdS, securitatea este integrată în procesul de dezvoltare prin practici DevSecOps shift-left:</w:t>
      </w:r>
    </w:p>
    <w:p>
      <w:pPr>
        <w:ind w:left="360"/>
      </w:pPr>
      <w:r>
        <w:t>• SAST (Static Application Security Testing) — analiză cod sursă în fiecare commit Git cu SonarQube + Semgrep + Checkmarx; gate-uri în pipeline CI/CD pentru blocarea CVE high/critical; rapoarte automate cu trending.</w:t>
      </w:r>
    </w:p>
    <w:p>
      <w:pPr>
        <w:ind w:left="360"/>
      </w:pPr>
      <w:r>
        <w:t>• DAST (Dynamic Application Security Testing) — testare săptămânală pe medii staging cu OWASP ZAP + Burp Suite Pro + Acunetix; scan full OWASP Top 10; rapoarte săptămânale către Security Champion.</w:t>
      </w:r>
    </w:p>
    <w:p>
      <w:pPr>
        <w:ind w:left="360"/>
      </w:pPr>
      <w:r>
        <w:t>• SCA (Software Composition Analysis) — Snyk + Trivy + OWASP Dependency-Check pe fiecare build; alertă instant la CVE high/critical într-o dependență; politică update max 30 zile pentru CVE critic.</w:t>
      </w:r>
    </w:p>
    <w:p>
      <w:pPr>
        <w:ind w:left="360"/>
      </w:pPr>
      <w:r>
        <w:t>• Secret Scanning — gitleaks + TruffleHog la fiecare commit pentru a preveni leak-uri credențiale (chei API, parole, token-uri JWT) în repository Git.</w:t>
      </w:r>
    </w:p>
    <w:p>
      <w:pPr>
        <w:ind w:left="360"/>
      </w:pPr>
      <w:r>
        <w:t>• Container Security — image scanning cu Trivy pentru imagini Docker; runtime protection cu Falco; policy-as-code cu Open Policy Agent (OPA) Gatekeeper pe Kubernetes.</w:t>
      </w:r>
    </w:p>
    <w:p>
      <w:pPr>
        <w:ind w:left="360"/>
      </w:pPr>
      <w:r>
        <w:t>• Threat Modeling — sesiune STRIDE per modul în faza de proiectare; ADR-uri cu impact securitate documentate; review obligatoriu de Arhitectul Sistem.</w:t>
      </w:r>
    </w:p>
    <w:p>
      <w:pPr>
        <w:ind w:left="360"/>
      </w:pPr>
      <w:r>
        <w:t>• Code Review obligatoriu — minimum 2 reviewers pentru orice merge în branch-uri principale; checklist de securitate inclus în template-ul de Pull Request.</w:t>
      </w:r>
    </w:p>
    <w:p>
      <w:pPr>
        <w:spacing w:before="360" w:after="120"/>
      </w:pPr>
      <w:r>
        <w:rPr>
          <w:b/>
          <w:sz w:val="28"/>
        </w:rPr>
        <w:t>10.9 Detectare și răspuns la incidente (Detect &amp; Respond)</w:t>
      </w:r>
    </w:p>
    <w:p>
      <w:r>
        <w:t>Conform principiului P6 (Securizarea operațiunilor) din cap. 3.4.1.2 CdS și obligațiilor NIS2 + OUG 155/2024, consorțiul implementează un cadru complet de detectare și răspuns la incidente:</w:t>
      </w:r>
    </w:p>
    <w:p>
      <w:pPr>
        <w:ind w:left="360"/>
      </w:pPr>
      <w:r>
        <w:t>• SIEM (Splunk Enterprise Security sau IBM QRadar) — colectare centralizată log-uri din toate componentele; normalizare Common Information Model (CIM); retenție IOC 3 ani conform cap. 3.4.3.4.1.4 CdS; corelație evenimente pe regulile MITRE ATT&amp;CK; peste 500 reguli de alertare predefinite.</w:t>
      </w:r>
    </w:p>
    <w:p>
      <w:pPr>
        <w:ind w:left="360"/>
      </w:pPr>
      <w:r>
        <w:t>• SOC (Security Operations Center) 24×7 — intern &lt;LIDER&gt; (echipă dedicată ISO 27001 certificată) sau externalizat la MSSP autorizat DNSC; structura tier 1 (triaj) + tier 2 (investigare) + tier 3 (forensics + threat hunting); rotație on-call.</w:t>
      </w:r>
    </w:p>
    <w:p>
      <w:pPr>
        <w:ind w:left="360"/>
      </w:pPr>
      <w:r>
        <w:t>• Honeypot FortiDeceptor — 4 instanțe decoy Windows × 4 vCPU (cf. cap. 3.4.3.4.1.2 CdS); decoys cu credențiale fake pentru detectarea lateral movement și a atacatorilor cu acces inițial; alertare imediată în SIEM.</w:t>
      </w:r>
    </w:p>
    <w:p>
      <w:pPr>
        <w:ind w:left="360"/>
      </w:pPr>
      <w:r>
        <w:t>• Threat Intelligence — feed-uri MISP (Malware Information Sharing Platform) + ENISA + DNSC (autoritatea națională) + commerciale (Recorded Future / Mandiant); integrare automată cu SIEM pentru corelație.</w:t>
      </w:r>
    </w:p>
    <w:p>
      <w:pPr>
        <w:ind w:left="360"/>
      </w:pPr>
      <w:r>
        <w:t>• SOAR (Security Orchestration, Automation and Response) — playbook-uri automate pentru incidente comune (brute force lockout, malware contain, phishing quarantine, ransomware indicators); izolare automată endpoints compromise.</w:t>
      </w:r>
    </w:p>
    <w:p>
      <w:pPr>
        <w:ind w:left="360"/>
      </w:pPr>
      <w:r>
        <w:t>• Notificare incidente conform NIS2 + OUG 155/2024 — early warning DNSC în 24h, notificare incident în 72h, raport final în 1 lună; proceduri pregătite pre-Go-live și testate prin exerciții semestriale; canal de comunicare DNSC validat.</w:t>
      </w:r>
    </w:p>
    <w:p>
      <w:pPr>
        <w:spacing w:before="360" w:after="120"/>
      </w:pPr>
      <w:r>
        <w:rPr>
          <w:b/>
          <w:sz w:val="28"/>
        </w:rPr>
        <w:t>10.10 Vulnerability management și penetration testing anual</w:t>
      </w:r>
    </w:p>
    <w:p>
      <w:r>
        <w:t>Conform cap. 3.4.9 punctul 13 al Caietului de Sarcini (managementul vulnerabilităților + teste de penetrare anuale), consorțiul oferă pe întreaga perioadă de garanție:</w:t>
      </w:r>
    </w:p>
    <w:p>
      <w:pPr>
        <w:ind w:left="360"/>
      </w:pPr>
      <w:r>
        <w:t>• Vulnerability scanning continuu — Tenable Nessus Professional + Qualys VMDR + OWASP Dependency-Check + Snyk + Trivy pentru containere; scanning automat săptămânal.</w:t>
      </w:r>
    </w:p>
    <w:p>
      <w:pPr>
        <w:ind w:left="360"/>
      </w:pPr>
      <w:r>
        <w:t>• SLA remediere — CVE Critical (CVSS 9.0+) în max 7 zile; CVE High (7.0-8.9) în max 30 zile; CVE Medium (4.0-6.9) în max 90 zile; CVE Low în max 180 zile sau next release.</w:t>
      </w:r>
    </w:p>
    <w:p>
      <w:pPr>
        <w:ind w:left="360"/>
      </w:pPr>
      <w:r>
        <w:t>• Penetration testing anual extern — auditor independent certificat ANSCC, schimbat la fiecare 2 ani; scope: aplicații web, API REST/GraphQL, infrastructură, aplicații mobile iOS/Android, social engineering simulat (phishing campaign).</w:t>
      </w:r>
    </w:p>
    <w:p>
      <w:pPr>
        <w:ind w:left="360"/>
      </w:pPr>
      <w:r>
        <w:t>• Metodologie pen-test: OWASP Testing Guide v4.2 + PTES + NIST SP 800-115; raport livrat ANSVSA în max 30 zile post finalizare; remediere obligatorie a findings Critical/High pre-acceptare.</w:t>
      </w:r>
    </w:p>
    <w:p>
      <w:pPr>
        <w:ind w:left="360"/>
      </w:pPr>
      <w:r>
        <w:t>• Bug Bounty intern în perioada UAT — utilizatori cheie ANSVSA invitați să raporteze probleme de securitate cu recompense simbolice; canal dedicat în Jira Service Management.</w:t>
      </w:r>
    </w:p>
    <w:p>
      <w:pPr>
        <w:spacing w:before="360" w:after="120"/>
      </w:pPr>
      <w:r>
        <w:rPr>
          <w:b/>
          <w:sz w:val="28"/>
        </w:rPr>
        <w:t>10.11 Conformitate cu Legea 354/2022 (protecția sistemelor IT publice)</w:t>
      </w:r>
    </w:p>
    <w:p>
      <w:r>
        <w:t>Legea 354/2022 privind protecția sistemelor informatice ale autorităților și instituțiilor publice în contextul invaziei declanșate de Federația Rusă împotriva Ucrainei impune restricții asupra utilizării de software de la producători din state cu risc de securitate cibernetică. Consorțiul confirmă conformitatea integrală:</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Categorie</w:t>
            </w:r>
          </w:p>
        </w:tc>
        <w:tc>
          <w:tcPr>
            <w:tcW w:type="dxa" w:w="2160"/>
          </w:tcPr>
          <w:p>
            <w:r/>
            <w:r>
              <w:rPr>
                <w:b/>
              </w:rPr>
              <w:t>Produs propus</w:t>
            </w:r>
          </w:p>
        </w:tc>
        <w:tc>
          <w:tcPr>
            <w:tcW w:type="dxa" w:w="2160"/>
          </w:tcPr>
          <w:p>
            <w:r/>
            <w:r>
              <w:rPr>
                <w:b/>
              </w:rPr>
              <w:t>Producător / Sediu</w:t>
            </w:r>
          </w:p>
        </w:tc>
        <w:tc>
          <w:tcPr>
            <w:tcW w:type="dxa" w:w="2160"/>
          </w:tcPr>
          <w:p>
            <w:r/>
            <w:r>
              <w:rPr>
                <w:b/>
              </w:rPr>
              <w:t>Conform L 354/2022</w:t>
            </w:r>
          </w:p>
        </w:tc>
      </w:tr>
      <w:tr>
        <w:tc>
          <w:tcPr>
            <w:tcW w:type="dxa" w:w="2160"/>
          </w:tcPr>
          <w:p>
            <w:r>
              <w:t>Antivirus / EDR</w:t>
            </w:r>
          </w:p>
        </w:tc>
        <w:tc>
          <w:tcPr>
            <w:tcW w:type="dxa" w:w="2160"/>
          </w:tcPr>
          <w:p>
            <w:r>
              <w:t>CrowdStrike Falcon / SentinelOne Singularity / MS Defender</w:t>
            </w:r>
          </w:p>
        </w:tc>
        <w:tc>
          <w:tcPr>
            <w:tcW w:type="dxa" w:w="2160"/>
          </w:tcPr>
          <w:p>
            <w:r>
              <w:t>SUA / SUA / SUA</w:t>
            </w:r>
          </w:p>
        </w:tc>
        <w:tc>
          <w:tcPr>
            <w:tcW w:type="dxa" w:w="2160"/>
          </w:tcPr>
          <w:p>
            <w:r>
              <w:t>Da (NU Kaspersky sau alte produse din state cu restricții)</w:t>
            </w:r>
          </w:p>
        </w:tc>
      </w:tr>
      <w:tr>
        <w:tc>
          <w:tcPr>
            <w:tcW w:type="dxa" w:w="2160"/>
          </w:tcPr>
          <w:p>
            <w:r>
              <w:t>NGFW</w:t>
            </w:r>
          </w:p>
        </w:tc>
        <w:tc>
          <w:tcPr>
            <w:tcW w:type="dxa" w:w="2160"/>
          </w:tcPr>
          <w:p>
            <w:r>
              <w:t>FortiGate / Palo Alto / Cisco Firepower</w:t>
            </w:r>
          </w:p>
        </w:tc>
        <w:tc>
          <w:tcPr>
            <w:tcW w:type="dxa" w:w="2160"/>
          </w:tcPr>
          <w:p>
            <w:r>
              <w:t>SUA / SUA / SUA</w:t>
            </w:r>
          </w:p>
        </w:tc>
        <w:tc>
          <w:tcPr>
            <w:tcW w:type="dxa" w:w="2160"/>
          </w:tcPr>
          <w:p>
            <w:r>
              <w:t>Da</w:t>
            </w:r>
          </w:p>
        </w:tc>
      </w:tr>
      <w:tr>
        <w:tc>
          <w:tcPr>
            <w:tcW w:type="dxa" w:w="2160"/>
          </w:tcPr>
          <w:p>
            <w:r>
              <w:t>WAF</w:t>
            </w:r>
          </w:p>
        </w:tc>
        <w:tc>
          <w:tcPr>
            <w:tcW w:type="dxa" w:w="2160"/>
          </w:tcPr>
          <w:p>
            <w:r>
              <w:t>F5 / Imperva / FortiWeb</w:t>
            </w:r>
          </w:p>
        </w:tc>
        <w:tc>
          <w:tcPr>
            <w:tcW w:type="dxa" w:w="2160"/>
          </w:tcPr>
          <w:p>
            <w:r>
              <w:t>SUA / Israel-SUA / SUA</w:t>
            </w:r>
          </w:p>
        </w:tc>
        <w:tc>
          <w:tcPr>
            <w:tcW w:type="dxa" w:w="2160"/>
          </w:tcPr>
          <w:p>
            <w:r>
              <w:t>Da</w:t>
            </w:r>
          </w:p>
        </w:tc>
      </w:tr>
      <w:tr>
        <w:tc>
          <w:tcPr>
            <w:tcW w:type="dxa" w:w="2160"/>
          </w:tcPr>
          <w:p>
            <w:r>
              <w:t>SIEM</w:t>
            </w:r>
          </w:p>
        </w:tc>
        <w:tc>
          <w:tcPr>
            <w:tcW w:type="dxa" w:w="2160"/>
          </w:tcPr>
          <w:p>
            <w:r>
              <w:t>Splunk Enterprise Security / IBM QRadar</w:t>
            </w:r>
          </w:p>
        </w:tc>
        <w:tc>
          <w:tcPr>
            <w:tcW w:type="dxa" w:w="2160"/>
          </w:tcPr>
          <w:p>
            <w:r>
              <w:t>SUA / SUA</w:t>
            </w:r>
          </w:p>
        </w:tc>
        <w:tc>
          <w:tcPr>
            <w:tcW w:type="dxa" w:w="2160"/>
          </w:tcPr>
          <w:p>
            <w:r>
              <w:t>Da</w:t>
            </w:r>
          </w:p>
        </w:tc>
      </w:tr>
      <w:tr>
        <w:tc>
          <w:tcPr>
            <w:tcW w:type="dxa" w:w="2160"/>
          </w:tcPr>
          <w:p>
            <w:r>
              <w:t>Honeypot</w:t>
            </w:r>
          </w:p>
        </w:tc>
        <w:tc>
          <w:tcPr>
            <w:tcW w:type="dxa" w:w="2160"/>
          </w:tcPr>
          <w:p>
            <w:r>
              <w:t>FortiDeceptor</w:t>
            </w:r>
          </w:p>
        </w:tc>
        <w:tc>
          <w:tcPr>
            <w:tcW w:type="dxa" w:w="2160"/>
          </w:tcPr>
          <w:p>
            <w:r>
              <w:t>SUA (Fortinet)</w:t>
            </w:r>
          </w:p>
        </w:tc>
        <w:tc>
          <w:tcPr>
            <w:tcW w:type="dxa" w:w="2160"/>
          </w:tcPr>
          <w:p>
            <w:r>
              <w:t>Da</w:t>
            </w:r>
          </w:p>
        </w:tc>
      </w:tr>
      <w:tr>
        <w:tc>
          <w:tcPr>
            <w:tcW w:type="dxa" w:w="2160"/>
          </w:tcPr>
          <w:p>
            <w:r>
              <w:t>NMS / NAC</w:t>
            </w:r>
          </w:p>
        </w:tc>
        <w:tc>
          <w:tcPr>
            <w:tcW w:type="dxa" w:w="2160"/>
          </w:tcPr>
          <w:p>
            <w:r>
              <w:t>Cisco DNA / Cisco ISE / Aruba ClearPass</w:t>
            </w:r>
          </w:p>
        </w:tc>
        <w:tc>
          <w:tcPr>
            <w:tcW w:type="dxa" w:w="2160"/>
          </w:tcPr>
          <w:p>
            <w:r>
              <w:t>SUA / SUA / SUA-HPE</w:t>
            </w:r>
          </w:p>
        </w:tc>
        <w:tc>
          <w:tcPr>
            <w:tcW w:type="dxa" w:w="2160"/>
          </w:tcPr>
          <w:p>
            <w:r>
              <w:t>Da</w:t>
            </w:r>
          </w:p>
        </w:tc>
      </w:tr>
      <w:tr>
        <w:tc>
          <w:tcPr>
            <w:tcW w:type="dxa" w:w="2160"/>
          </w:tcPr>
          <w:p>
            <w:r>
              <w:t>Email Security</w:t>
            </w:r>
          </w:p>
        </w:tc>
        <w:tc>
          <w:tcPr>
            <w:tcW w:type="dxa" w:w="2160"/>
          </w:tcPr>
          <w:p>
            <w:r>
              <w:t>Cisco IronPort / Secure Email</w:t>
            </w:r>
          </w:p>
        </w:tc>
        <w:tc>
          <w:tcPr>
            <w:tcW w:type="dxa" w:w="2160"/>
          </w:tcPr>
          <w:p>
            <w:r>
              <w:t>SUA</w:t>
            </w:r>
          </w:p>
        </w:tc>
        <w:tc>
          <w:tcPr>
            <w:tcW w:type="dxa" w:w="2160"/>
          </w:tcPr>
          <w:p>
            <w:r>
              <w:t>Da</w:t>
            </w:r>
          </w:p>
        </w:tc>
      </w:tr>
      <w:tr>
        <w:tc>
          <w:tcPr>
            <w:tcW w:type="dxa" w:w="2160"/>
          </w:tcPr>
          <w:p>
            <w:r>
              <w:t>SGBD</w:t>
            </w:r>
          </w:p>
        </w:tc>
        <w:tc>
          <w:tcPr>
            <w:tcW w:type="dxa" w:w="2160"/>
          </w:tcPr>
          <w:p>
            <w:r>
              <w:t>Microsoft SQL Server Enterprise</w:t>
            </w:r>
          </w:p>
        </w:tc>
        <w:tc>
          <w:tcPr>
            <w:tcW w:type="dxa" w:w="2160"/>
          </w:tcPr>
          <w:p>
            <w:r>
              <w:t>SUA (Microsoft)</w:t>
            </w:r>
          </w:p>
        </w:tc>
        <w:tc>
          <w:tcPr>
            <w:tcW w:type="dxa" w:w="2160"/>
          </w:tcPr>
          <w:p>
            <w:r>
              <w:t>Da</w:t>
            </w:r>
          </w:p>
        </w:tc>
      </w:tr>
      <w:tr>
        <w:tc>
          <w:tcPr>
            <w:tcW w:type="dxa" w:w="2160"/>
          </w:tcPr>
          <w:p>
            <w:r>
              <w:t>ESB</w:t>
            </w:r>
          </w:p>
        </w:tc>
        <w:tc>
          <w:tcPr>
            <w:tcW w:type="dxa" w:w="2160"/>
          </w:tcPr>
          <w:p>
            <w:r>
              <w:t>Oracle Service Bus</w:t>
            </w:r>
          </w:p>
        </w:tc>
        <w:tc>
          <w:tcPr>
            <w:tcW w:type="dxa" w:w="2160"/>
          </w:tcPr>
          <w:p>
            <w:r>
              <w:t>SUA (Oracle)</w:t>
            </w:r>
          </w:p>
        </w:tc>
        <w:tc>
          <w:tcPr>
            <w:tcW w:type="dxa" w:w="2160"/>
          </w:tcPr>
          <w:p>
            <w:r>
              <w:t>Da</w:t>
            </w:r>
          </w:p>
        </w:tc>
      </w:tr>
      <w:tr>
        <w:tc>
          <w:tcPr>
            <w:tcW w:type="dxa" w:w="2160"/>
          </w:tcPr>
          <w:p>
            <w:r>
              <w:t>IAM</w:t>
            </w:r>
          </w:p>
        </w:tc>
        <w:tc>
          <w:tcPr>
            <w:tcW w:type="dxa" w:w="2160"/>
          </w:tcPr>
          <w:p>
            <w:r>
              <w:t>Keycloak Enterprise</w:t>
            </w:r>
          </w:p>
        </w:tc>
        <w:tc>
          <w:tcPr>
            <w:tcW w:type="dxa" w:w="2160"/>
          </w:tcPr>
          <w:p>
            <w:r>
              <w:t>SUA (Red Hat / IBM)</w:t>
            </w:r>
          </w:p>
        </w:tc>
        <w:tc>
          <w:tcPr>
            <w:tcW w:type="dxa" w:w="2160"/>
          </w:tcPr>
          <w:p>
            <w:r>
              <w:t>Da</w:t>
            </w:r>
          </w:p>
        </w:tc>
      </w:tr>
      <w:tr>
        <w:tc>
          <w:tcPr>
            <w:tcW w:type="dxa" w:w="2160"/>
          </w:tcPr>
          <w:p>
            <w:r>
              <w:t>OS server</w:t>
            </w:r>
          </w:p>
        </w:tc>
        <w:tc>
          <w:tcPr>
            <w:tcW w:type="dxa" w:w="2160"/>
          </w:tcPr>
          <w:p>
            <w:r>
              <w:t>Red Hat Enterprise Linux 9 / Windows Server 2022</w:t>
            </w:r>
          </w:p>
        </w:tc>
        <w:tc>
          <w:tcPr>
            <w:tcW w:type="dxa" w:w="2160"/>
          </w:tcPr>
          <w:p>
            <w:r>
              <w:t>SUA / SUA</w:t>
            </w:r>
          </w:p>
        </w:tc>
        <w:tc>
          <w:tcPr>
            <w:tcW w:type="dxa" w:w="2160"/>
          </w:tcPr>
          <w:p>
            <w:r>
              <w:t>Da</w:t>
            </w:r>
          </w:p>
        </w:tc>
      </w:tr>
      <w:tr>
        <w:tc>
          <w:tcPr>
            <w:tcW w:type="dxa" w:w="2160"/>
          </w:tcPr>
          <w:p>
            <w:r>
              <w:t>Web/App server</w:t>
            </w:r>
          </w:p>
        </w:tc>
        <w:tc>
          <w:tcPr>
            <w:tcW w:type="dxa" w:w="2160"/>
          </w:tcPr>
          <w:p>
            <w:r>
              <w:t>NGINX Plus / Microsoft IIS</w:t>
            </w:r>
          </w:p>
        </w:tc>
        <w:tc>
          <w:tcPr>
            <w:tcW w:type="dxa" w:w="2160"/>
          </w:tcPr>
          <w:p>
            <w:r>
              <w:t>SUA (F5) / SUA (Microsoft)</w:t>
            </w:r>
          </w:p>
        </w:tc>
        <w:tc>
          <w:tcPr>
            <w:tcW w:type="dxa" w:w="2160"/>
          </w:tcPr>
          <w:p>
            <w:r>
              <w:t>Da</w:t>
            </w:r>
          </w:p>
        </w:tc>
      </w:tr>
      <w:tr>
        <w:tc>
          <w:tcPr>
            <w:tcW w:type="dxa" w:w="2160"/>
          </w:tcPr>
          <w:p>
            <w:r>
              <w:t>Productivity</w:t>
            </w:r>
          </w:p>
        </w:tc>
        <w:tc>
          <w:tcPr>
            <w:tcW w:type="dxa" w:w="2160"/>
          </w:tcPr>
          <w:p>
            <w:r>
              <w:t>Microsoft Office Home &amp; Business 2024</w:t>
            </w:r>
          </w:p>
        </w:tc>
        <w:tc>
          <w:tcPr>
            <w:tcW w:type="dxa" w:w="2160"/>
          </w:tcPr>
          <w:p>
            <w:r>
              <w:t>SUA</w:t>
            </w:r>
          </w:p>
        </w:tc>
        <w:tc>
          <w:tcPr>
            <w:tcW w:type="dxa" w:w="2160"/>
          </w:tcPr>
          <w:p>
            <w:r>
              <w:t>Da</w:t>
            </w:r>
          </w:p>
        </w:tc>
      </w:tr>
    </w:tbl>
    <w:p>
      <w:r>
        <w:t>Declarațiile producătorilor privind originea producției și absența componentelor critice din state cu restricții sunt anexate ca Anexa C la propunerea tehnică. În cazul modificărilor legislative ulterioare care extind restricțiile L 354/2022, consorțiul se angajează contractual să propună ANSVSA o alternativă echivalentă tehnic în max 30 de zile calendaristice, fără cost suplimentar.</w:t>
      </w:r>
    </w:p>
    <w:p>
      <w:pPr>
        <w:spacing w:before="360" w:after="120"/>
      </w:pPr>
      <w:r>
        <w:rPr>
          <w:b/>
          <w:sz w:val="28"/>
        </w:rPr>
        <w:t>10.12 Conformitate plafon minim 10% buget securitate cibernetică</w:t>
      </w:r>
    </w:p>
    <w:p>
      <w:r>
        <w:t>Conform cap. 11 al Caietului de Sarcini și Ghidului solicitantului POCIDIF, valoarea minimă finanțată pentru cheltuielile privind asigurarea securității cibernetice a rețelei și sistemelor informatice dezvoltate trebuie să fie de minim 10% din valoarea totală finanțată a proiectului.</w:t>
      </w:r>
    </w:p>
    <w:tbl>
      <w:tblPr>
        <w:tblStyle w:val="TableGrid"/>
        <w:tblW w:type="auto" w:w="0"/>
        <w:tblLook w:firstColumn="1" w:firstRow="1" w:lastColumn="0" w:lastRow="0" w:noHBand="0" w:noVBand="1" w:val="04A0"/>
      </w:tblPr>
      <w:tblGrid>
        <w:gridCol w:w="4320"/>
        <w:gridCol w:w="4320"/>
      </w:tblGrid>
      <w:tr>
        <w:tc>
          <w:tcPr>
            <w:tcW w:type="dxa" w:w="4320"/>
          </w:tcPr>
          <w:p>
            <w:r/>
            <w:r>
              <w:rPr>
                <w:b/>
              </w:rPr>
              <w:t>Element</w:t>
            </w:r>
          </w:p>
        </w:tc>
        <w:tc>
          <w:tcPr>
            <w:tcW w:type="dxa" w:w="4320"/>
          </w:tcPr>
          <w:p>
            <w:r/>
            <w:r>
              <w:rPr>
                <w:b/>
              </w:rPr>
              <w:t>Valoare</w:t>
            </w:r>
          </w:p>
        </w:tc>
      </w:tr>
      <w:tr>
        <w:tc>
          <w:tcPr>
            <w:tcW w:type="dxa" w:w="4320"/>
          </w:tcPr>
          <w:p>
            <w:r>
              <w:t>Valoarea totală eligibilă proiect SIDISVA</w:t>
            </w:r>
          </w:p>
        </w:tc>
        <w:tc>
          <w:tcPr>
            <w:tcW w:type="dxa" w:w="4320"/>
          </w:tcPr>
          <w:p>
            <w:r>
              <w:t>95.271.200,60 lei fără TVA</w:t>
            </w:r>
          </w:p>
        </w:tc>
      </w:tr>
      <w:tr>
        <w:tc>
          <w:tcPr>
            <w:tcW w:type="dxa" w:w="4320"/>
          </w:tcPr>
          <w:p>
            <w:r>
              <w:t>Plafon minim cheltuieli securitate cibernetică (10%)</w:t>
            </w:r>
          </w:p>
        </w:tc>
        <w:tc>
          <w:tcPr>
            <w:tcW w:type="dxa" w:w="4320"/>
          </w:tcPr>
          <w:p>
            <w:r>
              <w:t>9.527.120,06 lei fără TVA</w:t>
            </w:r>
          </w:p>
        </w:tc>
      </w:tr>
      <w:tr>
        <w:tc>
          <w:tcPr>
            <w:tcW w:type="dxa" w:w="4320"/>
          </w:tcPr>
          <w:p>
            <w:r>
              <w:t>Valoarea estimată contract achiziție</w:t>
            </w:r>
          </w:p>
        </w:tc>
        <w:tc>
          <w:tcPr>
            <w:tcW w:type="dxa" w:w="4320"/>
          </w:tcPr>
          <w:p>
            <w:r>
              <w:t>85.418.857,53 lei fără TVA</w:t>
            </w:r>
          </w:p>
        </w:tc>
      </w:tr>
      <w:tr>
        <w:tc>
          <w:tcPr>
            <w:tcW w:type="dxa" w:w="4320"/>
          </w:tcPr>
          <w:p>
            <w:r>
              <w:t>Plafon minim securitate raportat la contract</w:t>
            </w:r>
          </w:p>
        </w:tc>
        <w:tc>
          <w:tcPr>
            <w:tcW w:type="dxa" w:w="4320"/>
          </w:tcPr>
          <w:p>
            <w:r>
              <w:t>min. 8.541.885,75 lei fără TVA (10%)</w:t>
            </w:r>
          </w:p>
        </w:tc>
      </w:tr>
    </w:tbl>
    <w:p>
      <w:r>
        <w:t>Consorțiul &lt;LIDER&gt; confirmă că valoarea totală a componentelor de securitate (hardware + software + servicii) inclusă în Propunerea Financiară respectă acest plafon minim de 10%. Defalcarea exactă pe poziții este prezentată în Formularul de Propunere Financiară. Categoriile de cheltuieli de securitate cuprinse:</w:t>
      </w:r>
    </w:p>
    <w:p>
      <w:pPr>
        <w:ind w:left="360"/>
      </w:pPr>
      <w:r>
        <w:t>• Hardware securitate: WAF (2), Honeypot (1+4 inst), NMS/NAC (1+600 dev), SIEM (1 cluster), Email Security (2), NGFW centru (2), NGFW locații (90), EDR (486 endpoints)</w:t>
      </w:r>
    </w:p>
    <w:p>
      <w:pPr>
        <w:ind w:left="360"/>
      </w:pPr>
      <w:r>
        <w:t>• Licențe software securitate: SIEM Splunk/QRadar, antivirus EDR CrowdStrike/SentinelOne, WAF, Keycloak Enterprise (IAM), Mirth Connect (HL7 security), backup &amp; DR tools</w:t>
      </w:r>
    </w:p>
    <w:p>
      <w:pPr>
        <w:ind w:left="360"/>
      </w:pPr>
      <w:r>
        <w:t>• Servicii securitate implementare: configurare WAF/SIEM/NGFW (luna 8-12), penetration testing inițial (luna 17), DPIA elaborare (luna 16), DR site setup (luna 12-15), instruire securitate pentru administratori (luna 18)</w:t>
      </w:r>
    </w:p>
    <w:p>
      <w:pPr>
        <w:ind w:left="360"/>
      </w:pPr>
      <w:r>
        <w:t>• Servicii securitate garanție (3 ani): SOC 24×7, vulnerability scanning continuu, pen-test anual extern, threat intelligence feeds, exerciții simulare incidente semestrial</w:t>
      </w:r>
    </w:p>
    <w:p>
      <w:pPr>
        <w:ind w:left="360"/>
      </w:pPr>
      <w:r>
        <w:t>• Conformitate: audit ISO 27001 + ISO 27701 inițial + anual, asigurare cyber-risk pe perioada implementării și garanție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