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11. Măsuri de respectare a principiului DNSH</w:t>
      </w:r>
    </w:p>
    <w:p>
      <w:r>
        <w:t>Capitolul răspunde la cap. 3.4.8 din Caietul de Sarcini (Implementarea principiului Do No Significant Harm) și la Factorul de evaluare nr. 4 din Fișa de date (10 puncte, repartizate pe subfactorii 4.1 Consum energie laptop stare de veghe = 5p și 4.2 Ambalaje reciclabile + livrare cu emisii reduse = 5p). &lt;LIDER&gt;, în asociere cu cei 8 furnizori specializați ai consorțiului, țintește punctajul maxim pe ambii subfactori (5 + 5 = 10 puncte), prin alegeri tehnice și logistice concrete, măsurabile și documentate prin acte producători + rapoarte testare + contracte logistice anexate ofertei.</w:t>
      </w:r>
    </w:p>
    <w:p>
      <w:pPr>
        <w:pStyle w:val="Heading2"/>
      </w:pPr>
      <w:r>
        <w:t>11.1 Cadrul juridic DNSH</w:t>
      </w:r>
    </w:p>
    <w:p>
      <w:r>
        <w:t>Principiul Do No Significant Harm (DNSH), instituit prin Regulamentul (UE) 2020/852 al Parlamentului European și al Consiliului din 18 iunie 2020 privind instituirea unui cadru de facilitare a investițiilor durabile (Taxonomy Regulation), impune ca activitățile finanțate din fonduri europene — inclusiv programul POCIDIF din care este finanțat proiectul SIDISVA — să nu aducă prejudicii semnificative niciunuia dintre cele 6 obiective de mediu:</w:t>
      </w:r>
    </w:p>
    <w:p>
      <w:pPr>
        <w:pStyle w:val="ListBullet"/>
      </w:pPr>
      <w:r>
        <w:t>Atenuarea schimbărilor climatice (climate change mitigation) — reducerea emisiilor de gaze cu efect de seră;</w:t>
      </w:r>
    </w:p>
    <w:p>
      <w:pPr>
        <w:pStyle w:val="ListBullet"/>
      </w:pPr>
      <w:r>
        <w:t>Adaptarea la schimbările climatice (climate change adaptation) — reziliența infrastructurii la riscuri climatice;</w:t>
      </w:r>
    </w:p>
    <w:p>
      <w:pPr>
        <w:pStyle w:val="ListBullet"/>
      </w:pPr>
      <w:r>
        <w:t>Utilizarea durabilă și protecția resurselor de apă și marine;</w:t>
      </w:r>
    </w:p>
    <w:p>
      <w:pPr>
        <w:pStyle w:val="ListBullet"/>
      </w:pPr>
      <w:r>
        <w:t>Tranziția la o economie circulară — reducere deșeuri, reciclare, reutilizare;</w:t>
      </w:r>
    </w:p>
    <w:p>
      <w:pPr>
        <w:pStyle w:val="ListBullet"/>
      </w:pPr>
      <w:r>
        <w:t>Prevenirea și controlul poluării;</w:t>
      </w:r>
    </w:p>
    <w:p>
      <w:pPr>
        <w:pStyle w:val="ListBullet"/>
      </w:pPr>
      <w:r>
        <w:t>Protecția și restaurarea biodiversității și a ecosistemelor.</w:t>
      </w:r>
    </w:p>
    <w:p>
      <w:r>
        <w:t>Pentru SIDISVA — sistem informatic implementat în Cloud Guvernamental (conform OUG 89/2022), cu echipamente hardware periferice (100 laptopuri ANSVSA + 336 echipamente teren DSVSA + 90 NGFW + switch-uri + IoT laborator) — DNSH se concretizează în 5 direcții principale de implementare, conform cap. 3.4.8 CdS (detaliate în §11.4 al ofertei).</w:t>
      </w:r>
    </w:p>
    <w:p>
      <w:pPr>
        <w:pStyle w:val="Heading2"/>
      </w:pPr>
      <w:r>
        <w:t>11.2 Subfactor 4.1 — Consum energie laptop în modul stare de veghe (5 puncte)</w:t>
      </w:r>
    </w:p>
    <w:p>
      <w:r>
        <w:rPr>
          <w:b/>
        </w:rPr>
        <w:t>Cerința minimă obligatorie din Fișa de date (Factor 4.1):</w:t>
      </w:r>
    </w:p>
    <w:p>
      <w:r>
        <w:rPr>
          <w:i/>
        </w:rPr>
        <w:t>Laptopurile ofertate trebuie să aibă un consum în modul stare de veghe de maxim 20 Wh. Peste 20 Wh → ofertă neconformă, eliminată din evaluare.</w:t>
      </w:r>
    </w:p>
    <w:p>
      <w:r>
        <w:rPr>
          <w:b/>
        </w:rPr>
        <w:t>Algoritmul de punctaj:</w:t>
      </w:r>
    </w:p>
    <w:p>
      <w:pPr>
        <w:pStyle w:val="ListBullet"/>
      </w:pPr>
      <w:r>
        <w:t>Cel mai mic consum dintre ofertanți (Cmin) = 5 puncte;</w:t>
      </w:r>
    </w:p>
    <w:p>
      <w:pPr>
        <w:pStyle w:val="ListBullet"/>
      </w:pPr>
      <w:r>
        <w:t>Pentru alte oferte: P(n) = (Cmin / Cn) × 5 puncte, cu rotunjire la 2 zecimale.</w:t>
      </w:r>
    </w:p>
    <w:p>
      <w:r>
        <w:rPr>
          <w:b/>
        </w:rPr>
        <w:t>Strategia &lt;LIDER&gt; pentru maximizarea P4.1:</w:t>
      </w:r>
    </w:p>
    <w:p>
      <w:pPr>
        <w:pStyle w:val="ListBullet"/>
      </w:pPr>
      <w:r>
        <w:t>Ofertăm 100 laptopuri model [Producător/Model — de completat] cu consum în modul veghe de [X] Wh — valoare semnificativ sub plafonul de 20 Wh și competitivă față de oferte concurente;</w:t>
      </w:r>
    </w:p>
    <w:p>
      <w:pPr>
        <w:pStyle w:val="ListBullet"/>
      </w:pPr>
      <w:r>
        <w:t>Modelul deține certificare ENERGY STAR versiunea 8.0 (sau ulterioară, valabilă la data depunerii) — conform Deciziei (UE) 2020/1804 a Comisiei privind criteriile EU Ecolabel pentru computere și echipamente afișaj electronic;</w:t>
      </w:r>
    </w:p>
    <w:p>
      <w:pPr>
        <w:pStyle w:val="ListBullet"/>
      </w:pPr>
      <w:r>
        <w:t>Modelul deține și certificare EU Ecolabel (sau echivalent recunoscut internațional — TCO Certified, EPEAT Gold), confirmând conformitatea cu cele 6 obiective DNSH;</w:t>
      </w:r>
    </w:p>
    <w:p>
      <w:pPr>
        <w:pStyle w:val="ListBullet"/>
      </w:pPr>
      <w:r>
        <w:t>Documente justificative anexate ofertei (Anexa I — DNSH):</w:t>
      </w:r>
    </w:p>
    <w:p>
      <w:pPr>
        <w:pStyle w:val="ListBullet"/>
      </w:pPr>
      <w:r>
        <w:t>Fișa tehnică oficială producător (datasheet) cu specificația explicită consum stare de veghe (Sleep Mode) în Wh;</w:t>
      </w:r>
    </w:p>
    <w:p>
      <w:pPr>
        <w:pStyle w:val="ListBullet"/>
      </w:pPr>
      <w:r>
        <w:t>Certificat ENERGY STAR pentru modelul exact ofertat (printscreen Energy Star Product Finder cu QR/URL verificabil);</w:t>
      </w:r>
    </w:p>
    <w:p>
      <w:pPr>
        <w:pStyle w:val="ListBullet"/>
      </w:pPr>
      <w:r>
        <w:t>Certificat EU Ecolabel sau echivalent (TCO Certified / EPEAT Gold);</w:t>
      </w:r>
    </w:p>
    <w:p>
      <w:pPr>
        <w:pStyle w:val="ListBullet"/>
      </w:pPr>
      <w:r>
        <w:t>Raport de testare independent al consumului (laborator acreditat).</w:t>
      </w:r>
    </w:p>
    <w:p>
      <w:pPr>
        <w:pStyle w:val="Heading2"/>
      </w:pPr>
      <w:r>
        <w:t>11.3 Subfactor 4.2 — Ambalaje reciclabile + livrare cu emisii reduse (5 puncte)</w:t>
      </w:r>
    </w:p>
    <w:p>
      <w:r>
        <w:rPr>
          <w:b/>
        </w:rPr>
        <w:t>Algoritmul de punctaj din Fișa de date (Factor 4.2):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Punctaj</w:t>
            </w:r>
          </w:p>
        </w:tc>
        <w:tc>
          <w:tcPr>
            <w:tcW w:type="dxa" w:w="4986"/>
          </w:tcPr>
          <w:p>
            <w:r>
              <w:rPr>
                <w:b/>
              </w:rPr>
              <w:t>Condiție îndeplinită</w:t>
            </w:r>
          </w:p>
        </w:tc>
      </w:tr>
      <w:tr>
        <w:tc>
          <w:tcPr>
            <w:tcW w:type="dxa" w:w="4986"/>
          </w:tcPr>
          <w:p>
            <w:r>
              <w:t>0 puncte</w:t>
            </w:r>
          </w:p>
        </w:tc>
        <w:tc>
          <w:tcPr>
            <w:tcW w:type="dxa" w:w="4986"/>
          </w:tcPr>
          <w:p>
            <w:r>
              <w:t>Nicio măsură concretă declarată / documentată</w:t>
            </w:r>
          </w:p>
        </w:tc>
      </w:tr>
      <w:tr>
        <w:tc>
          <w:tcPr>
            <w:tcW w:type="dxa" w:w="4986"/>
          </w:tcPr>
          <w:p>
            <w:r>
              <w:t>2 puncte</w:t>
            </w:r>
          </w:p>
        </w:tc>
        <w:tc>
          <w:tcPr>
            <w:tcW w:type="dxa" w:w="4986"/>
          </w:tcPr>
          <w:p>
            <w:r>
              <w:t>Ambalaje reciclabile sau reutilizabile, dar fără măsuri pentru emisii livrare</w:t>
            </w:r>
          </w:p>
        </w:tc>
      </w:tr>
      <w:tr>
        <w:tc>
          <w:tcPr>
            <w:tcW w:type="dxa" w:w="4986"/>
          </w:tcPr>
          <w:p>
            <w:r>
              <w:t>5 puncte</w:t>
            </w:r>
          </w:p>
        </w:tc>
        <w:tc>
          <w:tcPr>
            <w:tcW w:type="dxa" w:w="4986"/>
          </w:tcPr>
          <w:p>
            <w:r>
              <w:t>Ambalaje reciclabile/reutilizabile + livrare cu mijloace de transport cu emisii reduse (electric/hibrid)</w:t>
            </w:r>
          </w:p>
        </w:tc>
      </w:tr>
    </w:tbl>
    <w:p>
      <w:r>
        <w:rPr>
          <w:b/>
        </w:rPr>
        <w:t>Măsurile concrete asumate de &lt;LIDER&gt; pentru punctajul maxim de 5 puncte:</w:t>
      </w:r>
    </w:p>
    <w:p>
      <w:pPr>
        <w:pStyle w:val="Heading3"/>
      </w:pPr>
      <w:r>
        <w:t>11.3.1 Ambalaje reciclabile / reutilizabile</w:t>
      </w:r>
    </w:p>
    <w:p>
      <w:pPr>
        <w:pStyle w:val="ListBullet"/>
      </w:pPr>
      <w:r>
        <w:t>Ambalare 100% materiale reciclabile: carton cu certificare FSC (Forest Stewardship Council — gestionare responsabilă a pădurilor), folie biodegradabilă (PLA - acid polilactic, compostabilă), bandă adezivă din hârtie kraft;</w:t>
      </w:r>
    </w:p>
    <w:p>
      <w:pPr>
        <w:pStyle w:val="ListBullet"/>
      </w:pPr>
      <w:r>
        <w:t>ELIMINAREA polistirenului expandat (EPS) — material non-reciclabil în România; înlocuit cu fagure de carton reciclat sau bigboard;</w:t>
      </w:r>
    </w:p>
    <w:p>
      <w:pPr>
        <w:pStyle w:val="ListBullet"/>
      </w:pPr>
      <w:r>
        <w:t>Marcaj clar pe fiecare ambalaj cu pictograma Möbius (logo reciclare ▲) + cod material + instrucțiuni directe pentru utilizatorul final;</w:t>
      </w:r>
    </w:p>
    <w:p>
      <w:pPr>
        <w:pStyle w:val="ListBullet"/>
      </w:pPr>
      <w:r>
        <w:t>Furnizorul de ambalaje deține certificare ISO 14001 (sistem management mediu) și politici clare de aprovizionare din materiale reciclate (min 70% conținut reciclat post-consum).</w:t>
      </w:r>
    </w:p>
    <w:p>
      <w:pPr>
        <w:pStyle w:val="Heading3"/>
      </w:pPr>
      <w:r>
        <w:t>11.3.2 Livrare cu mijloace de transport cu emisii reduse</w:t>
      </w:r>
    </w:p>
    <w:p>
      <w:pPr>
        <w:pStyle w:val="ListBullet"/>
      </w:pPr>
      <w:r>
        <w:t>Livrare consolidată: gruparea echipamentelor destinate aceleiași DSVSA / Institut într-o singură expediție, pentru maximizarea load factor (&gt;85%) și reducerea numărului total de transporturi;</w:t>
      </w:r>
    </w:p>
    <w:p>
      <w:pPr>
        <w:pStyle w:val="ListBullet"/>
      </w:pPr>
      <w:r>
        <w:t>Vehicule electrice (BEV) sau hibride (PHEV) pentru livrările intra-urbane — București (sediul ANSVSA + 2 institute din zonă), Cluj-Napoca, Iași, Timișoara, Constanța (capitale județene cu hub-uri logistice ale furnizorului);</w:t>
      </w:r>
    </w:p>
    <w:p>
      <w:pPr>
        <w:pStyle w:val="ListBullet"/>
      </w:pPr>
      <w:r>
        <w:t>Pentru rute inter-urbane lungi: vehicule Euro 6d-Final sau hibride; optimizare trasee prin software de planificare logistică (algoritmi TSP/VRP) pentru minimizarea km parcurși;</w:t>
      </w:r>
    </w:p>
    <w:p>
      <w:pPr>
        <w:pStyle w:val="ListBullet"/>
      </w:pPr>
      <w:r>
        <w:t>Compensare emisii reziduale (CO2e) prin program certificat de carbon offset — plantare pomi prin parteneriat cu organizație acreditată Gold Standard / Verra (VCS);</w:t>
      </w:r>
    </w:p>
    <w:p>
      <w:pPr>
        <w:pStyle w:val="ListBullet"/>
      </w:pPr>
      <w:r>
        <w:t>Furnizorul logistic se angajează prin contract semnat la respectarea tuturor măsurilor de mai sus, cu raportare lunară de KPI mediu (km totali, emisii estimate CO2e, procent vehicule curate).</w:t>
      </w:r>
    </w:p>
    <w:p>
      <w:r>
        <w:rPr>
          <w:b/>
        </w:rPr>
        <w:t>Documente justificative anexate ofertei (Anexa I — DNSH):</w:t>
      </w:r>
    </w:p>
    <w:p>
      <w:pPr>
        <w:pStyle w:val="ListBullet"/>
      </w:pPr>
      <w:r>
        <w:t>Contract cu furnizorul logistic care detaliază măsurile DNSH (flotă mixt BEV/PHEV + vehicule Euro 6d);</w:t>
      </w:r>
    </w:p>
    <w:p>
      <w:pPr>
        <w:pStyle w:val="ListBullet"/>
      </w:pPr>
      <w:r>
        <w:t>Certificate ISO 14001 furnizor ambalaje + furnizor logistic;</w:t>
      </w:r>
    </w:p>
    <w:p>
      <w:pPr>
        <w:pStyle w:val="ListBullet"/>
      </w:pPr>
      <w:r>
        <w:t>Specificația FSC pentru materialele de ambalare;</w:t>
      </w:r>
    </w:p>
    <w:p>
      <w:pPr>
        <w:pStyle w:val="ListBullet"/>
      </w:pPr>
      <w:r>
        <w:t>Raport amprentă carbon estimată pentru întregul lot de livrare (calculat pe bază GHG Protocol Scope 1+3);</w:t>
      </w:r>
    </w:p>
    <w:p>
      <w:pPr>
        <w:pStyle w:val="ListBullet"/>
      </w:pPr>
      <w:r>
        <w:t>Certificat carbon offset (compensare emisii reziduale Gold Standard / Verra).</w:t>
      </w:r>
    </w:p>
    <w:p>
      <w:pPr>
        <w:pStyle w:val="Heading2"/>
      </w:pPr>
      <w:r>
        <w:t>11.4 Implementare aspecte DNSH din cap. 3.4.8 CdS</w:t>
      </w:r>
    </w:p>
    <w:p>
      <w:r>
        <w:t>Cap. 3.4.8 din Caietul de Sarcini identifică 5 aspecte cheie de implementare DNSH în proiectele IT finanțate din fonduri europene. &lt;LIDER&gt; abordează fiecare dintre acestea prin măsuri concrete:</w:t>
      </w:r>
    </w:p>
    <w:p>
      <w:pPr>
        <w:pStyle w:val="Heading3"/>
      </w:pPr>
      <w:r>
        <w:t>11.4.1 Eficiența energetică a infrastructurii IT</w:t>
      </w:r>
    </w:p>
    <w:p>
      <w:pPr>
        <w:pStyle w:val="ListBullet"/>
      </w:pPr>
      <w:r>
        <w:t>Hardware eficient energetic: toate echipamentele ofertate (laptopuri ANSVSA, terminale teren DSVSA, servere centru, switch-uri și NGFW) sunt selectate cu criteriul consum energetic redus + certificare ENERGY STAR sau echivalent;</w:t>
      </w:r>
    </w:p>
    <w:p>
      <w:pPr>
        <w:pStyle w:val="ListBullet"/>
      </w:pPr>
      <w:r>
        <w:t>Cloud-Native + containerizare (Docker/Kubernetes) — densitate mare de servicii pe același hardware fizic, reducând numărul total de servere și consumul agregat;</w:t>
      </w:r>
    </w:p>
    <w:p>
      <w:pPr>
        <w:pStyle w:val="ListBullet"/>
      </w:pPr>
      <w:r>
        <w:t>Auto-scaling orizontal: aplicațiile pornesc/opresc instanțe automate funcție de încărcare → consum redus în perioade off-peak (nopți, weekend);</w:t>
      </w:r>
    </w:p>
    <w:p>
      <w:pPr>
        <w:pStyle w:val="ListBullet"/>
      </w:pPr>
      <w:r>
        <w:t>Cloud Guvernamental: data center-ul gazdă (Azure RO / Azure Stack conform OUG 89/2022) folosește energie în mare parte din surse regenerabile (angajament Microsoft 100% energie regenerabilă până 2025);</w:t>
      </w:r>
    </w:p>
    <w:p>
      <w:pPr>
        <w:pStyle w:val="ListBullet"/>
      </w:pPr>
      <w:r>
        <w:t>Monitorizare PUE (Power Usage Effectiveness) și raportare periodică către ANSVSA.</w:t>
      </w:r>
    </w:p>
    <w:p>
      <w:pPr>
        <w:pStyle w:val="Heading3"/>
      </w:pPr>
      <w:r>
        <w:t>11.4.2 Gestionarea deșeurilor electronice (WEEE)</w:t>
      </w:r>
    </w:p>
    <w:p>
      <w:pPr>
        <w:pStyle w:val="ListBullet"/>
      </w:pPr>
      <w:r>
        <w:t>&lt;LIDER&gt; respectă Directiva 2012/19/UE (WEEE — Waste Electrical and Electronic Equipment) și transpunerea ei în legislația națională (OUG 5/2015, modificată);</w:t>
      </w:r>
    </w:p>
    <w:p>
      <w:pPr>
        <w:pStyle w:val="ListBullet"/>
      </w:pPr>
      <w:r>
        <w:t>Toate echipamentele uzate provenite din implementarea / mentenanță / sfârșit ciclu viață vor fi predate către operatori autorizați WEEE (RoRec, Eco-Tic, Eco-WEEE etc.) cu emiterea Procesului-Verbal de predare către ANSVSA;</w:t>
      </w:r>
    </w:p>
    <w:p>
      <w:pPr>
        <w:pStyle w:val="ListBullet"/>
      </w:pPr>
      <w:r>
        <w:t>Servicii post-implementare: la fiecare schimbare de echipament (sub garanție sau extra-garanție), echipamentul vechi este preluat de &lt;LIDER&gt; pentru reciclare / reutilizare componente, fără cost adițional pentru ANSVSA;</w:t>
      </w:r>
    </w:p>
    <w:p>
      <w:pPr>
        <w:pStyle w:val="ListBullet"/>
      </w:pPr>
      <w:r>
        <w:t>Politica de reciclare este aplicată și pentru ambalajele de transport (vezi §11.3.1).</w:t>
      </w:r>
    </w:p>
    <w:p>
      <w:pPr>
        <w:pStyle w:val="Heading3"/>
      </w:pPr>
      <w:r>
        <w:t>11.4.3 Alegerea furnizorilor responsabili</w:t>
      </w:r>
    </w:p>
    <w:p>
      <w:pPr>
        <w:pStyle w:val="ListBullet"/>
      </w:pPr>
      <w:r>
        <w:t>Selecția furnizorilor de hardware (laptopuri, servere, switch-uri, NGFW) se face cu prioritate pentru producători cu politici solide de mediu: aderare la inițiativele Climate Pledge, RE100, SBTi (Science Based Targets initiative);</w:t>
      </w:r>
    </w:p>
    <w:p>
      <w:pPr>
        <w:pStyle w:val="ListBullet"/>
      </w:pPr>
      <w:r>
        <w:t>Producători preferați: Lenovo (ThinkPad / ThinkBook — RE100, Climate Pledge), HP / HPE (Climate Pledge, raportare CDP), Dell (Net Zero by 2050), Cisco (Net Zero by 2040), Fortinet (raportare CDP), Microsoft (carbon negative by 2030);</w:t>
      </w:r>
    </w:p>
    <w:p>
      <w:pPr>
        <w:pStyle w:val="ListBullet"/>
      </w:pPr>
      <w:r>
        <w:t>Furnizori cu certificare ISO 14001 (management de mediu) obligatorie pe lanțul de aprovizionare;</w:t>
      </w:r>
    </w:p>
    <w:p>
      <w:pPr>
        <w:pStyle w:val="ListBullet"/>
      </w:pPr>
      <w:r>
        <w:t>Lanț de aprovizionare verificat: &lt;LIDER&gt; respinge furnizorii incluși pe liste de sancțiuni internaționale (EU, US OFAC, UN) sau cu antecedente publice de practici neetice (muncă forțată, contaminare ape).</w:t>
      </w:r>
    </w:p>
    <w:p>
      <w:pPr>
        <w:pStyle w:val="Heading3"/>
      </w:pPr>
      <w:r>
        <w:t>11.4.4 Reducerea impactului transportului</w:t>
      </w:r>
    </w:p>
    <w:p>
      <w:pPr>
        <w:pStyle w:val="ListBullet"/>
      </w:pPr>
      <w:r>
        <w:t>Măsurile detaliate sunt prezentate în §11.3.2 (vehicule electrice/hibride pentru livrările intra-urbane, consolidare livrări, optimizare trasee);</w:t>
      </w:r>
    </w:p>
    <w:p>
      <w:pPr>
        <w:pStyle w:val="ListBullet"/>
      </w:pPr>
      <w:r>
        <w:t>Adițional pentru perioada de implementare: deplasările echipei &lt;LIDER&gt; la sediile ANSVSA / DSVSA / Institute se optimizează prin grupare misiuni și prioritizare deplasări fizice doar acolo unde lucru remote / hibrid nu este suficient;</w:t>
      </w:r>
    </w:p>
    <w:p>
      <w:pPr>
        <w:pStyle w:val="ListBullet"/>
      </w:pPr>
      <w:r>
        <w:t>Pentru instruiri (cap. 12 ofertă): minim 50% sesiuni prin webinar / e-learning (LMS Moodle/Open edX) pentru reducerea deplasărilor a 144 utilizatori + 3 administratori la sediul central de instruire.</w:t>
      </w:r>
    </w:p>
    <w:p>
      <w:pPr>
        <w:pStyle w:val="Heading3"/>
      </w:pPr>
      <w:r>
        <w:t>11.4.5 Energie regenerabilă pentru data center</w:t>
      </w:r>
    </w:p>
    <w:p>
      <w:pPr>
        <w:pStyle w:val="ListBullet"/>
      </w:pPr>
      <w:r>
        <w:t>Sistemul SIDISVA este implementat în Cloud Privat Guvernamental conform OUG 89/2022 — operatorul Cloud Guvernamental (Azure RO / STS / Special Telecommunications Service România) garantează utilizarea de energie în proporție crescândă din surse regenerabile;</w:t>
      </w:r>
    </w:p>
    <w:p>
      <w:pPr>
        <w:pStyle w:val="ListBullet"/>
      </w:pPr>
      <w:r>
        <w:t>Reducere consum prin tehnici Cloud-Native (densitate VM, auto-scaling, hibernare automată instanțe inactive);</w:t>
      </w:r>
    </w:p>
    <w:p>
      <w:pPr>
        <w:pStyle w:val="ListBullet"/>
      </w:pPr>
      <w:r>
        <w:t>Pentru perioada de mentenanță 3 ani, &lt;LIDER&gt; raportează semestrial către ANSVSA consumul de energie estimat al infrastructurii cloud + emisii CO2e estimate (calcul conform GHG Protocol Scope 2 Market-Based);</w:t>
      </w:r>
    </w:p>
    <w:p>
      <w:pPr>
        <w:pStyle w:val="ListBullet"/>
      </w:pPr>
      <w:r>
        <w:t>&lt;LIDER&gt; oferă recomandări de optimizare periodică (sizing right, eliminare resurse neutilizate, green computing).</w:t>
      </w:r>
    </w:p>
    <w:p>
      <w:pPr>
        <w:pStyle w:val="Heading2"/>
      </w:pPr>
      <w:r>
        <w:t>11.5 Mapare cele 6 obiective DNSH → măsuri concrete SIDISVA</w:t>
      </w:r>
    </w:p>
    <w:p>
      <w:r>
        <w:t>Tabelul de mai jos arată corespondența între cele 6 obiective de mediu din Regulamentul (UE) 2020/852 și măsurile concrete asumate de &lt;LIDER&gt; pentru implementarea SIDISVA. Comisia de evaluare poate verifica fiecare obiectiv față de documentația anexată (Anexa I — DNSH).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Obiectiv DNSH (Reg. UE 2020/852)</w:t>
            </w:r>
          </w:p>
        </w:tc>
        <w:tc>
          <w:tcPr>
            <w:tcW w:type="dxa" w:w="3324"/>
          </w:tcPr>
          <w:p>
            <w:r>
              <w:rPr>
                <w:b/>
              </w:rPr>
              <w:t>Măsură concretă SIDISVA</w:t>
            </w:r>
          </w:p>
        </w:tc>
        <w:tc>
          <w:tcPr>
            <w:tcW w:type="dxa" w:w="3324"/>
          </w:tcPr>
          <w:p>
            <w:r>
              <w:rPr>
                <w:b/>
              </w:rPr>
              <w:t>Document justificativ</w:t>
            </w:r>
          </w:p>
        </w:tc>
      </w:tr>
      <w:tr>
        <w:tc>
          <w:tcPr>
            <w:tcW w:type="dxa" w:w="3324"/>
          </w:tcPr>
          <w:p>
            <w:r>
              <w:t>1. Atenuarea schimbărilor climatice</w:t>
            </w:r>
          </w:p>
        </w:tc>
        <w:tc>
          <w:tcPr>
            <w:tcW w:type="dxa" w:w="3324"/>
          </w:tcPr>
          <w:p>
            <w:r>
              <w:t>Hardware ENERGY STAR; Cloud Guvernamental cu energie regenerabilă; livrare cu vehicule electrice/hibride; compensare emisii reziduale prin carbon offset Gold Standard.</w:t>
            </w:r>
          </w:p>
        </w:tc>
        <w:tc>
          <w:tcPr>
            <w:tcW w:type="dxa" w:w="3324"/>
          </w:tcPr>
          <w:p>
            <w:r>
              <w:t>Anexa I §11.2 + §11.3.2 + §11.4.5</w:t>
            </w:r>
          </w:p>
        </w:tc>
      </w:tr>
      <w:tr>
        <w:tc>
          <w:tcPr>
            <w:tcW w:type="dxa" w:w="3324"/>
          </w:tcPr>
          <w:p>
            <w:r>
              <w:t>2. Adaptarea la schimbările climatice</w:t>
            </w:r>
          </w:p>
        </w:tc>
        <w:tc>
          <w:tcPr>
            <w:tcW w:type="dxa" w:w="3324"/>
          </w:tcPr>
          <w:p>
            <w:r>
              <w:t>Arhitectură HA cu DR site (RPO≤15min, RTO≤4h); reziliență la evenimente extreme; backup și replicare geografic separate.</w:t>
            </w:r>
          </w:p>
        </w:tc>
        <w:tc>
          <w:tcPr>
            <w:tcW w:type="dxa" w:w="3324"/>
          </w:tcPr>
          <w:p>
            <w:r>
              <w:t>Cap. 5.3 ofertă + Anexa I §11.4.1</w:t>
            </w:r>
          </w:p>
        </w:tc>
      </w:tr>
      <w:tr>
        <w:tc>
          <w:tcPr>
            <w:tcW w:type="dxa" w:w="3324"/>
          </w:tcPr>
          <w:p>
            <w:r>
              <w:t>3. Utilizarea durabilă a resurselor de apă</w:t>
            </w:r>
          </w:p>
        </w:tc>
        <w:tc>
          <w:tcPr>
            <w:tcW w:type="dxa" w:w="3324"/>
          </w:tcPr>
          <w:p>
            <w:r>
              <w:t>Nu se utilizează apă în procesele de operare ale sistemului SIDISVA (impact nesemnificativ); furnizorii hardware aleși respectă politici de utilizare responsabilă a apei în lanțul de producție (raportare CDP Water Security).</w:t>
            </w:r>
          </w:p>
        </w:tc>
        <w:tc>
          <w:tcPr>
            <w:tcW w:type="dxa" w:w="3324"/>
          </w:tcPr>
          <w:p>
            <w:r>
              <w:t>Anexa I §11.4.3</w:t>
            </w:r>
          </w:p>
        </w:tc>
      </w:tr>
      <w:tr>
        <w:tc>
          <w:tcPr>
            <w:tcW w:type="dxa" w:w="3324"/>
          </w:tcPr>
          <w:p>
            <w:r>
              <w:t>4. Tranziția la economia circulară</w:t>
            </w:r>
          </w:p>
        </w:tc>
        <w:tc>
          <w:tcPr>
            <w:tcW w:type="dxa" w:w="3324"/>
          </w:tcPr>
          <w:p>
            <w:r>
              <w:t>Ambalaje 100% reciclabile (FSC, fără polistiren); reciclare WEEE prin operatori autorizați (RoRec etc.); ciclu de viață prelungit prin garanție 3 ani + componente upgradabile (laptopuri).</w:t>
            </w:r>
          </w:p>
        </w:tc>
        <w:tc>
          <w:tcPr>
            <w:tcW w:type="dxa" w:w="3324"/>
          </w:tcPr>
          <w:p>
            <w:r>
              <w:t>Anexa I §11.3.1 + §11.4.2</w:t>
            </w:r>
          </w:p>
        </w:tc>
      </w:tr>
      <w:tr>
        <w:tc>
          <w:tcPr>
            <w:tcW w:type="dxa" w:w="3324"/>
          </w:tcPr>
          <w:p>
            <w:r>
              <w:t>5. Prevenirea și controlul poluării</w:t>
            </w:r>
          </w:p>
        </w:tc>
        <w:tc>
          <w:tcPr>
            <w:tcW w:type="dxa" w:w="3324"/>
          </w:tcPr>
          <w:p>
            <w:r>
              <w:t>Furnizori certificați ISO 14001 (sistem management mediu); vehicule de livrare Euro 6d-Final; eliminarea componentelor RoHS-non-compliant (substanțe periculoase: Pb, Hg, Cd, Cr6+); echipamente conforme Directivei 2011/65/UE.</w:t>
            </w:r>
          </w:p>
        </w:tc>
        <w:tc>
          <w:tcPr>
            <w:tcW w:type="dxa" w:w="3324"/>
          </w:tcPr>
          <w:p>
            <w:r>
              <w:t>Anexa I §11.3.2 + §11.4.3</w:t>
            </w:r>
          </w:p>
        </w:tc>
      </w:tr>
      <w:tr>
        <w:tc>
          <w:tcPr>
            <w:tcW w:type="dxa" w:w="3324"/>
          </w:tcPr>
          <w:p>
            <w:r>
              <w:t>6. Protecția biodiversității și ecosistemelor</w:t>
            </w:r>
          </w:p>
        </w:tc>
        <w:tc>
          <w:tcPr>
            <w:tcW w:type="dxa" w:w="3324"/>
          </w:tcPr>
          <w:p>
            <w:r>
              <w:t>Hârtie FSC (gestionare durabilă păduri — protejează biodiversitatea forestieră); carbon offset prin plantare pomi (Gold Standard / Verra cu monitoring biodiversitate); furnizori fără antecedente de contaminare habitate naturale.</w:t>
            </w:r>
          </w:p>
        </w:tc>
        <w:tc>
          <w:tcPr>
            <w:tcW w:type="dxa" w:w="3324"/>
          </w:tcPr>
          <w:p>
            <w:r>
              <w:t>Anexa I §11.3.1 + §11.4.4</w:t>
            </w:r>
          </w:p>
        </w:tc>
      </w:tr>
    </w:tbl>
    <w:p>
      <w:pPr>
        <w:pStyle w:val="Heading2"/>
      </w:pPr>
      <w:r>
        <w:t>11.6 Declarația DNSH</w:t>
      </w:r>
    </w:p>
    <w:p>
      <w:r>
        <w:t>&lt;LIDER&gt;, în calitate de lider al asocierii de ofertanți, se angajează prin Declarația DNSH (semnată electronic și anexată ofertei — Anexa I) că toate echipamentele și serviciile ofertate, precum și subcontractanții și furnizorii implicați în implementarea contractului SIDISVA, respectă integral principiul Do No Significant Harm pe toate cele 6 obiective de mediu, în spiritul Regulamentului (UE) 2020/852 și al condițiilor specifice PoCIDIF (programul de finanțare a contractului).</w:t>
      </w:r>
    </w:p>
    <w:p>
      <w:r>
        <w:t>Declarația include angajamentul de raportare semestrială către ANSVSA a indicatorilor DNSH măsurabili (consum energie infrastructură, procent reciclare WEEE, emisii CO2e livrări) pe toată durata contractului (18 luni implementare + 36 luni garanție = 54 luni total).</w:t>
      </w:r>
    </w:p>
    <w:p>
      <w:pPr>
        <w:pStyle w:val="Heading2"/>
      </w:pPr>
      <w:r>
        <w:t>11.7 Documente justificative anexate (Anexa I — Pachet DNSH)</w:t>
      </w:r>
    </w:p>
    <w:p>
      <w:r>
        <w:t>Pachetul complet de documente DNSH anexat ofertei (Anexa I) include:</w:t>
      </w:r>
    </w:p>
    <w:p>
      <w:pPr>
        <w:pStyle w:val="ListBullet"/>
      </w:pPr>
      <w:r>
        <w:t>Fișa tehnică oficială (datasheet) a modelului de laptop ofertat — secțiunea consum stare de veghe;</w:t>
      </w:r>
    </w:p>
    <w:p>
      <w:pPr>
        <w:pStyle w:val="ListBullet"/>
      </w:pPr>
      <w:r>
        <w:t>Certificat ENERGY STAR v8.0 pentru modelul exact ofertat (printscreen Energy Star Product Finder cu URL verificabil);</w:t>
      </w:r>
    </w:p>
    <w:p>
      <w:pPr>
        <w:pStyle w:val="ListBullet"/>
      </w:pPr>
      <w:r>
        <w:t>Certificat EU Ecolabel sau echivalent (TCO Certified / EPEAT Gold);</w:t>
      </w:r>
    </w:p>
    <w:p>
      <w:pPr>
        <w:pStyle w:val="ListBullet"/>
      </w:pPr>
      <w:r>
        <w:t>Raport de testare independent al consumului în stare de veghe (laborator acreditat ISO/IEC 17025);</w:t>
      </w:r>
    </w:p>
    <w:p>
      <w:pPr>
        <w:pStyle w:val="ListBullet"/>
      </w:pPr>
      <w:r>
        <w:t>Contract cu furnizor logistic detaliind măsurile DNSH (vehicule electrice/hibride, optimizare trasee);</w:t>
      </w:r>
    </w:p>
    <w:p>
      <w:pPr>
        <w:pStyle w:val="ListBullet"/>
      </w:pPr>
      <w:r>
        <w:t>Certificate ISO 14001 furnizor ambalaje + furnizor logistic;</w:t>
      </w:r>
    </w:p>
    <w:p>
      <w:pPr>
        <w:pStyle w:val="ListBullet"/>
      </w:pPr>
      <w:r>
        <w:t>Specificația FSC pentru materialele de ambalare (carton + folie biodegradabilă);</w:t>
      </w:r>
    </w:p>
    <w:p>
      <w:pPr>
        <w:pStyle w:val="ListBullet"/>
      </w:pPr>
      <w:r>
        <w:t>Raport amprentă carbon estimată pentru întregul lot de livrare (GHG Protocol Scope 1+3);</w:t>
      </w:r>
    </w:p>
    <w:p>
      <w:pPr>
        <w:pStyle w:val="ListBullet"/>
      </w:pPr>
      <w:r>
        <w:t>Certificat carbon offset pentru compensare emisii reziduale (Gold Standard / Verra VCS);</w:t>
      </w:r>
    </w:p>
    <w:p>
      <w:pPr>
        <w:pStyle w:val="ListBullet"/>
      </w:pPr>
      <w:r>
        <w:t>Declarația DNSH semnată electronic de reprezentantul legal al &lt;LIDER&gt;;</w:t>
      </w:r>
    </w:p>
    <w:p>
      <w:pPr>
        <w:pStyle w:val="ListBullet"/>
      </w:pPr>
      <w:r>
        <w:t>Plan de raportare semestrială KPI DNSH pe durata 54 luni contract.</w:t>
      </w:r>
    </w:p>
    <w:p>
      <w:r>
        <w:rPr>
          <w:i/>
        </w:rPr>
        <w:t>Lipsa oricăruia dintre documentele justificative pentru subfactorul 4.1 sau 4.2 conduce la diminuarea punctajului P4. &lt;LIDER&gt; garantează completitudinea pachetului prin verificare internă pre-depunere (checklist QA dedicat).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