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16. Anexe la propunerea tehnică</w:t>
      </w:r>
    </w:p>
    <w:p>
      <w:r>
        <w:t>Capitolul prezintă lista completă a anexelor care însoțesc Propunerea Tehnică depusă de &lt;LIDER&gt;, în calitate de Ofertant principal, pentru contractul SIDISVA (Caietul de Sarcini nr. 424/SCPI/29.12.2025 ; 7574/CP/2025).</w:t>
      </w:r>
    </w:p>
    <w:p>
      <w:r>
        <w:t>Convenția de organizare a anexelor: identificate cu litere de la A la K, fiecare corelată cu o secțiune principală a ofertei. Anexele sunt depuse în format electronic odată cu oferta în SEAP, semnate digital cu semnătură electronică extinsă calificată (eIDAS QES) a reprezentantului legal al &lt;LIDER&gt;.</w:t>
      </w:r>
    </w:p>
    <w:p>
      <w:pPr>
        <w:pStyle w:val="Heading2"/>
      </w:pPr>
      <w:r>
        <w:t>16.1 Tabel sintetic — lista anexelor depuse</w:t>
      </w:r>
    </w:p>
    <w:p>
      <w:r>
        <w:t>Cele 11 anexe ale ofertei tehnice, ordinea lor și corelarea cu secțiunile ofertei: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567"/>
          </w:tcPr>
          <w:p>
            <w:r>
              <w:rPr>
                <w:b/>
                <w:sz w:val="18"/>
              </w:rPr>
              <w:t>Anexa</w:t>
            </w:r>
          </w:p>
        </w:tc>
        <w:tc>
          <w:tcPr>
            <w:tcW w:type="dxa" w:w="2551"/>
          </w:tcPr>
          <w:p>
            <w:r>
              <w:rPr>
                <w:b/>
                <w:sz w:val="18"/>
              </w:rPr>
              <w:t>Denumire</w:t>
            </w:r>
          </w:p>
        </w:tc>
        <w:tc>
          <w:tcPr>
            <w:tcW w:type="dxa" w:w="2268"/>
          </w:tcPr>
          <w:p>
            <w:r>
              <w:rPr>
                <w:b/>
                <w:sz w:val="18"/>
              </w:rPr>
              <w:t>Secțiune ofertă corelată</w:t>
            </w:r>
          </w:p>
        </w:tc>
        <w:tc>
          <w:tcPr>
            <w:tcW w:type="dxa" w:w="964"/>
          </w:tcPr>
          <w:p>
            <w:r>
              <w:rPr>
                <w:b/>
                <w:sz w:val="18"/>
              </w:rPr>
              <w:t>Dim. estimată</w:t>
            </w:r>
          </w:p>
        </w:tc>
        <w:tc>
          <w:tcPr>
            <w:tcW w:type="dxa" w:w="2835"/>
          </w:tcPr>
          <w:p>
            <w:r>
              <w:rPr>
                <w:b/>
                <w:sz w:val="18"/>
              </w:rPr>
              <w:t>Format livrare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A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Lista completă a licențelor software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Cap. 5 — Arhitectură și licențe</w:t>
            </w:r>
          </w:p>
        </w:tc>
        <w:tc>
          <w:tcPr>
            <w:tcW w:type="dxa" w:w="964"/>
          </w:tcPr>
          <w:p>
            <w:r>
              <w:rPr>
                <w:sz w:val="18"/>
              </w:rPr>
              <w:t>~30 pag.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PDF + Excel (`Lista_Software_SIDISVA.xlsx`)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B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Lista hardware + fișe tehnice producători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Cap. 6 — Lista hardware</w:t>
            </w:r>
          </w:p>
        </w:tc>
        <w:tc>
          <w:tcPr>
            <w:tcW w:type="dxa" w:w="964"/>
          </w:tcPr>
          <w:p>
            <w:r>
              <w:rPr>
                <w:sz w:val="18"/>
              </w:rPr>
              <w:t>~150 pag.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PDF (fișe tehnice + datasheet-uri originale)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C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Diagrame arhitecturale (logică, fizică, securitate)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Cap. 5 — Arhitectură; Cap. 10 — Securitate</w:t>
            </w:r>
          </w:p>
        </w:tc>
        <w:tc>
          <w:tcPr>
            <w:tcW w:type="dxa" w:w="964"/>
          </w:tcPr>
          <w:p>
            <w:r>
              <w:rPr>
                <w:sz w:val="18"/>
              </w:rPr>
              <w:t>~25 pag.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PDF (Visio/draw.io export, A3)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D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Plan detaliat de implementare cu Gantt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Cap. 3 — Plan de implementare</w:t>
            </w:r>
          </w:p>
        </w:tc>
        <w:tc>
          <w:tcPr>
            <w:tcW w:type="dxa" w:w="964"/>
          </w:tcPr>
          <w:p>
            <w:r>
              <w:rPr>
                <w:sz w:val="18"/>
              </w:rPr>
              <w:t>~20 pag.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PDF + Microsoft Project (`.mpp`)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E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CV-uri experți cheie + dovezi proiecte similare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Cap. 9 — Echipa de proiect</w:t>
            </w:r>
          </w:p>
        </w:tc>
        <w:tc>
          <w:tcPr>
            <w:tcW w:type="dxa" w:w="964"/>
          </w:tcPr>
          <w:p>
            <w:r>
              <w:rPr>
                <w:sz w:val="18"/>
              </w:rPr>
              <w:t>~200-250 pag.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PDF (CV Europass + diplome + certificări + PV recepție)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F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Matricea de Conformitate (1.294 cerințe)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Cap. 8 — Conformitate cu specificațiile</w:t>
            </w:r>
          </w:p>
        </w:tc>
        <w:tc>
          <w:tcPr>
            <w:tcW w:type="dxa" w:w="964"/>
          </w:tcPr>
          <w:p>
            <w:r>
              <w:rPr>
                <w:sz w:val="18"/>
              </w:rPr>
              <w:t>~300 pag.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PDF + Excel (export `anexa_f_conformitate.docx`)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G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Plan detaliat de instruire (147 utilizatori)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Cap. 12 — Plan de instruire</w:t>
            </w:r>
          </w:p>
        </w:tc>
        <w:tc>
          <w:tcPr>
            <w:tcW w:type="dxa" w:w="964"/>
          </w:tcPr>
          <w:p>
            <w:r>
              <w:rPr>
                <w:sz w:val="18"/>
              </w:rPr>
              <w:t>~40 pag.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PDF (curricula + planificare sesiuni + materiale)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H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Plan de continuitate operațională (BCP) și DR (DRP)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Cap. 7 — Plan garanție; Cap. 10 — Securitate</w:t>
            </w:r>
          </w:p>
        </w:tc>
        <w:tc>
          <w:tcPr>
            <w:tcW w:type="dxa" w:w="964"/>
          </w:tcPr>
          <w:p>
            <w:r>
              <w:rPr>
                <w:sz w:val="18"/>
              </w:rPr>
              <w:t>~50 pag.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PDF (RTO/RPO + procedurile de failover + DR drills)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I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Documente justificative DNSH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Cap. 11 — DNSH</w:t>
            </w:r>
          </w:p>
        </w:tc>
        <w:tc>
          <w:tcPr>
            <w:tcW w:type="dxa" w:w="964"/>
          </w:tcPr>
          <w:p>
            <w:r>
              <w:rPr>
                <w:sz w:val="18"/>
              </w:rPr>
              <w:t>~30 pag.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PDF (fișă laptop Energy Star + EU Ecolabel + raport amprentă)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J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Video demonstrativ DEMO (33 cerințe eliminatorii)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Cap. 14 — DEMO video</w:t>
            </w:r>
          </w:p>
        </w:tc>
        <w:tc>
          <w:tcPr>
            <w:tcW w:type="dxa" w:w="964"/>
          </w:tcPr>
          <w:p>
            <w:r>
              <w:rPr>
                <w:sz w:val="18"/>
              </w:rPr>
              <w:t>~30-60 min. video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Fișier video MP4 — depus separat în SEAP (referință cross-link)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K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Pachet declarații semnate (15 declarații obligatorii)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Cap. 15 — Declarații obligatorii</w:t>
            </w:r>
          </w:p>
        </w:tc>
        <w:tc>
          <w:tcPr>
            <w:tcW w:type="dxa" w:w="964"/>
          </w:tcPr>
          <w:p>
            <w:r>
              <w:rPr>
                <w:sz w:val="18"/>
              </w:rPr>
              <w:t>~80-100 pag.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PDF (fiecare declarație semnată eIDAS QES separat)</w:t>
            </w:r>
          </w:p>
        </w:tc>
      </w:tr>
    </w:tbl>
    <w:p>
      <w:r>
        <w:rPr>
          <w:b/>
        </w:rPr>
        <w:t xml:space="preserve">Dimensiune totală estimată: </w:t>
      </w:r>
      <w:r>
        <w:t>~950-1.000 pagini PDF + 30-60 min. video DEMO + 4 fișiere structurate (`.xlsx`, `.mpp`, `anexa_f_conformitate.docx`, `Lista_Software_SIDISVA.xlsx`). Toate fișierele sunt semnate digital cu semnătură electronică extinsă calificată (eIDAS QES) conform Regulamentului UE 910/2014 + Legii nr. 455/2001.</w:t>
      </w:r>
    </w:p>
    <w:p>
      <w:pPr>
        <w:pStyle w:val="Heading2"/>
      </w:pPr>
      <w:r>
        <w:t>16.2 Detalii per anexă</w:t>
      </w:r>
    </w:p>
    <w:p>
      <w:pPr>
        <w:pStyle w:val="Heading3"/>
      </w:pPr>
      <w:r>
        <w:t>16.2.1 Anexa A — Lista completă licențe software</w:t>
      </w:r>
    </w:p>
    <w:p>
      <w:r>
        <w:t>Conține toate licențele software ofertate, structurate pe 4 categorii (A. Infrastructură SW, B. Software aplicativ, C. Securitate appliance SW, D. Productivity/Client) — total 27 produse software identificate. Pentru fiecare licență: producător, ediție/versiune, cantitate, unitate de licențiere (core/user/server/throughput), tip (perpetuă/abonament), condiții cod sursă (acolo unde se aplică, conform cap. 12 CdS — IP).</w:t>
      </w:r>
    </w:p>
    <w:p>
      <w:pPr>
        <w:pStyle w:val="ListBullet"/>
      </w:pPr>
      <w:r>
        <w:t>Sursa adevărului: `Lista_Software_SIDISVA.xlsx` (Sinteza + Cantitati explicite CdS).</w:t>
      </w:r>
    </w:p>
    <w:p>
      <w:pPr>
        <w:pStyle w:val="ListBullet"/>
      </w:pPr>
      <w:r>
        <w:t>Producătorii listați respectă Lege 354/2022 — toți cu origine UE/SUA/IL/CA/AU/UK (NU RU/CN/IR/KP).</w:t>
      </w:r>
    </w:p>
    <w:p>
      <w:pPr>
        <w:pStyle w:val="ListBullet"/>
      </w:pPr>
      <w:r>
        <w:t>Acoperă plafonul max 20% buget HW+instalare + min 10% securitate cibernetică.</w:t>
      </w:r>
    </w:p>
    <w:p>
      <w:pPr>
        <w:pStyle w:val="Heading3"/>
      </w:pPr>
      <w:r>
        <w:t>16.2.2 Anexa B — Lista hardware + fișe tehnice</w:t>
      </w:r>
    </w:p>
    <w:p>
      <w:r>
        <w:t>Conține lista detaliată a tuturor echipamentelor hardware ofertate, cu fișe tehnice integrale de la producători. Acoperă: 100 laptopuri DNSH-compliant, 336 terminale teren (8×42 DSVSA) cu pad semnătură + imprimantă mobilă coduri bare, echipamente securitate centru DC (NGFW × 2, WAF × 2, SIEM cluster, Honeypot, NMS/NAC, Email Security), 90 NGFW locații (FortiGate 100F), switching, server-e pentru cloud privat.</w:t>
      </w:r>
    </w:p>
    <w:p>
      <w:pPr>
        <w:pStyle w:val="ListBullet"/>
      </w:pPr>
      <w:r>
        <w:t>Conformitate DNSH: certificat Energy Star 8.0 + EU Ecolabel pe laptopuri.</w:t>
      </w:r>
    </w:p>
    <w:p>
      <w:pPr>
        <w:pStyle w:val="ListBullet"/>
      </w:pPr>
      <w:r>
        <w:t>Conformitate L 354/2022: producători verificați (Dell, HP, Lenovo, Fortinet, Cisco, F5, Splunk, Wacom).</w:t>
      </w:r>
    </w:p>
    <w:p>
      <w:pPr>
        <w:pStyle w:val="Heading3"/>
      </w:pPr>
      <w:r>
        <w:t>16.2.3 Anexa C — Diagrame arhitecturale</w:t>
      </w:r>
    </w:p>
    <w:p>
      <w:r>
        <w:t>Conține diagramele logice, fizice și de securitate ale soluției SIDISVA:</w:t>
      </w:r>
    </w:p>
    <w:p>
      <w:pPr>
        <w:pStyle w:val="ListBullet"/>
      </w:pPr>
      <w:r>
        <w:t>Diagramă arhitectură logică — cele 14 componente + relațiile dintre ele (ESB backbone).</w:t>
      </w:r>
    </w:p>
    <w:p>
      <w:pPr>
        <w:pStyle w:val="ListBullet"/>
      </w:pPr>
      <w:r>
        <w:t>Diagramă arhitectură fizică — distribuție pe Cloud Guvernamental + 42 DSVSA + 3 Institute + sediul ANSVSA.</w:t>
      </w:r>
    </w:p>
    <w:p>
      <w:pPr>
        <w:pStyle w:val="ListBullet"/>
      </w:pPr>
      <w:r>
        <w:t>Diagramă securitate — 7 straturi defense-in-depth (perimetru/rețea/aplicație/date/identitate/monitorizare/IR).</w:t>
      </w:r>
    </w:p>
    <w:p>
      <w:pPr>
        <w:pStyle w:val="ListBullet"/>
      </w:pPr>
      <w:r>
        <w:t>Diagramă integrări externe — ROeID, eIDAS, PNI, PCUe/PDURo, ONRC, APIA, ANCPI, ANARZ, CMV, Ghișeul.ro.</w:t>
      </w:r>
    </w:p>
    <w:p>
      <w:pPr>
        <w:pStyle w:val="ListBullet"/>
      </w:pPr>
      <w:r>
        <w:t>Diagramă fluxuri date — sursa → ETL → DW → BI pentru raportare.</w:t>
      </w:r>
    </w:p>
    <w:p>
      <w:pPr>
        <w:pStyle w:val="ListBullet"/>
      </w:pPr>
      <w:r>
        <w:t>Format: PDF A3 + sursa Visio/draw.io.</w:t>
      </w:r>
    </w:p>
    <w:p>
      <w:pPr>
        <w:pStyle w:val="Heading3"/>
      </w:pPr>
      <w:r>
        <w:t>16.2.4 Anexa D — Plan implementare detaliat + Gantt</w:t>
      </w:r>
    </w:p>
    <w:p>
      <w:r>
        <w:t>Conține planul detaliat de implementare a celor 18 luni de contract:</w:t>
      </w:r>
    </w:p>
    <w:p>
      <w:pPr>
        <w:pStyle w:val="ListBullet"/>
      </w:pPr>
      <w:r>
        <w:t>Gantt chart cu toate activitățile, dependențele, drumul critic — Microsoft Project.</w:t>
      </w:r>
    </w:p>
    <w:p>
      <w:pPr>
        <w:pStyle w:val="ListBullet"/>
      </w:pPr>
      <w:r>
        <w:t>Milestone-uri și jaloane intermediare (M1-M9).</w:t>
      </w:r>
    </w:p>
    <w:p>
      <w:pPr>
        <w:pStyle w:val="ListBullet"/>
      </w:pPr>
      <w:r>
        <w:t>Alocare resurse umane per activitate.</w:t>
      </w:r>
    </w:p>
    <w:p>
      <w:pPr>
        <w:pStyle w:val="ListBullet"/>
      </w:pPr>
      <w:r>
        <w:t>Paralelizare optimă pe componente independente.</w:t>
      </w:r>
    </w:p>
    <w:p>
      <w:pPr>
        <w:pStyle w:val="ListBullet"/>
      </w:pPr>
      <w:r>
        <w:t>Termenul final luna 18 + perioada de garanție 3 ani (lunile 19-54).</w:t>
      </w:r>
    </w:p>
    <w:p>
      <w:pPr>
        <w:pStyle w:val="Heading3"/>
      </w:pPr>
      <w:r>
        <w:t>16.2.5 Anexa E — CV-uri experți + dovezi proiecte</w:t>
      </w:r>
    </w:p>
    <w:p>
      <w:r>
        <w:t>Conține documentele justificative pentru cei 8 experți cheie (Cap. 8 CdS + §9 ofertă). Structurată pe subsecțiuni E.1-E.17:</w:t>
      </w:r>
    </w:p>
    <w:p>
      <w:pPr>
        <w:pStyle w:val="ListBullet"/>
      </w:pPr>
      <w:r>
        <w:t>E.1-E.8 — pentru fiecare expert cheie: CV Europass (semnat + datat), diplome studii, certificări profesionale + certificări producător (ZIPPER pentru Arhitect, Microsoft pentru BD, Fortinet/Palo Alto pentru Sec), 5 proiecte de referință cu PV recepție + certificate constatatoare + recomandări.</w:t>
      </w:r>
    </w:p>
    <w:p>
      <w:pPr>
        <w:pStyle w:val="ListBullet"/>
      </w:pPr>
      <w:r>
        <w:t>E.9-E.16 — declarații de acces pentru cei 12 experți non-cheie + contracte externalizare (ex. DPO).</w:t>
      </w:r>
    </w:p>
    <w:p>
      <w:pPr>
        <w:pStyle w:val="ListBullet"/>
      </w:pPr>
      <w:r>
        <w:t>E.17 — tabel sintetic de îndeplinire cerințe minime per expert (Cap. 8 CdS).</w:t>
      </w:r>
    </w:p>
    <w:p>
      <w:pPr>
        <w:pStyle w:val="ListBullet"/>
      </w:pPr>
      <w:r>
        <w:t>Declarații de disponibilitate semnate pentru experții ne-angajați direct.</w:t>
      </w:r>
    </w:p>
    <w:p>
      <w:pPr>
        <w:pStyle w:val="Heading3"/>
      </w:pPr>
      <w:r>
        <w:t>16.2.6 Anexa F — Matricea de Conformitate (1.294 cerințe)</w:t>
      </w:r>
    </w:p>
    <w:p>
      <w:r>
        <w:t>Conține răspunsul punct-cu-punct la TOATE cele 1.294 cerințe extrase din Caietul de Sarcini, conform §8 din ofertă. Structurată pe 6 coloane:</w:t>
      </w:r>
    </w:p>
    <w:p>
      <w:pPr>
        <w:pStyle w:val="ListBullet"/>
      </w:pPr>
      <w:r>
        <w:t>Nr. ordinal (1 → 1.294).</w:t>
      </w:r>
    </w:p>
    <w:p>
      <w:pPr>
        <w:pStyle w:val="ListBullet"/>
      </w:pPr>
      <w:r>
        <w:t>Cap. CDS — capitolul exact din Caietul de Sarcini.</w:t>
      </w:r>
    </w:p>
    <w:p>
      <w:pPr>
        <w:pStyle w:val="ListBullet"/>
      </w:pPr>
      <w:r>
        <w:t>Cerință (citat literal din CdS).</w:t>
      </w:r>
    </w:p>
    <w:p>
      <w:pPr>
        <w:pStyle w:val="ListBullet"/>
      </w:pPr>
      <w:r>
        <w:t>Responsabil — partener consorțiu care livrează cerința.</w:t>
      </w:r>
    </w:p>
    <w:p>
      <w:pPr>
        <w:pStyle w:val="ListBullet"/>
      </w:pPr>
      <w:r>
        <w:t>Răspuns ofertant — modul concret de îndeplinire (tehnologie, configurație, capacitate, dovadă).</w:t>
      </w:r>
    </w:p>
    <w:p>
      <w:pPr>
        <w:pStyle w:val="ListBullet"/>
      </w:pPr>
      <w:r>
        <w:t>Document de referință — capitol ofertă / anexă tehnică / fișa producător.</w:t>
      </w:r>
    </w:p>
    <w:p>
      <w:r>
        <w:rPr>
          <w:i/>
        </w:rPr>
        <w:t>Sursa: `anexa_f_conformitate.docx` (1.365 rânduri totale, din care 71 sub-headers pentru navigare).</w:t>
      </w:r>
    </w:p>
    <w:p>
      <w:pPr>
        <w:pStyle w:val="Heading3"/>
      </w:pPr>
      <w:r>
        <w:t>16.2.7 Anexa G — Plan detaliat de instruire</w:t>
      </w:r>
    </w:p>
    <w:p>
      <w:r>
        <w:t>Conține planul detaliat pentru cei 147 utilizatori instruiți conform Cap. 3.4.4.9 CdS (100 cheie + 44 medici vet + 3 admin), corelat cu §12 ofertă:</w:t>
      </w:r>
    </w:p>
    <w:p>
      <w:pPr>
        <w:pStyle w:val="ListBullet"/>
      </w:pPr>
      <w:r>
        <w:t>Programare detaliată a celor 8 sesiuni minim (5 cheie online + 2 medici vet online + 1 admin fizic).</w:t>
      </w:r>
    </w:p>
    <w:p>
      <w:pPr>
        <w:pStyle w:val="ListBullet"/>
      </w:pPr>
      <w:r>
        <w:t>Curricula completă pe categorii (administratori 24h, utilizatori cheie 16h, medici vet 4h).</w:t>
      </w:r>
    </w:p>
    <w:p>
      <w:pPr>
        <w:pStyle w:val="ListBullet"/>
      </w:pPr>
      <w:r>
        <w:t>Mod livrare: ONLINE (cheie + medici vet) prin LMS / FIZIC (admin) la sediul ANSVSA.</w:t>
      </w:r>
    </w:p>
    <w:p>
      <w:pPr>
        <w:pStyle w:val="ListBullet"/>
      </w:pPr>
      <w:r>
        <w:t>Materiale didactice — manuale, slide-uri, e-learning, tutoriale video.</w:t>
      </w:r>
    </w:p>
    <w:p>
      <w:pPr>
        <w:pStyle w:val="ListBullet"/>
      </w:pPr>
      <w:r>
        <w:t>Plan evaluare — quiz online + scenarii practice + certificate participare.</w:t>
      </w:r>
    </w:p>
    <w:p>
      <w:pPr>
        <w:pStyle w:val="ListBullet"/>
      </w:pPr>
      <w:r>
        <w:t>Resurse umane: 2 Experți instruire + 1 trainer admin + 1 coordonator + 2 designer + 1 suport LMS.</w:t>
      </w:r>
    </w:p>
    <w:p>
      <w:pPr>
        <w:pStyle w:val="ListBullet"/>
      </w:pPr>
      <w:r>
        <w:t>Strategie train-the-trainer pentru diseminare ulterioară către ~5.300 angajați.</w:t>
      </w:r>
    </w:p>
    <w:p>
      <w:pPr>
        <w:pStyle w:val="Heading3"/>
      </w:pPr>
      <w:r>
        <w:t>16.2.8 Anexa H — BCP + DRP</w:t>
      </w:r>
    </w:p>
    <w:p>
      <w:r>
        <w:t>Conține Planul de Continuitate Operațională (Business Continuity Plan) și Planul de Disaster Recovery (DR Plan) pentru SIDISVA, corelat cu §7 (Garanție) și §10 (Securitate):</w:t>
      </w:r>
    </w:p>
    <w:p>
      <w:pPr>
        <w:pStyle w:val="ListBullet"/>
      </w:pPr>
      <w:r>
        <w:t>Analiza impactului asupra activității (BIA) — identificarea proceselor critice ANSVSA.</w:t>
      </w:r>
    </w:p>
    <w:p>
      <w:pPr>
        <w:pStyle w:val="ListBullet"/>
      </w:pPr>
      <w:r>
        <w:t>RTO (Recovery Time Objective) și RPO (Recovery Point Objective) per componentă.</w:t>
      </w:r>
    </w:p>
    <w:p>
      <w:pPr>
        <w:pStyle w:val="ListBullet"/>
      </w:pPr>
      <w:r>
        <w:t>Procedurile de failover automat + recuperare manuală.</w:t>
      </w:r>
    </w:p>
    <w:p>
      <w:pPr>
        <w:pStyle w:val="ListBullet"/>
      </w:pPr>
      <w:r>
        <w:t>Strategie backup — frecvență, retenție, locații (off-site), test integritate.</w:t>
      </w:r>
    </w:p>
    <w:p>
      <w:pPr>
        <w:pStyle w:val="ListBullet"/>
      </w:pPr>
      <w:r>
        <w:t>DR drills — exerciții semestriale de simulare dezastru.</w:t>
      </w:r>
    </w:p>
    <w:p>
      <w:pPr>
        <w:pStyle w:val="ListBullet"/>
      </w:pPr>
      <w:r>
        <w:t>Plan de comunicare în criză — către ANSVSA, parteneri, autorități (CSIRT-RO).</w:t>
      </w:r>
    </w:p>
    <w:p>
      <w:pPr>
        <w:pStyle w:val="ListBullet"/>
      </w:pPr>
      <w:r>
        <w:t>Conformitate NIS2 (OUG 155/2024) + GDPR art. 32 (rezistență).</w:t>
      </w:r>
    </w:p>
    <w:p>
      <w:pPr>
        <w:pStyle w:val="Heading3"/>
      </w:pPr>
      <w:r>
        <w:t>16.2.9 Anexa I — Documente justificative DNSH</w:t>
      </w:r>
    </w:p>
    <w:p>
      <w:r>
        <w:t>Conține documentele probatorii pentru Factorul de evaluare nr. 4 (DNSH, 10p), corelat cu §11 ofertă:</w:t>
      </w:r>
    </w:p>
    <w:p>
      <w:pPr>
        <w:pStyle w:val="ListBullet"/>
      </w:pPr>
      <w:r>
        <w:t>Fișa tehnică laptop ofertat cu raport testare consum în stare de veghe &lt; 20Wh (certificat Energy Star 8.0 + EU Ecolabel — pentru sub-factor 4.1, 5p).</w:t>
      </w:r>
    </w:p>
    <w:p>
      <w:pPr>
        <w:pStyle w:val="ListBullet"/>
      </w:pPr>
      <w:r>
        <w:t>Specificații ambalaje — certificate reciclabilitate/reutilizabilitate (FSC, EU Ecolabel ambalaje).</w:t>
      </w:r>
    </w:p>
    <w:p>
      <w:pPr>
        <w:pStyle w:val="ListBullet"/>
      </w:pPr>
      <w:r>
        <w:t>Dovada flotei electrice/hibride a transportatorului — contract de transport + lista vehicule + carbon footprint estimat (pentru sub-factor 4.2, 5p).</w:t>
      </w:r>
    </w:p>
    <w:p>
      <w:pPr>
        <w:pStyle w:val="ListBullet"/>
      </w:pPr>
      <w:r>
        <w:t>Raport amprentă de carbon estimată pentru întregul contract (livrare + operare).</w:t>
      </w:r>
    </w:p>
    <w:p>
      <w:pPr>
        <w:pStyle w:val="ListBullet"/>
      </w:pPr>
      <w:r>
        <w:t>Mapare 6 obiective Reg. UE 2020/852 → măsuri SIDISVA.</w:t>
      </w:r>
    </w:p>
    <w:p>
      <w:pPr>
        <w:pStyle w:val="Heading3"/>
      </w:pPr>
      <w:r>
        <w:t>16.2.10 Anexa J — Video DEMO (33 cerințe eliminatorii)</w:t>
      </w:r>
    </w:p>
    <w:p>
      <w:r>
        <w:t>Conține înregistrarea video demonstrativă a celor 33 cerințe eliminatorii din Cap. 14 CdS. CERINȚĂ ELIMINATORIE — orice cerință nedemonstrată = ofertă neconformă.</w:t>
      </w:r>
    </w:p>
    <w:p>
      <w:pPr>
        <w:pStyle w:val="ListBullet"/>
      </w:pPr>
      <w:r>
        <w:t>Format: MP4 H.264 + audio AAC, rezoluție Full HD 1920×1080, ≥30 fps.</w:t>
      </w:r>
    </w:p>
    <w:p>
      <w:pPr>
        <w:pStyle w:val="ListBullet"/>
      </w:pPr>
      <w:r>
        <w:t>Durată estimată: 30-60 minute (per planning §14 ofertă).</w:t>
      </w:r>
    </w:p>
    <w:p>
      <w:pPr>
        <w:pStyle w:val="ListBullet"/>
      </w:pPr>
      <w:r>
        <w:t>Acoperă: ROeID + eIDAS + 2FA, chatbot AI, lucru offline, multi-tenant, API Swagger, edit Office direct în DMS, tipărire plicuri + borderouri coduri bare, modificare BPMN/UML drag-and-drop, semnătură olografă pad USB + digitală calificată, integrări guvernamentale, dashboard-uri drag-and-drop.</w:t>
      </w:r>
    </w:p>
    <w:p>
      <w:pPr>
        <w:pStyle w:val="ListBullet"/>
      </w:pPr>
      <w:r>
        <w:t>Suplimentar: opțiune DEMO live la sediul ANSVSA (5 zile lucrătoare de la solicitare).</w:t>
      </w:r>
    </w:p>
    <w:p>
      <w:pPr>
        <w:pStyle w:val="ListBullet"/>
      </w:pPr>
      <w:r>
        <w:t>Depunere: fișier separat în SEAP (link cross-referențiat în această anexă).</w:t>
      </w:r>
    </w:p>
    <w:p>
      <w:pPr>
        <w:pStyle w:val="Heading3"/>
      </w:pPr>
      <w:r>
        <w:t>16.2.11 Anexa K — Pachet declarații (15 declarații obligatorii)</w:t>
      </w:r>
    </w:p>
    <w:p>
      <w:r>
        <w:t>Conține setul complet al celor 15 declarații obligatorii prezentate în §15 al ofertei, fiecare semnată digital cu eIDAS QES de reprezentantul legal al &lt;LIDER&gt;:</w:t>
      </w:r>
    </w:p>
    <w:p>
      <w:pPr>
        <w:pStyle w:val="ListBullet"/>
      </w:pPr>
      <w:r>
        <w:t>K.1 — DUAE (Documentul Unic European de Achiziții) completat.</w:t>
      </w:r>
    </w:p>
    <w:p>
      <w:pPr>
        <w:pStyle w:val="ListBullet"/>
      </w:pPr>
      <w:r>
        <w:t>K.2 — Declarație acceptare condiții cap. 12 CdS (drepturi IP — perpetue + cod sursă).</w:t>
      </w:r>
    </w:p>
    <w:p>
      <w:pPr>
        <w:pStyle w:val="ListBullet"/>
      </w:pPr>
      <w:r>
        <w:t>K.3 — Declarație conformitate Lege 354/2022 (anti-RU, anti-CN sancțiuni).</w:t>
      </w:r>
    </w:p>
    <w:p>
      <w:pPr>
        <w:pStyle w:val="ListBullet"/>
      </w:pPr>
      <w:r>
        <w:t>K.4 — Declarație conformitate NIS2 (Dir. UE 2022/2555 + OUG 155/2024).</w:t>
      </w:r>
    </w:p>
    <w:p>
      <w:pPr>
        <w:pStyle w:val="ListBullet"/>
      </w:pPr>
      <w:r>
        <w:t>K.5 — Declarație conformitate GDPR (Reg. UE 679/2016 + Lege 190/2018) + numire DPO.</w:t>
      </w:r>
    </w:p>
    <w:p>
      <w:pPr>
        <w:pStyle w:val="ListBullet"/>
      </w:pPr>
      <w:r>
        <w:t>K.6 — Declarație neîncadrare art. 164, 165, 167 din Legea 98/2016 (motive excludere).</w:t>
      </w:r>
    </w:p>
    <w:p>
      <w:pPr>
        <w:pStyle w:val="ListBullet"/>
      </w:pPr>
      <w:r>
        <w:t>K.7 — Declarație evitare conflict de interese (art. 60 Legea 98/2016).</w:t>
      </w:r>
    </w:p>
    <w:p>
      <w:pPr>
        <w:pStyle w:val="ListBullet"/>
      </w:pPr>
      <w:r>
        <w:t>K.8 — Declarație beneficiar real (BO Register).</w:t>
      </w:r>
    </w:p>
    <w:p>
      <w:pPr>
        <w:pStyle w:val="ListBullet"/>
      </w:pPr>
      <w:r>
        <w:t>K.9 — Declarație plată impozite și taxe la zi.</w:t>
      </w:r>
    </w:p>
    <w:p>
      <w:pPr>
        <w:pStyle w:val="ListBullet"/>
      </w:pPr>
      <w:r>
        <w:t>K.10 — Garanție de participare (854.000 lei — 1% din valoarea estimată).</w:t>
      </w:r>
    </w:p>
    <w:p>
      <w:pPr>
        <w:pStyle w:val="ListBullet"/>
      </w:pPr>
      <w:r>
        <w:t>K.11 — Declarație disponibilitate experți cheie (anexate semnături individuale).</w:t>
      </w:r>
    </w:p>
    <w:p>
      <w:pPr>
        <w:pStyle w:val="ListBullet"/>
      </w:pPr>
      <w:r>
        <w:t>K.12 — Acord de asociere (consorțiu) sau declarație de subcontractare.</w:t>
      </w:r>
    </w:p>
    <w:p>
      <w:pPr>
        <w:pStyle w:val="ListBullet"/>
      </w:pPr>
      <w:r>
        <w:t>K.13 — Lista subcontractanți + acord susținător terț (dacă e cazul).</w:t>
      </w:r>
    </w:p>
    <w:p>
      <w:pPr>
        <w:pStyle w:val="ListBullet"/>
      </w:pPr>
      <w:r>
        <w:t>K.14 — Declarație DNSH (respectarea principiului „Do No Significant Harm").</w:t>
      </w:r>
    </w:p>
    <w:p>
      <w:pPr>
        <w:pStyle w:val="ListBullet"/>
      </w:pPr>
      <w:r>
        <w:t>K.15 — Declarație confidențialitate și protecție date pe perioada contractului.</w:t>
      </w:r>
    </w:p>
    <w:p>
      <w:pPr>
        <w:pStyle w:val="Heading2"/>
      </w:pPr>
      <w:r>
        <w:t>16.3 Reguli formale de organizare a anexelor</w:t>
      </w:r>
    </w:p>
    <w:p>
      <w:r>
        <w:t>Toate anexele depuse de &lt;LIDER&gt; respectă următoarele reguli formale:</w:t>
      </w:r>
    </w:p>
    <w:p>
      <w:pPr>
        <w:pStyle w:val="ListBullet"/>
      </w:pPr>
      <w:r>
        <w:t>Limba: română (excepție — datasheet-uri producători și certificări internaționale pot fi în engleză, cu traducere autorizată pentru cele esențiale).</w:t>
      </w:r>
    </w:p>
    <w:p>
      <w:pPr>
        <w:pStyle w:val="ListBullet"/>
      </w:pPr>
      <w:r>
        <w:t>Format: PDF/A pentru documente; Microsoft Project (`.mpp`) pentru Anexa D; Excel pentru Anexa A + Anexa F (export); MP4 pentru Anexa J.</w:t>
      </w:r>
    </w:p>
    <w:p>
      <w:pPr>
        <w:pStyle w:val="ListBullet"/>
      </w:pPr>
      <w:r>
        <w:t>Semnătură: fiecare document semnat individual cu semnătură electronică extinsă calificată (eIDAS QES) conform Reg. UE 910/2014 + Lege 455/2001.</w:t>
      </w:r>
    </w:p>
    <w:p>
      <w:pPr>
        <w:pStyle w:val="ListBullet"/>
      </w:pPr>
      <w:r>
        <w:t>Numerotare: continuă în cadrul fiecărei anexe (A1, A2, …).</w:t>
      </w:r>
    </w:p>
    <w:p>
      <w:pPr>
        <w:pStyle w:val="ListBullet"/>
      </w:pPr>
      <w:r>
        <w:t>Cuprins: fiecare anexă (cu excepția celor cu o singură pagină) are cuprins propriu.</w:t>
      </w:r>
    </w:p>
    <w:p>
      <w:pPr>
        <w:pStyle w:val="ListBullet"/>
      </w:pPr>
      <w:r>
        <w:t>Trasabilitate: fiecare document referit în Propunerea Tehnică indică anexa și pagina.</w:t>
      </w:r>
    </w:p>
    <w:p>
      <w:pPr>
        <w:pStyle w:val="ListBullet"/>
      </w:pPr>
      <w:r>
        <w:t>Depunere: în plicul electronic SEAP, secțiunea Propunere Tehnică + (Anexa J video) în plicul separat.</w:t>
      </w:r>
    </w:p>
    <w:p>
      <w:pPr>
        <w:pStyle w:val="Heading2"/>
      </w:pPr>
      <w:r>
        <w:t>16.4 Confirmare finală a reprezentantului legal</w:t>
      </w:r>
    </w:p>
    <w:p>
      <w:r>
        <w:t>Subsemnatul, în calitate de reprezentant legal al ofertantului &lt;LIDER&gt;, declar pe propria răspundere și sub sancțiunea excluderii din procedura de atribuire că:</w:t>
      </w:r>
    </w:p>
    <w:p>
      <w:pPr>
        <w:pStyle w:val="ListBullet"/>
      </w:pPr>
      <w:r>
        <w:t>Am parcurs și am acceptat în totalitate condițiile Caietului de Sarcini nr. 424/SCPI/29.12.2025 ; 7574/CP/2025 (revizia 1).</w:t>
      </w:r>
    </w:p>
    <w:p>
      <w:pPr>
        <w:pStyle w:val="ListBullet"/>
      </w:pPr>
      <w:r>
        <w:t>Toate cele 11 anexe (A-K) menționate în §16.1-§16.2 sunt depuse împreună cu Propunerea Tehnică sau, după caz, în SEAP separat (Anexa J — video DEMO).</w:t>
      </w:r>
    </w:p>
    <w:p>
      <w:pPr>
        <w:pStyle w:val="ListBullet"/>
      </w:pPr>
      <w:r>
        <w:t>Toate documentele anexate sunt complete, conforme cu cerințele și semnate digital cu eIDAS QES.</w:t>
      </w:r>
    </w:p>
    <w:p>
      <w:pPr>
        <w:pStyle w:val="ListBullet"/>
      </w:pPr>
      <w:r>
        <w:t>Acceptăm expres condițiile cap. 12 CdS privind drepturile de proprietate intelectuală (licențe perpetue + cod sursă pentru componentele aplicative dezvoltate/customizate; IP-ul COTS preexistent rămâne la producători).</w:t>
      </w:r>
    </w:p>
    <w:p>
      <w:pPr>
        <w:pStyle w:val="ListBullet"/>
      </w:pPr>
      <w:r>
        <w:t>Suntem de acord cu valoarea estimată maximă a contractului (85.418.857,53 lei fără TVA) și cu plafoanele procentuale (max 20% HW + servicii instalare, min 10% securitate cibernetică).</w:t>
      </w:r>
    </w:p>
    <w:p/>
    <w:p>
      <w:r>
        <w:rPr>
          <w:b/>
        </w:rPr>
        <w:t xml:space="preserve">Data: </w:t>
      </w:r>
      <w:r>
        <w:t>[zz/05/2026]</w:t>
      </w:r>
    </w:p>
    <w:p>
      <w:r>
        <w:rPr>
          <w:b/>
        </w:rPr>
        <w:t xml:space="preserve">Reprezentant legal &lt;LIDER&gt;: </w:t>
      </w:r>
    </w:p>
    <w:p>
      <w:r>
        <w:t>[Nume Prenume] — [Funcție]</w:t>
      </w:r>
    </w:p>
    <w:p>
      <w:r>
        <w:rPr>
          <w:b/>
        </w:rPr>
        <w:t xml:space="preserve">Semnătură electronică extinsă calificată (eIDAS QES): </w:t>
      </w:r>
    </w:p>
    <w:p>
      <w:r>
        <w:rPr>
          <w:i/>
        </w:rPr>
        <w:t>Semnată conform Legii nr. 455/2001 + Regulamentului UE 910/2014 (eIDAS), prin furnizor de servicii de încredere acreditat: [De completat: certSIGN / DigiSign / Trans Sped — Nume furnizor + Număr certificat QES].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