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5. Arhitectura soluției și lista licențelor</w:t>
      </w:r>
    </w:p>
    <w:p>
      <w:r>
        <w:t>Capitolul răspunde la cerința IV.4.1 lit. b) din Fișa de date și la prevederile cap. 3.4.3 din Caietul de Sarcini (Arhitectura tehnică a sistemului). Sistemul SIDISVA propus de &lt;LIDER&gt;, în asociere cu cei 8 furnizori specializați ai consorțiului, este construit pe o arhitectură multi-nivel Cloud-Native, scalabilă orizontal, sigură și conformă cu OUG nr. 89/2022 (Cloud Guvernamental) și cu prevederile Legii 362/2018 privind securitatea cibernetică.</w:t>
      </w:r>
    </w:p>
    <w:p>
      <w:pPr>
        <w:pStyle w:val="Heading2"/>
      </w:pPr>
      <w:r>
        <w:t>5.1 Arhitectura logică (multi-tier)</w:t>
      </w:r>
    </w:p>
    <w:p>
      <w:r>
        <w:t>Sistemul SIDISVA este structurat pe 5 nivele logice (tier-uri), separate funcțional și securizate prin principiile zero-trust și least-privilege. Toate componentele rulează containerizate (Docker/Kubernetes) în Cloud-ul Privat Guvernamental.</w:t>
      </w:r>
    </w:p>
    <w:p>
      <w:pPr>
        <w:pStyle w:val="ListBullet"/>
      </w:pPr>
      <w:r>
        <w:t>Tier 1 — Prezentare: Portal Servicii Publice (VOGO Enterprise Suite, ≥56 servicii electronice, WCAG 2.1 AA, autentificare ROeID/eIDAS), aplicații mobile native iOS + Android + PWA (VOGO Enterprise Suite), Chatbot AI cu NLP RO (VOGO Enterprise Suite), interfețe administrative pentru ANSVSA/DSVSA/Institute.</w:t>
      </w:r>
    </w:p>
    <w:p>
      <w:pPr>
        <w:pStyle w:val="ListBullet"/>
      </w:pPr>
      <w:r>
        <w:t>Tier 2 — API Gateway: punct unic de intrare pentru cererile externe; autentificare prin Keycloak Enterprise (OAuth 2.0 + OIDC + SAML 2.0), throttling, audit, transformare protocol REST↔SOAP↔HL7.</w:t>
      </w:r>
    </w:p>
    <w:p>
      <w:pPr>
        <w:pStyle w:val="ListBullet"/>
      </w:pPr>
      <w:r>
        <w:t>Tier 3 — Microservicii business: cele 14 module funcționale SIDISVA (LIMS, DMS, GIS, BI, Portal, SNIIA, Aplicație mobilă, Chatbot, Workflow BPMN, Notificări, Acceptare, Raportare, Audit, Trasabilitate); comunicare prin REST/JSON sincron și event-driven prin Apache Kafka pentru asincron.</w:t>
      </w:r>
    </w:p>
    <w:p>
      <w:pPr>
        <w:pStyle w:val="ListBullet"/>
      </w:pPr>
      <w:r>
        <w:t>Tier 4 — Servicii partajate: Keycloak Enterprise (IAM, 150 useri interni + 185.000 portal externi), ZIPPER DMS Engine (motor management documente cu cod sursă livrat ANSVSA), Mirth Connect (motor HL7 FHIR), Microsoft SSIS (ETL între componente), motor workflow BPMN, serviciu notificări (email + SMS + push), audit central.</w:t>
      </w:r>
    </w:p>
    <w:p>
      <w:pPr>
        <w:pStyle w:val="ListBullet"/>
      </w:pPr>
      <w:r>
        <w:t>Tier 5 — Date: Microsoft SQL Server Enterprise (cluster activ-pasiv 2 noduri × 8 cores, Always On + TDE) pentru date tranzacționale; Elasticsearch (cluster 3 noduri) pentru log-uri + search engine; Microsoft Analysis Services (SSAS) pentru cuburi OLAP BI; PostGIS / GIS pentru date spațiale; Azure Blob Storage S3-compatible pentru documente DMS.</w:t>
      </w:r>
    </w:p>
    <w:p>
      <w:r>
        <w:t>Componente cross-cutting (orizontale, aplicabile tuturor tier-urilor): securitate (defense-in-depth pe 7 straturi — cap. 5.4 și cap. 10 ofertă), monitoring (Prometheus + Grafana), logging centralizat (Elasticsearch + Kibana), deployment automatizat CI/CD (GitLab CI + ArgoCD), audit imutabil (10 ani retenție).</w:t>
      </w:r>
    </w:p>
    <w:p>
      <w:r>
        <w:t>Principii arhitecturale aplicate: SOA (Service-Oriented Architecture) + REST + Event-Driven + microservicii containerizate. Toate interfețele externe sunt documentate Swagger/OpenAPI 3.0 (cf. cerinței DEMO).</w:t>
      </w:r>
    </w:p>
    <w:p>
      <w:pPr>
        <w:pStyle w:val="Heading2"/>
      </w:pPr>
      <w:r>
        <w:t>5.2 Arhitectura fizică (deployment)</w:t>
      </w:r>
    </w:p>
    <w:p>
      <w:r>
        <w:t>Sistemul SIDISVA este implementat în Cloud-ul Privat Guvernamental (Azure Stack / Azure RO conform OUG 89/2022). Topologia de deployment este structurată pe 3 nivele teritoriale:</w:t>
      </w:r>
    </w:p>
    <w:p>
      <w:pPr>
        <w:pStyle w:val="ListBullet"/>
      </w:pPr>
      <w:r>
        <w:t>Centrul de date principal (Cloud Privat Guvernamental): toate componentele software, baze de date, ESB Oracle, SIEM Splunk/QRadar, NGFW redundant Palo Alto/FortiGate cu min 10 VDOM, WAF F5/FortiWeb redundant 2 buc, Honeypot FortiDeceptor (1 buc + 4 instanțe Windows × 4 vCPU), Email Security Cisco IronPort 2 buc.</w:t>
      </w:r>
    </w:p>
    <w:p>
      <w:pPr>
        <w:pStyle w:val="ListBullet"/>
      </w:pPr>
      <w:r>
        <w:t>Site Disaster Recovery (DR): replicare sincronă SQL Server Always On pentru date critice, replicare asincronă pentru istoric și obiecte DMS; RPO ≤ 15 minute, RTO ≤ 4 ore (cf. cerinței CdS).</w:t>
      </w:r>
    </w:p>
    <w:p>
      <w:pPr>
        <w:pStyle w:val="ListBullet"/>
      </w:pPr>
      <w:r>
        <w:t>Locații teritoriale — 45 site-uri (42 DSVSA + 3 Institute) + ANSVSA centru: 90 NGFW FortiGate 100F (2 buc/locație, redundant), 241 switch-uri acces + 50 PoE + 2 agregare, 175 access points wifi enterprise, 336 echipamente teren (laptopuri DNSH-compliant + MS Office H&amp;B 2024), 126 IoT laboratoare integrate prin Mirth Connect.</w:t>
      </w:r>
    </w:p>
    <w:p>
      <w:pPr>
        <w:pStyle w:val="ListBullet"/>
      </w:pPr>
      <w:r>
        <w:t>Comunicații site-to-site prin VPN IPSec sau MPLS dedicat operat de furnizor telco.</w:t>
      </w:r>
    </w:p>
    <w:p>
      <w:pPr>
        <w:pStyle w:val="ListBullet"/>
      </w:pPr>
      <w:r>
        <w:t>Edge servers la nivelul DSVSA pentru funcționalități critice cu latență scăzută (lucru offline cu sincronizare la reconectare).</w:t>
      </w:r>
    </w:p>
    <w:p>
      <w:pPr>
        <w:pStyle w:val="ListBullet"/>
      </w:pPr>
      <w:r>
        <w:t>DMZ separată pentru Portalul Servicii Publice — izolare strictă, fără acces direct la rețeaua internă; doar prin API Gateway + WAF.</w:t>
      </w:r>
    </w:p>
    <w:p>
      <w:pPr>
        <w:pStyle w:val="Heading2"/>
      </w:pPr>
      <w:r>
        <w:t>5.3 Arhitectura operațională — Înaltă disponibilitate</w:t>
      </w:r>
    </w:p>
    <w:p>
      <w:r>
        <w:t>Având în vedere caracterul critic al sistemului SIDISVA (susține procesele operaționale ale rețelei naționale sanitar-veterinare cu 5.300+ angajați), arhitectura este redundantă pe toate nivelele:</w:t>
      </w:r>
    </w:p>
    <w:p>
      <w:pPr>
        <w:pStyle w:val="ListBullet"/>
      </w:pPr>
      <w:r>
        <w:t>Cluster activ-activ NGINX Plus (2 × 16 cores) ca Load Balancer și reverse proxy — capacitate ≥300.000 cereri L7 HTTP/sec.</w:t>
      </w:r>
    </w:p>
    <w:p>
      <w:pPr>
        <w:pStyle w:val="ListBullet"/>
      </w:pPr>
      <w:r>
        <w:t>Cluster activ-activ Microsoft IIS (2 × 16 cores) pentru servere aplicație .NET — scalabilitate orizontală automată.</w:t>
      </w:r>
    </w:p>
    <w:p>
      <w:pPr>
        <w:pStyle w:val="ListBullet"/>
      </w:pPr>
      <w:r>
        <w:t>Cluster activ-pasiv Microsoft SQL Server Enterprise (2 × 8 cores, replicare sincronă Always On, TDE encryption).</w:t>
      </w:r>
    </w:p>
    <w:p>
      <w:pPr>
        <w:pStyle w:val="ListBullet"/>
      </w:pPr>
      <w:r>
        <w:t>Cluster activ-pasiv Oracle Service Bus (2 × 16 cores/nod) ca backbone integrare.</w:t>
      </w:r>
    </w:p>
    <w:p>
      <w:pPr>
        <w:pStyle w:val="ListBullet"/>
      </w:pPr>
      <w:r>
        <w:t>Cluster 3 noduri Elasticsearch pentru log-uri + search engine.</w:t>
      </w:r>
    </w:p>
    <w:p>
      <w:pPr>
        <w:pStyle w:val="ListBullet"/>
      </w:pPr>
      <w:r>
        <w:t>Storage centru cu redundanță RAID 10 + replicare site-to-site DR.</w:t>
      </w:r>
    </w:p>
    <w:p>
      <w:pPr>
        <w:pStyle w:val="ListBullet"/>
      </w:pPr>
      <w:r>
        <w:t>2 medii separate: producție + testare-dezvoltare (mediu unic pentru dev/testare/instruire conform cerinței CdS).</w:t>
      </w:r>
    </w:p>
    <w:p>
      <w:pPr>
        <w:pStyle w:val="Heading2"/>
      </w:pPr>
      <w:r>
        <w:t>5.4 Arhitectura de securitate (rezumat)</w:t>
      </w:r>
    </w:p>
    <w:p>
      <w:r>
        <w:t>Securitatea sistemului SIDISVA este asigurată prin arhitectura defense-in-depth pe 7 straturi (detaliată complet în cap. 10 al ofertei — Securitate informatică). Echipamentele și soluțiile de securitate ofertate respectă specificațiile cap. 3.4.3.4 din Caietul de Sarcini:</w:t>
      </w:r>
    </w:p>
    <w:p>
      <w:pPr>
        <w:pStyle w:val="ListBullet"/>
      </w:pPr>
      <w:r>
        <w:t>WAF F5 / FortiWeb / Imperva (cap. 3.4.3.4.1.1) — 2 appliance virtuale redundante, deployabil VMware/Hyper-V/KVM, 8 vCPU, 3 Gbps HTTP, ≥64 domenii administrative, modes Reverse proxy + Inline transparent, protecție OWASP Top 10.</w:t>
      </w:r>
    </w:p>
    <w:p>
      <w:pPr>
        <w:pStyle w:val="ListBullet"/>
      </w:pPr>
      <w:r>
        <w:t>Honeypot FortiDeceptor (cap. 3.4.3.4.1.2) — 1 appliance + 4 instanțe Windows × 4 vCPU; detecție atacuri lateral movement, alimentare automată SIEM.</w:t>
      </w:r>
    </w:p>
    <w:p>
      <w:pPr>
        <w:pStyle w:val="ListBullet"/>
      </w:pPr>
      <w:r>
        <w:t>Management centralizat rețea (NMS/NAC) Cisco DNA / Aruba ClearPass (cap. 3.4.3.4.1.3) — min 600 dispozitive gestionate.</w:t>
      </w:r>
    </w:p>
    <w:p>
      <w:pPr>
        <w:pStyle w:val="ListBullet"/>
      </w:pPr>
      <w:r>
        <w:t>SIEM Splunk ES / IBM QRadar (cap. 3.4.3.4.1.4) — corelare evenimente, retenție 1 an cald + 6 ani rece, alertare 24×7, IOC retention 3 ani.</w:t>
      </w:r>
    </w:p>
    <w:p>
      <w:pPr>
        <w:pStyle w:val="ListBullet"/>
      </w:pPr>
      <w:r>
        <w:t>Email Security Cisco IronPort (cap. 3.4.3.4.1.5) — 2 buc, filtrare anti-spam, anti-malware, sandboxing fișiere atașate.</w:t>
      </w:r>
    </w:p>
    <w:p>
      <w:pPr>
        <w:pStyle w:val="ListBullet"/>
      </w:pPr>
      <w:r>
        <w:t>NGFW centru Palo Alto / FortiGate (cap. 3.4.3.4.2) — 2 buc redundant, min 10 VDOM, IPS/IDS, application control, SSL inspection.</w:t>
      </w:r>
    </w:p>
    <w:p>
      <w:pPr>
        <w:pStyle w:val="ListBullet"/>
      </w:pPr>
      <w:r>
        <w:t>NGFW locații FortiGate 100F (cap. 3.4.3.4.2) — 90 buc (2 × 45 locații teritoriale).</w:t>
      </w:r>
    </w:p>
    <w:p>
      <w:pPr>
        <w:pStyle w:val="ListBullet"/>
      </w:pPr>
      <w:r>
        <w:t>Antivirus / EDR endpoint CrowdStrike Falcon sau SentinelOne (Lege 354/2022 compatibil — origine SUA, NU Kaspersky) — 486 endpoints (laptopuri + teren + servere).</w:t>
      </w:r>
    </w:p>
    <w:p>
      <w:r>
        <w:t>Pentru fiecare echipament/soluție de securitate sunt anexate fișele tehnice ale producătorului în Anexa B (Lista echipamentelor hardware) — cap. 6 al ofertei.</w:t>
      </w:r>
    </w:p>
    <w:p>
      <w:pPr>
        <w:pStyle w:val="Heading2"/>
      </w:pPr>
      <w:r>
        <w:t>5.5 Integrarea cu sistemele externe</w:t>
      </w:r>
    </w:p>
    <w:p>
      <w:r>
        <w:t>Backbone-ul de integrare al sistemului SIDISVA este Oracle Service Bus, ofertat de &lt;FURNIZOR ESB&gt; (cluster activ-pasiv 2 × 16 cores/nod). Integrările cu sisteme medicale și de laborator (IoT) se realizează prin motorul Mirth Connect (HL7 FHIR). Interfețele standard expuse:</w:t>
      </w:r>
    </w:p>
    <w:p>
      <w:pPr>
        <w:pStyle w:val="ListBullet"/>
      </w:pPr>
      <w:r>
        <w:t>REST + JSON (Swagger/OpenAPI 3.0) — pentru integrări sincrone cu sisteme partenere; documentație publicată pe portal pentru dezvoltatorii externi.</w:t>
      </w:r>
    </w:p>
    <w:p>
      <w:pPr>
        <w:pStyle w:val="ListBullet"/>
      </w:pPr>
      <w:r>
        <w:t>SOAP (WS-* stack) — pentru integrări cu sisteme legacy guvernamentale care nu suportă REST.</w:t>
      </w:r>
    </w:p>
    <w:p>
      <w:pPr>
        <w:pStyle w:val="ListBullet"/>
      </w:pPr>
      <w:r>
        <w:t>HL7 FHIR + HL7 v2.x (prin Mirth Connect) — pentru integrarea cu echipamente IoT laboratoare (126 buc) și sisteme medicale externe.</w:t>
      </w:r>
    </w:p>
    <w:p>
      <w:pPr>
        <w:pStyle w:val="ListBullet"/>
      </w:pPr>
      <w:r>
        <w:t>CMIS (Content Management Interoperability Services) — pentru schimburi de documente cu DMS-uri externe.</w:t>
      </w:r>
    </w:p>
    <w:p>
      <w:pPr>
        <w:pStyle w:val="ListBullet"/>
      </w:pPr>
      <w:r>
        <w:t>Event-driven prin Apache Kafka — pentru integrări asincrone scalabile (notificări, audit, sincronizare offline).</w:t>
      </w:r>
    </w:p>
    <w:p>
      <w:pPr>
        <w:pStyle w:val="ListBullet"/>
      </w:pPr>
      <w:r>
        <w:t>Conectori dedicați (deja livrabili prin Oracle Service Bus + adaptoare custom): ROeID, eIDAS, ONRC, APIA, ANCPI, ANARZ, PNI, PDURo, BND-SNIIA, RASFF (Rapid Alert System for Food and Feed), Ghișeul.ro, Mediul electronic ANSVSA.</w:t>
      </w:r>
    </w:p>
    <w:p>
      <w:pPr>
        <w:pStyle w:val="Heading2"/>
      </w:pPr>
      <w:r>
        <w:t>5.6 Necesar hardware al soluției</w:t>
      </w:r>
    </w:p>
    <w:p>
      <w:r>
        <w:t>Sizing-ul detaliat al echipamentelor hardware este prezentat în cap. 6 al ofertei (Lista hardware). Recomandările de caracteristici minime — bazate pe arhitectura logică + fizică prezentată mai sus — sunt:</w:t>
      </w:r>
    </w:p>
    <w:p>
      <w:pPr>
        <w:pStyle w:val="Heading3"/>
      </w:pPr>
      <w:r>
        <w:t>Mediul de producție — sistemul intern (Cloud Guvernamental)</w:t>
      </w:r>
    </w:p>
    <w:p>
      <w:pPr>
        <w:pStyle w:val="ListBullet"/>
      </w:pPr>
      <w:r>
        <w:t>Load Balancer (NGINX Plus 2 × 16 cores): ≥1 Gbps throughput L7, ≥1 Gbps throughput SSL, ≥300.000 cereri L7 HTTP/sec.</w:t>
      </w:r>
    </w:p>
    <w:p>
      <w:pPr>
        <w:pStyle w:val="ListBullet"/>
      </w:pPr>
      <w:r>
        <w:t>Server Aplicație IIS (cluster activ-activ 2 × 16 cores): 64 GB RAM, 512 GB SSD local.</w:t>
      </w:r>
    </w:p>
    <w:p>
      <w:pPr>
        <w:pStyle w:val="ListBullet"/>
      </w:pPr>
      <w:r>
        <w:t>Server BD MS SQL Enterprise (cluster activ-pasiv 2 × 8 cores): 128 GB RAM, 512 GB SSD local + 10-20 TB storage extern RAID 10.</w:t>
      </w:r>
    </w:p>
    <w:p>
      <w:pPr>
        <w:pStyle w:val="ListBullet"/>
      </w:pPr>
      <w:r>
        <w:t>Server ESB Oracle (cluster activ-pasiv 2 × 16 cores/nod): 64 GB RAM, 512 GB SSD local.</w:t>
      </w:r>
    </w:p>
    <w:p>
      <w:pPr>
        <w:pStyle w:val="ListBullet"/>
      </w:pPr>
      <w:r>
        <w:t>Cluster Elasticsearch (3 noduri × 8 cores): 64 GB RAM/nod, 2 TB SSD/nod.</w:t>
      </w:r>
    </w:p>
    <w:p>
      <w:pPr>
        <w:pStyle w:val="ListBullet"/>
      </w:pPr>
      <w:r>
        <w:t>Storage extern centru: 10-20 TB utili RAID 10 pentru documente DMS + log-uri SIEM + backup.</w:t>
      </w:r>
    </w:p>
    <w:p>
      <w:pPr>
        <w:pStyle w:val="Heading3"/>
      </w:pPr>
      <w:r>
        <w:t>Mediul de producție — sistemul portal expus cetățeni (DMZ)</w:t>
      </w:r>
    </w:p>
    <w:p>
      <w:pPr>
        <w:pStyle w:val="ListBullet"/>
      </w:pPr>
      <w:r>
        <w:t>Load Balancer DMZ (NGINX Plus): aceleași specificații.</w:t>
      </w:r>
    </w:p>
    <w:p>
      <w:pPr>
        <w:pStyle w:val="ListBullet"/>
      </w:pPr>
      <w:r>
        <w:t>Server BD + Aplicație DMZ: izolare strictă de la sistemul intern, replicare unidirecțională citire.</w:t>
      </w:r>
    </w:p>
    <w:p>
      <w:pPr>
        <w:pStyle w:val="ListBullet"/>
      </w:pPr>
      <w:r>
        <w:t>Storage DMZ: 1-2 TB utili RAID 10.</w:t>
      </w:r>
    </w:p>
    <w:p>
      <w:pPr>
        <w:pStyle w:val="Heading3"/>
      </w:pPr>
      <w:r>
        <w:t>Mediul de testare-dezvoltare</w:t>
      </w:r>
    </w:p>
    <w:p>
      <w:pPr>
        <w:pStyle w:val="ListBullet"/>
      </w:pPr>
      <w:r>
        <w:t>Server BD: 8 GB RAM, 8 core-uri, 512 GB SSD.</w:t>
      </w:r>
    </w:p>
    <w:p>
      <w:pPr>
        <w:pStyle w:val="ListBullet"/>
      </w:pPr>
      <w:r>
        <w:t>Server Aplicație: 8 GB RAM, 8 core-uri, 512 GB SSD.</w:t>
      </w:r>
    </w:p>
    <w:p>
      <w:pPr>
        <w:pStyle w:val="ListBullet"/>
      </w:pPr>
      <w:r>
        <w:t>Storage extern: 1 TB util RAID 10.</w:t>
      </w:r>
    </w:p>
    <w:p>
      <w:r>
        <w:rPr>
          <w:i/>
        </w:rPr>
        <w:t>Implementarea în Cloud Guvernamental este preferată conform OUG 89/2022; toate produsele COTS sunt BYOL (Bring Your Own License) prin Azure RO / Azure Stack.</w:t>
      </w:r>
    </w:p>
    <w:p>
      <w:pPr>
        <w:pStyle w:val="Heading2"/>
      </w:pPr>
      <w:r>
        <w:t>5.7 Lista licențelor software propuse</w:t>
      </w:r>
    </w:p>
    <w:p>
      <w:r>
        <w:rPr>
          <w:b/>
        </w:rPr>
        <w:t xml:space="preserve">Tabelul de mai jos prezintă lista completă a licențelor software propuse pentru SIDISVA, structurată pe categorii. Cantitățile sunt aliniate cu cerințele din Caietul de Sarcini și cu Sinteza din Lista_Software_SIDISVA.xlsx (Anexa A). </w:t>
      </w:r>
    </w:p>
    <w:p>
      <w:r>
        <w:rPr>
          <w:i/>
        </w:rPr>
        <w:t>ATENȚIE: Conform cap. IV.4.1 lit. c) din Fișa de date, lipsa Listei Licențelor face oferta NECONFORMĂ.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Nr.</w:t>
            </w:r>
          </w:p>
        </w:tc>
        <w:tc>
          <w:tcPr>
            <w:tcW w:type="dxa" w:w="1662"/>
          </w:tcPr>
          <w:p>
            <w:r>
              <w:rPr>
                <w:b/>
              </w:rPr>
              <w:t>Categorie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Produs / Licență</w:t>
            </w:r>
          </w:p>
        </w:tc>
        <w:tc>
          <w:tcPr>
            <w:tcW w:type="dxa" w:w="1662"/>
          </w:tcPr>
          <w:p>
            <w:r>
              <w:rPr>
                <w:b/>
              </w:rPr>
              <w:t>Producător</w:t>
            </w:r>
          </w:p>
        </w:tc>
        <w:tc>
          <w:tcPr>
            <w:tcW w:type="dxa" w:w="1662"/>
          </w:tcPr>
          <w:p>
            <w:r>
              <w:rPr>
                <w:b/>
              </w:rPr>
              <w:t>Cantitate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Cap. CdS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OS Linux</w:t>
            </w:r>
          </w:p>
        </w:tc>
        <w:tc>
          <w:tcPr>
            <w:tcW w:type="dxa" w:w="1662"/>
          </w:tcPr>
          <w:p>
            <w:r>
              <w:t>Red Hat Enterprise Linux 9 (sau Oracle Linux 9)</w:t>
            </w:r>
          </w:p>
        </w:tc>
        <w:tc>
          <w:tcPr>
            <w:tcW w:type="dxa" w:w="1662"/>
          </w:tcPr>
          <w:p>
            <w:r>
              <w:t>Red Hat / Oracle</w:t>
            </w:r>
          </w:p>
        </w:tc>
        <w:tc>
          <w:tcPr>
            <w:tcW w:type="dxa" w:w="1662"/>
          </w:tcPr>
          <w:p>
            <w:r>
              <w:t>20-30 VM</w:t>
            </w:r>
          </w:p>
        </w:tc>
        <w:tc>
          <w:tcPr>
            <w:tcW w:type="dxa" w:w="1662"/>
          </w:tcPr>
          <w:p>
            <w:r>
              <w:t>3.4.3.2.3</w:t>
            </w:r>
          </w:p>
        </w:tc>
      </w:tr>
      <w:tr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OS Windows</w:t>
            </w:r>
          </w:p>
        </w:tc>
        <w:tc>
          <w:tcPr>
            <w:tcW w:type="dxa" w:w="1662"/>
          </w:tcPr>
          <w:p>
            <w:r>
              <w:t>Windows Server 2022 Datacenter</w:t>
            </w:r>
          </w:p>
        </w:tc>
        <w:tc>
          <w:tcPr>
            <w:tcW w:type="dxa" w:w="1662"/>
          </w:tcPr>
          <w:p>
            <w:r>
              <w:t>Microsoft</w:t>
            </w:r>
          </w:p>
        </w:tc>
        <w:tc>
          <w:tcPr>
            <w:tcW w:type="dxa" w:w="1662"/>
          </w:tcPr>
          <w:p>
            <w:r>
              <w:t>min 4 + 6-10 VM (incl. 4 honeypots)</w:t>
            </w:r>
          </w:p>
        </w:tc>
        <w:tc>
          <w:tcPr>
            <w:tcW w:type="dxa" w:w="1662"/>
          </w:tcPr>
          <w:p>
            <w:r>
              <w:t>3.4.3.2.3</w:t>
            </w:r>
          </w:p>
        </w:tc>
      </w:tr>
      <w:tr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Web server</w:t>
            </w:r>
          </w:p>
        </w:tc>
        <w:tc>
          <w:tcPr>
            <w:tcW w:type="dxa" w:w="1662"/>
          </w:tcPr>
          <w:p>
            <w:r>
              <w:t>NGINX Plus (cluster activ-activ)</w:t>
            </w:r>
          </w:p>
        </w:tc>
        <w:tc>
          <w:tcPr>
            <w:tcW w:type="dxa" w:w="1662"/>
          </w:tcPr>
          <w:p>
            <w:r>
              <w:t>F5 NGINX</w:t>
            </w:r>
          </w:p>
        </w:tc>
        <w:tc>
          <w:tcPr>
            <w:tcW w:type="dxa" w:w="1662"/>
          </w:tcPr>
          <w:p>
            <w:r>
              <w:t>2 × 16 cores</w:t>
            </w:r>
          </w:p>
        </w:tc>
        <w:tc>
          <w:tcPr>
            <w:tcW w:type="dxa" w:w="1662"/>
          </w:tcPr>
          <w:p>
            <w:r>
              <w:t>3.4.3.2.5</w:t>
            </w:r>
          </w:p>
        </w:tc>
      </w:tr>
      <w:tr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App server</w:t>
            </w:r>
          </w:p>
        </w:tc>
        <w:tc>
          <w:tcPr>
            <w:tcW w:type="dxa" w:w="1662"/>
          </w:tcPr>
          <w:p>
            <w:r>
              <w:t>Microsoft IIS (inclus în Windows Server)</w:t>
            </w:r>
          </w:p>
        </w:tc>
        <w:tc>
          <w:tcPr>
            <w:tcW w:type="dxa" w:w="1662"/>
          </w:tcPr>
          <w:p>
            <w:r>
              <w:t>Microsoft</w:t>
            </w:r>
          </w:p>
        </w:tc>
        <w:tc>
          <w:tcPr>
            <w:tcW w:type="dxa" w:w="1662"/>
          </w:tcPr>
          <w:p>
            <w:r>
              <w:t>2 × 16 cores</w:t>
            </w:r>
          </w:p>
        </w:tc>
        <w:tc>
          <w:tcPr>
            <w:tcW w:type="dxa" w:w="1662"/>
          </w:tcPr>
          <w:p>
            <w:r>
              <w:t>3.4.3.2.5</w:t>
            </w:r>
          </w:p>
        </w:tc>
      </w:tr>
      <w:tr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SGBD principal</w:t>
            </w:r>
          </w:p>
        </w:tc>
        <w:tc>
          <w:tcPr>
            <w:tcW w:type="dxa" w:w="1662"/>
          </w:tcPr>
          <w:p>
            <w:r>
              <w:t>Microsoft SQL Server Enterprise Edition</w:t>
            </w:r>
          </w:p>
        </w:tc>
        <w:tc>
          <w:tcPr>
            <w:tcW w:type="dxa" w:w="1662"/>
          </w:tcPr>
          <w:p>
            <w:r>
              <w:t>Microsoft</w:t>
            </w:r>
          </w:p>
        </w:tc>
        <w:tc>
          <w:tcPr>
            <w:tcW w:type="dxa" w:w="1662"/>
          </w:tcPr>
          <w:p>
            <w:r>
              <w:t>2 noduri × 8 cores</w:t>
            </w:r>
          </w:p>
        </w:tc>
        <w:tc>
          <w:tcPr>
            <w:tcW w:type="dxa" w:w="1662"/>
          </w:tcPr>
          <w:p>
            <w:r>
              <w:t>3.4.3.2.4</w:t>
            </w:r>
          </w:p>
        </w:tc>
      </w:tr>
      <w:tr>
        <w:tc>
          <w:tcPr>
            <w:tcW w:type="dxa" w:w="1662"/>
          </w:tcPr>
          <w:p>
            <w:r>
              <w:t>6</w:t>
            </w:r>
          </w:p>
        </w:tc>
        <w:tc>
          <w:tcPr>
            <w:tcW w:type="dxa" w:w="1662"/>
          </w:tcPr>
          <w:p>
            <w:r>
              <w:t>SGBD NoSQL / Search</w:t>
            </w:r>
          </w:p>
        </w:tc>
        <w:tc>
          <w:tcPr>
            <w:tcW w:type="dxa" w:w="1662"/>
          </w:tcPr>
          <w:p>
            <w:r>
              <w:t>Elasticsearch (cluster 3 noduri, log + search)</w:t>
            </w:r>
          </w:p>
        </w:tc>
        <w:tc>
          <w:tcPr>
            <w:tcW w:type="dxa" w:w="1662"/>
          </w:tcPr>
          <w:p>
            <w:r>
              <w:t>Elastic NV</w:t>
            </w:r>
          </w:p>
        </w:tc>
        <w:tc>
          <w:tcPr>
            <w:tcW w:type="dxa" w:w="1662"/>
          </w:tcPr>
          <w:p>
            <w:r>
              <w:t>3 noduri × 8 cores</w:t>
            </w:r>
          </w:p>
        </w:tc>
        <w:tc>
          <w:tcPr>
            <w:tcW w:type="dxa" w:w="1662"/>
          </w:tcPr>
          <w:p>
            <w:r>
              <w:t>3.4.3.2.4</w:t>
            </w:r>
          </w:p>
        </w:tc>
      </w:tr>
      <w:tr>
        <w:tc>
          <w:tcPr>
            <w:tcW w:type="dxa" w:w="1662"/>
          </w:tcPr>
          <w:p>
            <w:r>
              <w:t>7</w:t>
            </w:r>
          </w:p>
        </w:tc>
        <w:tc>
          <w:tcPr>
            <w:tcW w:type="dxa" w:w="1662"/>
          </w:tcPr>
          <w:p>
            <w:r>
              <w:t>ETL</w:t>
            </w:r>
          </w:p>
        </w:tc>
        <w:tc>
          <w:tcPr>
            <w:tcW w:type="dxa" w:w="1662"/>
          </w:tcPr>
          <w:p>
            <w:r>
              <w:t>Microsoft SQL Server Integration Services (SSIS)</w:t>
            </w:r>
          </w:p>
        </w:tc>
        <w:tc>
          <w:tcPr>
            <w:tcW w:type="dxa" w:w="1662"/>
          </w:tcPr>
          <w:p>
            <w:r>
              <w:t>Microsoft</w:t>
            </w:r>
          </w:p>
        </w:tc>
        <w:tc>
          <w:tcPr>
            <w:tcW w:type="dxa" w:w="1662"/>
          </w:tcPr>
          <w:p>
            <w:r>
              <w:t>16 cores</w:t>
            </w:r>
          </w:p>
        </w:tc>
        <w:tc>
          <w:tcPr>
            <w:tcW w:type="dxa" w:w="1662"/>
          </w:tcPr>
          <w:p>
            <w:r>
              <w:t>3.4.3.2.6</w:t>
            </w:r>
          </w:p>
        </w:tc>
      </w:tr>
      <w:tr>
        <w:tc>
          <w:tcPr>
            <w:tcW w:type="dxa" w:w="1662"/>
          </w:tcPr>
          <w:p>
            <w:r>
              <w:t>8</w:t>
            </w:r>
          </w:p>
        </w:tc>
        <w:tc>
          <w:tcPr>
            <w:tcW w:type="dxa" w:w="1662"/>
          </w:tcPr>
          <w:p>
            <w:r>
              <w:t>BI</w:t>
            </w:r>
          </w:p>
        </w:tc>
        <w:tc>
          <w:tcPr>
            <w:tcW w:type="dxa" w:w="1662"/>
          </w:tcPr>
          <w:p>
            <w:r>
              <w:t>Microsoft Power BI Premium + SSRS + SSAS</w:t>
            </w:r>
          </w:p>
        </w:tc>
        <w:tc>
          <w:tcPr>
            <w:tcW w:type="dxa" w:w="1662"/>
          </w:tcPr>
          <w:p>
            <w:r>
              <w:t>Microsoft</w:t>
            </w:r>
          </w:p>
        </w:tc>
        <w:tc>
          <w:tcPr>
            <w:tcW w:type="dxa" w:w="1662"/>
          </w:tcPr>
          <w:p>
            <w:r>
              <w:t>50 useri analitici</w:t>
            </w:r>
          </w:p>
        </w:tc>
        <w:tc>
          <w:tcPr>
            <w:tcW w:type="dxa" w:w="1662"/>
          </w:tcPr>
          <w:p>
            <w:r>
              <w:t>3.4.3.2.8</w:t>
            </w:r>
          </w:p>
        </w:tc>
      </w:tr>
      <w:tr>
        <w:tc>
          <w:tcPr>
            <w:tcW w:type="dxa" w:w="1662"/>
          </w:tcPr>
          <w:p>
            <w:r>
              <w:t>9</w:t>
            </w:r>
          </w:p>
        </w:tc>
        <w:tc>
          <w:tcPr>
            <w:tcW w:type="dxa" w:w="1662"/>
          </w:tcPr>
          <w:p>
            <w:r>
              <w:t>IAM</w:t>
            </w:r>
          </w:p>
        </w:tc>
        <w:tc>
          <w:tcPr>
            <w:tcW w:type="dxa" w:w="1662"/>
          </w:tcPr>
          <w:p>
            <w:r>
              <w:t>Keycloak Enterprise (Red Hat SSO)</w:t>
            </w:r>
          </w:p>
        </w:tc>
        <w:tc>
          <w:tcPr>
            <w:tcW w:type="dxa" w:w="1662"/>
          </w:tcPr>
          <w:p>
            <w:r>
              <w:t>Red Hat</w:t>
            </w:r>
          </w:p>
        </w:tc>
        <w:tc>
          <w:tcPr>
            <w:tcW w:type="dxa" w:w="1662"/>
          </w:tcPr>
          <w:p>
            <w:r>
              <w:t>150 useri interni + 185.000 portal</w:t>
            </w:r>
          </w:p>
        </w:tc>
        <w:tc>
          <w:tcPr>
            <w:tcW w:type="dxa" w:w="1662"/>
          </w:tcPr>
          <w:p>
            <w:r>
              <w:t>3.4.3.2.7</w:t>
            </w:r>
          </w:p>
        </w:tc>
      </w:tr>
      <w:tr>
        <w:tc>
          <w:tcPr>
            <w:tcW w:type="dxa" w:w="1662"/>
          </w:tcPr>
          <w:p>
            <w:r>
              <w:t>10</w:t>
            </w:r>
          </w:p>
        </w:tc>
        <w:tc>
          <w:tcPr>
            <w:tcW w:type="dxa" w:w="1662"/>
          </w:tcPr>
          <w:p>
            <w:r>
              <w:t>GIS</w:t>
            </w:r>
          </w:p>
        </w:tc>
        <w:tc>
          <w:tcPr>
            <w:tcW w:type="dxa" w:w="1662"/>
          </w:tcPr>
          <w:p>
            <w:r>
              <w:t>Soluție GIS Enterprise (producător de selectat)</w:t>
            </w:r>
          </w:p>
        </w:tc>
        <w:tc>
          <w:tcPr>
            <w:tcW w:type="dxa" w:w="1662"/>
          </w:tcPr>
          <w:p>
            <w:r>
              <w:t>&lt;FURNIZOR GIS&gt;</w:t>
            </w:r>
          </w:p>
        </w:tc>
        <w:tc>
          <w:tcPr>
            <w:tcW w:type="dxa" w:w="1662"/>
          </w:tcPr>
          <w:p>
            <w:r>
              <w:t>1 server + 50 editori</w:t>
            </w:r>
          </w:p>
        </w:tc>
        <w:tc>
          <w:tcPr>
            <w:tcW w:type="dxa" w:w="1662"/>
          </w:tcPr>
          <w:p>
            <w:r>
              <w:t>3.4.3.2.9</w:t>
            </w:r>
          </w:p>
        </w:tc>
      </w:tr>
      <w:tr>
        <w:tc>
          <w:tcPr>
            <w:tcW w:type="dxa" w:w="1662"/>
          </w:tcPr>
          <w:p>
            <w:r>
              <w:t>11</w:t>
            </w:r>
          </w:p>
        </w:tc>
        <w:tc>
          <w:tcPr>
            <w:tcW w:type="dxa" w:w="1662"/>
          </w:tcPr>
          <w:p>
            <w:r>
              <w:t>ESB</w:t>
            </w:r>
          </w:p>
        </w:tc>
        <w:tc>
          <w:tcPr>
            <w:tcW w:type="dxa" w:w="1662"/>
          </w:tcPr>
          <w:p>
            <w:r>
              <w:t>Oracle Service Bus (cluster activ-pasiv)</w:t>
            </w:r>
          </w:p>
        </w:tc>
        <w:tc>
          <w:tcPr>
            <w:tcW w:type="dxa" w:w="1662"/>
          </w:tcPr>
          <w:p>
            <w:r>
              <w:t>Oracle</w:t>
            </w:r>
          </w:p>
        </w:tc>
        <w:tc>
          <w:tcPr>
            <w:tcW w:type="dxa" w:w="1662"/>
          </w:tcPr>
          <w:p>
            <w:r>
              <w:t>16 cores/nod × 2 noduri</w:t>
            </w:r>
          </w:p>
        </w:tc>
        <w:tc>
          <w:tcPr>
            <w:tcW w:type="dxa" w:w="1662"/>
          </w:tcPr>
          <w:p>
            <w:r>
              <w:t>3.4.3.2.10</w:t>
            </w:r>
          </w:p>
        </w:tc>
      </w:tr>
      <w:tr>
        <w:tc>
          <w:tcPr>
            <w:tcW w:type="dxa" w:w="1662"/>
          </w:tcPr>
          <w:p>
            <w:r>
              <w:t>12</w:t>
            </w:r>
          </w:p>
        </w:tc>
        <w:tc>
          <w:tcPr>
            <w:tcW w:type="dxa" w:w="1662"/>
          </w:tcPr>
          <w:p>
            <w:r>
              <w:t>DMS</w:t>
            </w:r>
          </w:p>
        </w:tc>
        <w:tc>
          <w:tcPr>
            <w:tcW w:type="dxa" w:w="1662"/>
          </w:tcPr>
          <w:p>
            <w:r>
              <w:t>ZIPPER DMS (licență perpetuă + cod sursă integral ANSVSA)</w:t>
            </w:r>
          </w:p>
        </w:tc>
        <w:tc>
          <w:tcPr>
            <w:tcW w:type="dxa" w:w="1662"/>
          </w:tcPr>
          <w:p>
            <w:r>
              <w:t>ZIPPER SERVICES S.R.L.</w:t>
            </w:r>
          </w:p>
        </w:tc>
        <w:tc>
          <w:tcPr>
            <w:tcW w:type="dxa" w:w="1662"/>
          </w:tcPr>
          <w:p>
            <w:r>
              <w:t>Nelimitat useri</w:t>
            </w:r>
          </w:p>
        </w:tc>
        <w:tc>
          <w:tcPr>
            <w:tcW w:type="dxa" w:w="1662"/>
          </w:tcPr>
          <w:p>
            <w:r>
              <w:t>3.4.3.3.1</w:t>
            </w:r>
          </w:p>
        </w:tc>
      </w:tr>
      <w:tr>
        <w:tc>
          <w:tcPr>
            <w:tcW w:type="dxa" w:w="1662"/>
          </w:tcPr>
          <w:p>
            <w:r>
              <w:t>13</w:t>
            </w:r>
          </w:p>
        </w:tc>
        <w:tc>
          <w:tcPr>
            <w:tcW w:type="dxa" w:w="1662"/>
          </w:tcPr>
          <w:p>
            <w:r>
              <w:t>Portal Servicii Publice</w:t>
            </w:r>
          </w:p>
        </w:tc>
        <w:tc>
          <w:tcPr>
            <w:tcW w:type="dxa" w:w="1662"/>
          </w:tcPr>
          <w:p>
            <w:r>
              <w:t>VOGO Enterprise Suite — Portal (≥56 servicii, perpetuă)</w:t>
            </w:r>
          </w:p>
        </w:tc>
        <w:tc>
          <w:tcPr>
            <w:tcW w:type="dxa" w:w="1662"/>
          </w:tcPr>
          <w:p>
            <w:r>
              <w:t>VOGO</w:t>
            </w:r>
          </w:p>
        </w:tc>
        <w:tc>
          <w:tcPr>
            <w:tcW w:type="dxa" w:w="1662"/>
          </w:tcPr>
          <w:p>
            <w:r>
              <w:t>Nelimitat useri</w:t>
            </w:r>
          </w:p>
        </w:tc>
        <w:tc>
          <w:tcPr>
            <w:tcW w:type="dxa" w:w="1662"/>
          </w:tcPr>
          <w:p>
            <w:r>
              <w:t>3.4.3.3.2</w:t>
            </w:r>
          </w:p>
        </w:tc>
      </w:tr>
      <w:tr>
        <w:tc>
          <w:tcPr>
            <w:tcW w:type="dxa" w:w="1662"/>
          </w:tcPr>
          <w:p>
            <w:r>
              <w:t>14</w:t>
            </w:r>
          </w:p>
        </w:tc>
        <w:tc>
          <w:tcPr>
            <w:tcW w:type="dxa" w:w="1662"/>
          </w:tcPr>
          <w:p>
            <w:r>
              <w:t>Chatbot AI</w:t>
            </w:r>
          </w:p>
        </w:tc>
        <w:tc>
          <w:tcPr>
            <w:tcW w:type="dxa" w:w="1662"/>
          </w:tcPr>
          <w:p>
            <w:r>
              <w:t>VOGO Enterprise Suite — Chatbot cu NLP RO (auto-răspuns + asistență formulare)</w:t>
            </w:r>
          </w:p>
        </w:tc>
        <w:tc>
          <w:tcPr>
            <w:tcW w:type="dxa" w:w="1662"/>
          </w:tcPr>
          <w:p>
            <w:r>
              <w:t>VOGO</w:t>
            </w:r>
          </w:p>
        </w:tc>
        <w:tc>
          <w:tcPr>
            <w:tcW w:type="dxa" w:w="1662"/>
          </w:tcPr>
          <w:p>
            <w:r>
              <w:t>1 instanță</w:t>
            </w:r>
          </w:p>
        </w:tc>
        <w:tc>
          <w:tcPr>
            <w:tcW w:type="dxa" w:w="1662"/>
          </w:tcPr>
          <w:p>
            <w:r>
              <w:t>3.4.3.3.3</w:t>
            </w:r>
          </w:p>
        </w:tc>
      </w:tr>
      <w:tr>
        <w:tc>
          <w:tcPr>
            <w:tcW w:type="dxa" w:w="1662"/>
          </w:tcPr>
          <w:p>
            <w:r>
              <w:t>15</w:t>
            </w:r>
          </w:p>
        </w:tc>
        <w:tc>
          <w:tcPr>
            <w:tcW w:type="dxa" w:w="1662"/>
          </w:tcPr>
          <w:p>
            <w:r>
              <w:t>Aplicație mobilă</w:t>
            </w:r>
          </w:p>
        </w:tc>
        <w:tc>
          <w:tcPr>
            <w:tcW w:type="dxa" w:w="1662"/>
          </w:tcPr>
          <w:p>
            <w:r>
              <w:t>VOGO Enterprise Suite — App mobilă nativ iOS + Android + PWA</w:t>
            </w:r>
          </w:p>
        </w:tc>
        <w:tc>
          <w:tcPr>
            <w:tcW w:type="dxa" w:w="1662"/>
          </w:tcPr>
          <w:p>
            <w:r>
              <w:t>VOGO</w:t>
            </w:r>
          </w:p>
        </w:tc>
        <w:tc>
          <w:tcPr>
            <w:tcW w:type="dxa" w:w="1662"/>
          </w:tcPr>
          <w:p>
            <w:r>
              <w:t>Apple Dev (99 $/an) + Google free</w:t>
            </w:r>
          </w:p>
        </w:tc>
        <w:tc>
          <w:tcPr>
            <w:tcW w:type="dxa" w:w="1662"/>
          </w:tcPr>
          <w:p>
            <w:r>
              <w:t>3.4.3.3.4</w:t>
            </w:r>
          </w:p>
        </w:tc>
      </w:tr>
      <w:tr>
        <w:tc>
          <w:tcPr>
            <w:tcW w:type="dxa" w:w="1662"/>
          </w:tcPr>
          <w:p>
            <w:r>
              <w:t>16</w:t>
            </w:r>
          </w:p>
        </w:tc>
        <w:tc>
          <w:tcPr>
            <w:tcW w:type="dxa" w:w="1662"/>
          </w:tcPr>
          <w:p>
            <w:r>
              <w:t>LIMS</w:t>
            </w:r>
          </w:p>
        </w:tc>
        <w:tc>
          <w:tcPr>
            <w:tcW w:type="dxa" w:w="1662"/>
          </w:tcPr>
          <w:p>
            <w:r>
              <w:t>Soluție LIMS COTS cu cod sursă (perpetuă + 3 ani L2/L3)</w:t>
            </w:r>
          </w:p>
        </w:tc>
        <w:tc>
          <w:tcPr>
            <w:tcW w:type="dxa" w:w="1662"/>
          </w:tcPr>
          <w:p>
            <w:r>
              <w:t>&lt;FURNIZOR LIMS&gt;</w:t>
            </w:r>
          </w:p>
        </w:tc>
        <w:tc>
          <w:tcPr>
            <w:tcW w:type="dxa" w:w="1662"/>
          </w:tcPr>
          <w:p>
            <w:r>
              <w:t>Nelimitat useri</w:t>
            </w:r>
          </w:p>
        </w:tc>
        <w:tc>
          <w:tcPr>
            <w:tcW w:type="dxa" w:w="1662"/>
          </w:tcPr>
          <w:p>
            <w:r>
              <w:t>3.4.3.3.5</w:t>
            </w:r>
          </w:p>
        </w:tc>
      </w:tr>
      <w:tr>
        <w:tc>
          <w:tcPr>
            <w:tcW w:type="dxa" w:w="1662"/>
          </w:tcPr>
          <w:p>
            <w:r>
              <w:t>17</w:t>
            </w:r>
          </w:p>
        </w:tc>
        <w:tc>
          <w:tcPr>
            <w:tcW w:type="dxa" w:w="1662"/>
          </w:tcPr>
          <w:p>
            <w:r>
              <w:t>Integrare HL7</w:t>
            </w:r>
          </w:p>
        </w:tc>
        <w:tc>
          <w:tcPr>
            <w:tcW w:type="dxa" w:w="1662"/>
          </w:tcPr>
          <w:p>
            <w:r>
              <w:t>Mirth Connect (HL7 FHIR + v2.x engine)</w:t>
            </w:r>
          </w:p>
        </w:tc>
        <w:tc>
          <w:tcPr>
            <w:tcW w:type="dxa" w:w="1662"/>
          </w:tcPr>
          <w:p>
            <w:r>
              <w:t>NextGen Healthcare</w:t>
            </w:r>
          </w:p>
        </w:tc>
        <w:tc>
          <w:tcPr>
            <w:tcW w:type="dxa" w:w="1662"/>
          </w:tcPr>
          <w:p>
            <w:r>
              <w:t>1 instanță</w:t>
            </w:r>
          </w:p>
        </w:tc>
        <w:tc>
          <w:tcPr>
            <w:tcW w:type="dxa" w:w="1662"/>
          </w:tcPr>
          <w:p>
            <w:r>
              <w:t>3.4.3.3.6</w:t>
            </w:r>
          </w:p>
        </w:tc>
      </w:tr>
      <w:tr>
        <w:tc>
          <w:tcPr>
            <w:tcW w:type="dxa" w:w="1662"/>
          </w:tcPr>
          <w:p>
            <w:r>
              <w:t>18</w:t>
            </w:r>
          </w:p>
        </w:tc>
        <w:tc>
          <w:tcPr>
            <w:tcW w:type="dxa" w:w="1662"/>
          </w:tcPr>
          <w:p>
            <w:r>
              <w:t>WAF</w:t>
            </w:r>
          </w:p>
        </w:tc>
        <w:tc>
          <w:tcPr>
            <w:tcW w:type="dxa" w:w="1662"/>
          </w:tcPr>
          <w:p>
            <w:r>
              <w:t>F5 Advanced WAF / FortiWeb / Imperva</w:t>
            </w:r>
          </w:p>
        </w:tc>
        <w:tc>
          <w:tcPr>
            <w:tcW w:type="dxa" w:w="1662"/>
          </w:tcPr>
          <w:p>
            <w:r>
              <w:t>F5 / Fortinet / Imperva</w:t>
            </w:r>
          </w:p>
        </w:tc>
        <w:tc>
          <w:tcPr>
            <w:tcW w:type="dxa" w:w="1662"/>
          </w:tcPr>
          <w:p>
            <w:r>
              <w:t>2 appliance × 8 vCPU</w:t>
            </w:r>
          </w:p>
        </w:tc>
        <w:tc>
          <w:tcPr>
            <w:tcW w:type="dxa" w:w="1662"/>
          </w:tcPr>
          <w:p>
            <w:r>
              <w:t>3.4.3.4.1.1</w:t>
            </w:r>
          </w:p>
        </w:tc>
      </w:tr>
      <w:tr>
        <w:tc>
          <w:tcPr>
            <w:tcW w:type="dxa" w:w="1662"/>
          </w:tcPr>
          <w:p>
            <w:r>
              <w:t>19</w:t>
            </w:r>
          </w:p>
        </w:tc>
        <w:tc>
          <w:tcPr>
            <w:tcW w:type="dxa" w:w="1662"/>
          </w:tcPr>
          <w:p>
            <w:r>
              <w:t>Honeypot</w:t>
            </w:r>
          </w:p>
        </w:tc>
        <w:tc>
          <w:tcPr>
            <w:tcW w:type="dxa" w:w="1662"/>
          </w:tcPr>
          <w:p>
            <w:r>
              <w:t>FortiDeceptor + instanțe Windows</w:t>
            </w:r>
          </w:p>
        </w:tc>
        <w:tc>
          <w:tcPr>
            <w:tcW w:type="dxa" w:w="1662"/>
          </w:tcPr>
          <w:p>
            <w:r>
              <w:t>Fortinet</w:t>
            </w:r>
          </w:p>
        </w:tc>
        <w:tc>
          <w:tcPr>
            <w:tcW w:type="dxa" w:w="1662"/>
          </w:tcPr>
          <w:p>
            <w:r>
              <w:t>1 + 4 instanțe × 4 vCPU</w:t>
            </w:r>
          </w:p>
        </w:tc>
        <w:tc>
          <w:tcPr>
            <w:tcW w:type="dxa" w:w="1662"/>
          </w:tcPr>
          <w:p>
            <w:r>
              <w:t>3.4.3.4.1.2</w:t>
            </w:r>
          </w:p>
        </w:tc>
      </w:tr>
      <w:tr>
        <w:tc>
          <w:tcPr>
            <w:tcW w:type="dxa" w:w="1662"/>
          </w:tcPr>
          <w:p>
            <w:r>
              <w:t>20</w:t>
            </w:r>
          </w:p>
        </w:tc>
        <w:tc>
          <w:tcPr>
            <w:tcW w:type="dxa" w:w="1662"/>
          </w:tcPr>
          <w:p>
            <w:r>
              <w:t>NMS / NAC</w:t>
            </w:r>
          </w:p>
        </w:tc>
        <w:tc>
          <w:tcPr>
            <w:tcW w:type="dxa" w:w="1662"/>
          </w:tcPr>
          <w:p>
            <w:r>
              <w:t>Cisco DNA Center / Aruba ClearPass</w:t>
            </w:r>
          </w:p>
        </w:tc>
        <w:tc>
          <w:tcPr>
            <w:tcW w:type="dxa" w:w="1662"/>
          </w:tcPr>
          <w:p>
            <w:r>
              <w:t>Cisco / HPE Aruba</w:t>
            </w:r>
          </w:p>
        </w:tc>
        <w:tc>
          <w:tcPr>
            <w:tcW w:type="dxa" w:w="1662"/>
          </w:tcPr>
          <w:p>
            <w:r>
              <w:t>min 600 dispozitive</w:t>
            </w:r>
          </w:p>
        </w:tc>
        <w:tc>
          <w:tcPr>
            <w:tcW w:type="dxa" w:w="1662"/>
          </w:tcPr>
          <w:p>
            <w:r>
              <w:t>3.4.3.4.1.3</w:t>
            </w:r>
          </w:p>
        </w:tc>
      </w:tr>
      <w:tr>
        <w:tc>
          <w:tcPr>
            <w:tcW w:type="dxa" w:w="1662"/>
          </w:tcPr>
          <w:p>
            <w:r>
              <w:t>21</w:t>
            </w:r>
          </w:p>
        </w:tc>
        <w:tc>
          <w:tcPr>
            <w:tcW w:type="dxa" w:w="1662"/>
          </w:tcPr>
          <w:p>
            <w:r>
              <w:t>SIEM</w:t>
            </w:r>
          </w:p>
        </w:tc>
        <w:tc>
          <w:tcPr>
            <w:tcW w:type="dxa" w:w="1662"/>
          </w:tcPr>
          <w:p>
            <w:r>
              <w:t>Splunk Enterprise Security / IBM QRadar</w:t>
            </w:r>
          </w:p>
        </w:tc>
        <w:tc>
          <w:tcPr>
            <w:tcW w:type="dxa" w:w="1662"/>
          </w:tcPr>
          <w:p>
            <w:r>
              <w:t>Splunk / IBM</w:t>
            </w:r>
          </w:p>
        </w:tc>
        <w:tc>
          <w:tcPr>
            <w:tcW w:type="dxa" w:w="1662"/>
          </w:tcPr>
          <w:p>
            <w:r>
              <w:t>1 cluster, IOC 3 ani</w:t>
            </w:r>
          </w:p>
        </w:tc>
        <w:tc>
          <w:tcPr>
            <w:tcW w:type="dxa" w:w="1662"/>
          </w:tcPr>
          <w:p>
            <w:r>
              <w:t>3.4.3.4.1.4</w:t>
            </w:r>
          </w:p>
        </w:tc>
      </w:tr>
      <w:tr>
        <w:tc>
          <w:tcPr>
            <w:tcW w:type="dxa" w:w="1662"/>
          </w:tcPr>
          <w:p>
            <w:r>
              <w:t>22</w:t>
            </w:r>
          </w:p>
        </w:tc>
        <w:tc>
          <w:tcPr>
            <w:tcW w:type="dxa" w:w="1662"/>
          </w:tcPr>
          <w:p>
            <w:r>
              <w:t>Email Security</w:t>
            </w:r>
          </w:p>
        </w:tc>
        <w:tc>
          <w:tcPr>
            <w:tcW w:type="dxa" w:w="1662"/>
          </w:tcPr>
          <w:p>
            <w:r>
              <w:t>Cisco Secure Email (IronPort)</w:t>
            </w:r>
          </w:p>
        </w:tc>
        <w:tc>
          <w:tcPr>
            <w:tcW w:type="dxa" w:w="1662"/>
          </w:tcPr>
          <w:p>
            <w:r>
              <w:t>Cisco</w:t>
            </w:r>
          </w:p>
        </w:tc>
        <w:tc>
          <w:tcPr>
            <w:tcW w:type="dxa" w:w="1662"/>
          </w:tcPr>
          <w:p>
            <w:r>
              <w:t>2 buc</w:t>
            </w:r>
          </w:p>
        </w:tc>
        <w:tc>
          <w:tcPr>
            <w:tcW w:type="dxa" w:w="1662"/>
          </w:tcPr>
          <w:p>
            <w:r>
              <w:t>3.4.3.4.1.5</w:t>
            </w:r>
          </w:p>
        </w:tc>
      </w:tr>
      <w:tr>
        <w:tc>
          <w:tcPr>
            <w:tcW w:type="dxa" w:w="1662"/>
          </w:tcPr>
          <w:p>
            <w:r>
              <w:t>23</w:t>
            </w:r>
          </w:p>
        </w:tc>
        <w:tc>
          <w:tcPr>
            <w:tcW w:type="dxa" w:w="1662"/>
          </w:tcPr>
          <w:p>
            <w:r>
              <w:t>NGFW centru</w:t>
            </w:r>
          </w:p>
        </w:tc>
        <w:tc>
          <w:tcPr>
            <w:tcW w:type="dxa" w:w="1662"/>
          </w:tcPr>
          <w:p>
            <w:r>
              <w:t>Palo Alto Networks PA-Series / FortiGate</w:t>
            </w:r>
          </w:p>
        </w:tc>
        <w:tc>
          <w:tcPr>
            <w:tcW w:type="dxa" w:w="1662"/>
          </w:tcPr>
          <w:p>
            <w:r>
              <w:t>Palo Alto / Fortinet</w:t>
            </w:r>
          </w:p>
        </w:tc>
        <w:tc>
          <w:tcPr>
            <w:tcW w:type="dxa" w:w="1662"/>
          </w:tcPr>
          <w:p>
            <w:r>
              <w:t>2 buc, min 10 VDOM</w:t>
            </w:r>
          </w:p>
        </w:tc>
        <w:tc>
          <w:tcPr>
            <w:tcW w:type="dxa" w:w="1662"/>
          </w:tcPr>
          <w:p>
            <w:r>
              <w:t>3.4.3.4.2.1</w:t>
            </w:r>
          </w:p>
        </w:tc>
      </w:tr>
      <w:tr>
        <w:tc>
          <w:tcPr>
            <w:tcW w:type="dxa" w:w="1662"/>
          </w:tcPr>
          <w:p>
            <w:r>
              <w:t>24</w:t>
            </w:r>
          </w:p>
        </w:tc>
        <w:tc>
          <w:tcPr>
            <w:tcW w:type="dxa" w:w="1662"/>
          </w:tcPr>
          <w:p>
            <w:r>
              <w:t>NGFW locații</w:t>
            </w:r>
          </w:p>
        </w:tc>
        <w:tc>
          <w:tcPr>
            <w:tcW w:type="dxa" w:w="1662"/>
          </w:tcPr>
          <w:p>
            <w:r>
              <w:t>FortiGate 100F</w:t>
            </w:r>
          </w:p>
        </w:tc>
        <w:tc>
          <w:tcPr>
            <w:tcW w:type="dxa" w:w="1662"/>
          </w:tcPr>
          <w:p>
            <w:r>
              <w:t>Fortinet</w:t>
            </w:r>
          </w:p>
        </w:tc>
        <w:tc>
          <w:tcPr>
            <w:tcW w:type="dxa" w:w="1662"/>
          </w:tcPr>
          <w:p>
            <w:r>
              <w:t>90 buc (2 × 45 locații)</w:t>
            </w:r>
          </w:p>
        </w:tc>
        <w:tc>
          <w:tcPr>
            <w:tcW w:type="dxa" w:w="1662"/>
          </w:tcPr>
          <w:p>
            <w:r>
              <w:t>3.4.3.4.2.2</w:t>
            </w:r>
          </w:p>
        </w:tc>
      </w:tr>
      <w:tr>
        <w:tc>
          <w:tcPr>
            <w:tcW w:type="dxa" w:w="1662"/>
          </w:tcPr>
          <w:p>
            <w:r>
              <w:t>25</w:t>
            </w:r>
          </w:p>
        </w:tc>
        <w:tc>
          <w:tcPr>
            <w:tcW w:type="dxa" w:w="1662"/>
          </w:tcPr>
          <w:p>
            <w:r>
              <w:t>Antivirus / EDR</w:t>
            </w:r>
          </w:p>
        </w:tc>
        <w:tc>
          <w:tcPr>
            <w:tcW w:type="dxa" w:w="1662"/>
          </w:tcPr>
          <w:p>
            <w:r>
              <w:t>CrowdStrike Falcon / SentinelOne Singularity (NU Kaspersky — Lege 354/2022)</w:t>
            </w:r>
          </w:p>
        </w:tc>
        <w:tc>
          <w:tcPr>
            <w:tcW w:type="dxa" w:w="1662"/>
          </w:tcPr>
          <w:p>
            <w:r>
              <w:t>CrowdStrike / SentinelOne</w:t>
            </w:r>
          </w:p>
        </w:tc>
        <w:tc>
          <w:tcPr>
            <w:tcW w:type="dxa" w:w="1662"/>
          </w:tcPr>
          <w:p>
            <w:r>
              <w:t>436 + 50 endpoints</w:t>
            </w:r>
          </w:p>
        </w:tc>
        <w:tc>
          <w:tcPr>
            <w:tcW w:type="dxa" w:w="1662"/>
          </w:tcPr>
          <w:p>
            <w:r>
              <w:t>3.4.3.4.3</w:t>
            </w:r>
          </w:p>
        </w:tc>
      </w:tr>
      <w:tr>
        <w:tc>
          <w:tcPr>
            <w:tcW w:type="dxa" w:w="1662"/>
          </w:tcPr>
          <w:p>
            <w:r>
              <w:t>26</w:t>
            </w:r>
          </w:p>
        </w:tc>
        <w:tc>
          <w:tcPr>
            <w:tcW w:type="dxa" w:w="1662"/>
          </w:tcPr>
          <w:p>
            <w:r>
              <w:t>MS Office laptopuri</w:t>
            </w:r>
          </w:p>
        </w:tc>
        <w:tc>
          <w:tcPr>
            <w:tcW w:type="dxa" w:w="1662"/>
          </w:tcPr>
          <w:p>
            <w:r>
              <w:t>Microsoft Office Home &amp; Business 2024 OEM</w:t>
            </w:r>
          </w:p>
        </w:tc>
        <w:tc>
          <w:tcPr>
            <w:tcW w:type="dxa" w:w="1662"/>
          </w:tcPr>
          <w:p>
            <w:r>
              <w:t>Microsoft</w:t>
            </w:r>
          </w:p>
        </w:tc>
        <w:tc>
          <w:tcPr>
            <w:tcW w:type="dxa" w:w="1662"/>
          </w:tcPr>
          <w:p>
            <w:r>
              <w:t>100 buc</w:t>
            </w:r>
          </w:p>
        </w:tc>
        <w:tc>
          <w:tcPr>
            <w:tcW w:type="dxa" w:w="1662"/>
          </w:tcPr>
          <w:p>
            <w:r>
              <w:t>3.4.3.5.1</w:t>
            </w:r>
          </w:p>
        </w:tc>
      </w:tr>
      <w:tr>
        <w:tc>
          <w:tcPr>
            <w:tcW w:type="dxa" w:w="1662"/>
          </w:tcPr>
          <w:p>
            <w:r>
              <w:t>27</w:t>
            </w:r>
          </w:p>
        </w:tc>
        <w:tc>
          <w:tcPr>
            <w:tcW w:type="dxa" w:w="1662"/>
          </w:tcPr>
          <w:p>
            <w:r>
              <w:t>MS Office teren</w:t>
            </w:r>
          </w:p>
        </w:tc>
        <w:tc>
          <w:tcPr>
            <w:tcW w:type="dxa" w:w="1662"/>
          </w:tcPr>
          <w:p>
            <w:r>
              <w:t>Microsoft Office Home &amp; Business 2024 OEM</w:t>
            </w:r>
          </w:p>
        </w:tc>
        <w:tc>
          <w:tcPr>
            <w:tcW w:type="dxa" w:w="1662"/>
          </w:tcPr>
          <w:p>
            <w:r>
              <w:t>Microsoft</w:t>
            </w:r>
          </w:p>
        </w:tc>
        <w:tc>
          <w:tcPr>
            <w:tcW w:type="dxa" w:w="1662"/>
          </w:tcPr>
          <w:p>
            <w:r>
              <w:t>336 buc (8 × 42 DSVSA)</w:t>
            </w:r>
          </w:p>
        </w:tc>
        <w:tc>
          <w:tcPr>
            <w:tcW w:type="dxa" w:w="1662"/>
          </w:tcPr>
          <w:p>
            <w:r>
              <w:t>3.4.3.5.1</w:t>
            </w:r>
          </w:p>
        </w:tc>
      </w:tr>
      <w:tr>
        <w:tc>
          <w:tcPr>
            <w:tcW w:type="dxa" w:w="1662"/>
          </w:tcPr>
          <w:p>
            <w:r>
              <w:t>28</w:t>
            </w:r>
          </w:p>
        </w:tc>
        <w:tc>
          <w:tcPr>
            <w:tcW w:type="dxa" w:w="1662"/>
          </w:tcPr>
          <w:p>
            <w:r>
              <w:t>Backup software</w:t>
            </w:r>
          </w:p>
        </w:tc>
        <w:tc>
          <w:tcPr>
            <w:tcW w:type="dxa" w:w="1662"/>
          </w:tcPr>
          <w:p>
            <w:r>
              <w:t>Veeam Backup &amp; Replication Enterprise (sau echivalent)</w:t>
            </w:r>
          </w:p>
        </w:tc>
        <w:tc>
          <w:tcPr>
            <w:tcW w:type="dxa" w:w="1662"/>
          </w:tcPr>
          <w:p>
            <w:r>
              <w:t>Veeam</w:t>
            </w:r>
          </w:p>
        </w:tc>
        <w:tc>
          <w:tcPr>
            <w:tcW w:type="dxa" w:w="1662"/>
          </w:tcPr>
          <w:p>
            <w:r>
              <w:t>Per TB protejat</w:t>
            </w:r>
          </w:p>
        </w:tc>
        <w:tc>
          <w:tcPr>
            <w:tcW w:type="dxa" w:w="1662"/>
          </w:tcPr>
          <w:p>
            <w:r>
              <w:t>3.4.3.5.2</w:t>
            </w:r>
          </w:p>
        </w:tc>
      </w:tr>
      <w:tr>
        <w:tc>
          <w:tcPr>
            <w:tcW w:type="dxa" w:w="1662"/>
          </w:tcPr>
          <w:p>
            <w:r>
              <w:t>29</w:t>
            </w:r>
          </w:p>
        </w:tc>
        <w:tc>
          <w:tcPr>
            <w:tcW w:type="dxa" w:w="1662"/>
          </w:tcPr>
          <w:p>
            <w:r>
              <w:t>Kubernetes / Containere</w:t>
            </w:r>
          </w:p>
        </w:tc>
        <w:tc>
          <w:tcPr>
            <w:tcW w:type="dxa" w:w="1662"/>
          </w:tcPr>
          <w:p>
            <w:r>
              <w:t>Red Hat OpenShift Container Platform</w:t>
            </w:r>
          </w:p>
        </w:tc>
        <w:tc>
          <w:tcPr>
            <w:tcW w:type="dxa" w:w="1662"/>
          </w:tcPr>
          <w:p>
            <w:r>
              <w:t>Red Hat</w:t>
            </w:r>
          </w:p>
        </w:tc>
        <w:tc>
          <w:tcPr>
            <w:tcW w:type="dxa" w:w="1662"/>
          </w:tcPr>
          <w:p>
            <w:r>
              <w:t>Per nod cluster</w:t>
            </w:r>
          </w:p>
        </w:tc>
        <w:tc>
          <w:tcPr>
            <w:tcW w:type="dxa" w:w="1662"/>
          </w:tcPr>
          <w:p>
            <w:r>
              <w:t>3.4.3.2.11</w:t>
            </w:r>
          </w:p>
        </w:tc>
      </w:tr>
    </w:tbl>
    <w:p>
      <w:pPr>
        <w:pStyle w:val="Heading2"/>
      </w:pPr>
      <w:r>
        <w:t>5.8 Drepturi de proprietate intelectuală asupra soluției</w:t>
      </w:r>
    </w:p>
    <w:p>
      <w:r>
        <w:t>Conform cap. 12 din Caietul de Sarcini (Transferul drepturilor de proprietate intelectuală), &lt;LIDER&gt; și consorțiul de furnizori asigură transferul integral către ANSVSA al drepturilor de proprietate intelectuală pentru toate componentele dezvoltate custom + livrarea cu drepturi corespunzătoare pentru componentele COTS:</w:t>
      </w:r>
    </w:p>
    <w:p>
      <w:pPr>
        <w:pStyle w:val="ListBullet"/>
      </w:pPr>
      <w:r>
        <w:t>Cod sursă custom dezvoltat pentru specificul SIDISVA (integrări dedicate ROeID/eIDAS/ONRC/APIA/SNIIA, adaptoare ESB custom, fluxuri BPMN specifice, rapoarte BI custom): transfer integral cu drept de proprietate perpetuă ANSVSA, fără limitare de utilizatori, instituții sau funcționalități.</w:t>
      </w:r>
    </w:p>
    <w:p>
      <w:pPr>
        <w:pStyle w:val="ListBullet"/>
      </w:pPr>
      <w:r>
        <w:t>ZIPPER DMS — licență perpetuă + cod sursă integral livrat ANSVSA (componenta DMS este oferită cu acest drept extins, permițând întreținere/dezvoltare ulterioară independentă de producătorul original).</w:t>
      </w:r>
    </w:p>
    <w:p>
      <w:pPr>
        <w:pStyle w:val="ListBullet"/>
      </w:pPr>
      <w:r>
        <w:t>Soluția LIMS COTS livrată de &lt;FURNIZOR LIMS&gt; — licență perpetuă + cod sursă integral livrat ANSVSA + 3 ani suport L2/L3 inclus.</w:t>
      </w:r>
    </w:p>
    <w:p>
      <w:pPr>
        <w:pStyle w:val="ListBullet"/>
      </w:pPr>
      <w:r>
        <w:t>VOGO Enterprise Suite (Portal + Chatbot + Aplicație mobilă) — licență perpetuă fără limitare de utilizatori; VOGO păstrează drepturile asupra codului sursă produs (componentă COTS, nu custom dezvoltată), însă oferă ANSVSA dreptul nelimitat de utilizare + acces la API + posibilitatea integrării custom prin extensii.</w:t>
      </w:r>
    </w:p>
    <w:p>
      <w:pPr>
        <w:pStyle w:val="ListBullet"/>
      </w:pPr>
      <w:r>
        <w:t>Licențe COTS infrastructură (Microsoft SQL Enterprise, Oracle Service Bus, Keycloak Enterprise, Splunk ES, FortiGate, F5 WAF, Cisco IronPort, CrowdStrike etc.) — emise pe numele ANSVSA, perpetue sau în mod abonament conform politicii producătorului, cu drept de transfer către instituțiile subordonate (3 institute + 42 DSVSA).</w:t>
      </w:r>
    </w:p>
    <w:p>
      <w:r>
        <w:rPr>
          <w:i/>
        </w:rPr>
        <w:t>Acceptarea acestor termeni de proprietate intelectuală este declarată formal în Anexa K (Pachet declarații obligatorii) — cap. 15 al ofertei.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