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pPr>
      <w:r>
        <w:rPr>
          <w:b/>
          <w:sz w:val="36"/>
        </w:rPr>
        <w:t>7. Plan de măsuri pentru perioada de garanție și suport tehnic</w:t>
      </w:r>
    </w:p>
    <w:p>
      <w:r>
        <w:t>Prezentul capitol descrie în detaliu serviciile de garanție și suport tehnic pe care consorțiul condus de &lt;LIDER&gt; le va asigura pe perioada de 3 ani de la data acceptanței finale a sistemului SIDISVA (trecerea în producție), conform cerințelor explicite ale cap. 3.4.9 al Caietului de Sarcini. Capitolul răspunde integral celor 14 cerințe ale CdS privind serviciile de garanție și include, suplimentar, mecanismul de integrare ulterioară cu sisteme guvernamentale neimplementate (cap. 3.4.2.14 CdS), realizat fără cost suplimentar pentru Autoritatea Contractantă.</w:t>
      </w:r>
    </w:p>
    <w:p>
      <w:r>
        <w:t>Pe parcursul perioadei de garanție, &lt;LIDER&gt; menține o comunicare activă cu ANSVSA pentru a asigura funcționarea eficientă a sistemului informatic, reducerea timpilor de nefuncționare și optimizarea costurilor de întreținere — așa cum prevede paragraful introductiv al cap. 3.4.9 al Caietului de Sarcini.</w:t>
      </w:r>
    </w:p>
    <w:p>
      <w:pPr>
        <w:spacing w:before="360" w:after="120"/>
      </w:pPr>
      <w:r>
        <w:rPr>
          <w:b/>
          <w:sz w:val="28"/>
        </w:rPr>
        <w:t>7.1 Domeniul garanției — ce este acoperit</w:t>
      </w:r>
    </w:p>
    <w:p>
      <w:r>
        <w:t>Garanția de 3 ani acoperă integral toate componentele sistemului SIDISVA — hardware, software de bază, software aplicativ și serviciile de suport tehnic asociate. Tabelul de mai jos detaliază acoperirea pe categorii: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Categorie</w:t>
            </w:r>
          </w:p>
        </w:tc>
        <w:tc>
          <w:tcPr>
            <w:tcW w:type="dxa" w:w="2160"/>
          </w:tcPr>
          <w:p>
            <w:r/>
            <w:r>
              <w:rPr>
                <w:b/>
              </w:rPr>
              <w:t>Componente acoperite</w:t>
            </w:r>
          </w:p>
        </w:tc>
        <w:tc>
          <w:tcPr>
            <w:tcW w:type="dxa" w:w="2160"/>
          </w:tcPr>
          <w:p>
            <w:r/>
            <w:r>
              <w:rPr>
                <w:b/>
              </w:rPr>
              <w:t>Durată garanție</w:t>
            </w:r>
          </w:p>
        </w:tc>
        <w:tc>
          <w:tcPr>
            <w:tcW w:type="dxa" w:w="2160"/>
          </w:tcPr>
          <w:p>
            <w:r/>
            <w:r>
              <w:rPr>
                <w:b/>
              </w:rPr>
              <w:t>Furnizor responsabil</w:t>
            </w:r>
          </w:p>
        </w:tc>
      </w:tr>
      <w:tr>
        <w:tc>
          <w:tcPr>
            <w:tcW w:type="dxa" w:w="2160"/>
          </w:tcPr>
          <w:p>
            <w:r>
              <w:t>A. Hardware</w:t>
            </w:r>
          </w:p>
        </w:tc>
        <w:tc>
          <w:tcPr>
            <w:tcW w:type="dxa" w:w="2160"/>
          </w:tcPr>
          <w:p>
            <w:r>
              <w:t>NGFW (2 centru + 90 locații), WAF, SIEM, Honeypot, NMS/NAC, Email Security, Switch acces/POE/agregare, Access Point Wi-Fi 6, 100 laptopuri, 336 complete teren (terminal + pad semnătură + imprimantă mobilă)</w:t>
            </w:r>
          </w:p>
        </w:tc>
        <w:tc>
          <w:tcPr>
            <w:tcW w:type="dxa" w:w="2160"/>
          </w:tcPr>
          <w:p>
            <w:r>
              <w:t>3 ani de la PIP</w:t>
            </w:r>
          </w:p>
        </w:tc>
        <w:tc>
          <w:tcPr>
            <w:tcW w:type="dxa" w:w="2160"/>
          </w:tcPr>
          <w:p>
            <w:r>
              <w:t>&lt;LIDER&gt; ca SPOC + producători (Fortinet, Cisco, F5, Splunk, Dell/HP/Lenovo, Wacom/Topaz, Epson/Canon/HP)</w:t>
            </w:r>
          </w:p>
        </w:tc>
      </w:tr>
      <w:tr>
        <w:tc>
          <w:tcPr>
            <w:tcW w:type="dxa" w:w="2160"/>
          </w:tcPr>
          <w:p>
            <w:r>
              <w:t>B. Software de bază (COTS)</w:t>
            </w:r>
          </w:p>
        </w:tc>
        <w:tc>
          <w:tcPr>
            <w:tcW w:type="dxa" w:w="2160"/>
          </w:tcPr>
          <w:p>
            <w:r>
              <w:t>Microsoft SQL Server Enterprise, Oracle Service Bus, Microsoft SSIS + Power BI + SSRS + SSAS, Keycloak Enterprise, Elasticsearch, NGINX Plus, Microsoft IIS, Windows Server 2022, RHEL / Oracle Linux, Mirth Connect, Microsoft Office Home &amp; Business 2024</w:t>
            </w:r>
          </w:p>
        </w:tc>
        <w:tc>
          <w:tcPr>
            <w:tcW w:type="dxa" w:w="2160"/>
          </w:tcPr>
          <w:p>
            <w:r>
              <w:t>3 ani de la PIP, cu update-uri majore + minore + patch-uri securitate</w:t>
            </w:r>
          </w:p>
        </w:tc>
        <w:tc>
          <w:tcPr>
            <w:tcW w:type="dxa" w:w="2160"/>
          </w:tcPr>
          <w:p>
            <w:r>
              <w:t>&lt;LIDER&gt; + producătorii (Microsoft, Oracle, Red Hat, NextGen Healthcare, F5/NGINX, Elastic)</w:t>
            </w:r>
          </w:p>
        </w:tc>
      </w:tr>
      <w:tr>
        <w:tc>
          <w:tcPr>
            <w:tcW w:type="dxa" w:w="2160"/>
          </w:tcPr>
          <w:p>
            <w:r>
              <w:t>C. Software aplicativ</w:t>
            </w:r>
          </w:p>
        </w:tc>
        <w:tc>
          <w:tcPr>
            <w:tcW w:type="dxa" w:w="2160"/>
          </w:tcPr>
          <w:p>
            <w:r>
              <w:t>ZIPPER DMS (cod sursă inclus), Enterprise Suite (Portal + Chatbot + App mobilă), LIMS COTS (cod sursă inclus), integrări custom dezvoltate de consorțiu</w:t>
            </w:r>
          </w:p>
        </w:tc>
        <w:tc>
          <w:tcPr>
            <w:tcW w:type="dxa" w:w="2160"/>
          </w:tcPr>
          <w:p>
            <w:r>
              <w:t>3 ani de la PIP, cu corecții bug-uri + mentenanță evolutivă minoră</w:t>
            </w:r>
          </w:p>
        </w:tc>
        <w:tc>
          <w:tcPr>
            <w:tcW w:type="dxa" w:w="2160"/>
          </w:tcPr>
          <w:p>
            <w:r>
              <w:t>&lt;FURNIZOR DMS&gt;, &lt;FURNIZOR PORTAL&gt;, &lt;FURNIZOR LIMS&gt;, &lt;LIDER&gt; (integrări custom)</w:t>
            </w:r>
          </w:p>
        </w:tc>
      </w:tr>
      <w:tr>
        <w:tc>
          <w:tcPr>
            <w:tcW w:type="dxa" w:w="2160"/>
          </w:tcPr>
          <w:p>
            <w:r>
              <w:t>D. Suport tehnic</w:t>
            </w:r>
          </w:p>
        </w:tc>
        <w:tc>
          <w:tcPr>
            <w:tcW w:type="dxa" w:w="2160"/>
          </w:tcPr>
          <w:p>
            <w:r>
              <w:t>Help-desk telefonic 8h/zi L-V (cf. CdS cap. 3.4.9), aplicație ticketing 24×7, intervenție de urgență 24×7 pentru incidente S1 critice, vulnerability management, pen-test anual</w:t>
            </w:r>
          </w:p>
        </w:tc>
        <w:tc>
          <w:tcPr>
            <w:tcW w:type="dxa" w:w="2160"/>
          </w:tcPr>
          <w:p>
            <w:r>
              <w:t>3 ani de la PIP</w:t>
            </w:r>
          </w:p>
        </w:tc>
        <w:tc>
          <w:tcPr>
            <w:tcW w:type="dxa" w:w="2160"/>
          </w:tcPr>
          <w:p>
            <w:r>
              <w:t>&lt;LIDER&gt; (coordonare) + echipele L1/L2/L3 ale furnizorilor</w:t>
            </w:r>
          </w:p>
        </w:tc>
      </w:tr>
      <w:tr>
        <w:tc>
          <w:tcPr>
            <w:tcW w:type="dxa" w:w="2160"/>
          </w:tcPr>
          <w:p>
            <w:r>
              <w:t>E. Integrare ulterioară sisteme guvernamentale</w:t>
            </w:r>
          </w:p>
        </w:tc>
        <w:tc>
          <w:tcPr>
            <w:tcW w:type="dxa" w:w="2160"/>
          </w:tcPr>
          <w:p>
            <w:r>
              <w:t>Integrarea efectivă cu PNI, PJN, PCUe/PDURo, eIDAS extins și alte sisteme guvernamentale care nu erau finalizate la momentul implementării — conform cap. 3.4.2.14 CdS, fără cost suplimentar</w:t>
            </w:r>
          </w:p>
        </w:tc>
        <w:tc>
          <w:tcPr>
            <w:tcW w:type="dxa" w:w="2160"/>
          </w:tcPr>
          <w:p>
            <w:r>
              <w:t>3 ani de la PIP</w:t>
            </w:r>
          </w:p>
        </w:tc>
        <w:tc>
          <w:tcPr>
            <w:tcW w:type="dxa" w:w="2160"/>
          </w:tcPr>
          <w:p>
            <w:r>
              <w:t>&lt;LIDER&gt; + &lt;FURNIZOR ESB&gt;</w:t>
            </w:r>
          </w:p>
        </w:tc>
      </w:tr>
    </w:tbl>
    <w:p>
      <w:pPr>
        <w:spacing w:before="360" w:after="120"/>
      </w:pPr>
      <w:r>
        <w:rPr>
          <w:b/>
          <w:sz w:val="28"/>
        </w:rPr>
        <w:t>7.2 Activitățile asigurate în perioada de garanție (cf. cap. 3.4.9 CdS)</w:t>
      </w:r>
    </w:p>
    <w:p>
      <w:r>
        <w:t>În conformitate cu cele 14 cerințe explicite ale cap. 3.4.9 al Caietului de Sarcini, consorțiul asigură următoarele tipuri de activități pe parcursul perioadei de garanție: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Activitate (citată din CdS)</w:t>
            </w:r>
          </w:p>
        </w:tc>
        <w:tc>
          <w:tcPr>
            <w:tcW w:type="dxa" w:w="2880"/>
          </w:tcPr>
          <w:p>
            <w:r/>
            <w:r>
              <w:rPr>
                <w:b/>
              </w:rPr>
              <w:t>Modul concret de asigurare</w:t>
            </w:r>
          </w:p>
        </w:tc>
      </w:tr>
      <w:tr>
        <w:tc>
          <w:tcPr>
            <w:tcW w:type="dxa" w:w="2880"/>
          </w:tcPr>
          <w:p>
            <w:r>
              <w:t>1</w:t>
            </w:r>
          </w:p>
        </w:tc>
        <w:tc>
          <w:tcPr>
            <w:tcW w:type="dxa" w:w="2880"/>
          </w:tcPr>
          <w:p>
            <w:r>
              <w:t>Rezolvarea bug-urilor care nu au fost identificate în timpul implementării și care apar după punerea în producție</w:t>
            </w:r>
          </w:p>
        </w:tc>
        <w:tc>
          <w:tcPr>
            <w:tcW w:type="dxa" w:w="2880"/>
          </w:tcPr>
          <w:p>
            <w:r>
              <w:t>Pipeline dedicat de bug-fixing — categorie cod ER (Error); SLA conform secțiunii 7.4 (răspuns 30 min pentru S1, max 5 zile lucrătoare pentru S4); fix-urile sunt livrate în release-uri lunare + hotfix-uri urgente</w:t>
            </w:r>
          </w:p>
        </w:tc>
      </w:tr>
      <w:tr>
        <w:tc>
          <w:tcPr>
            <w:tcW w:type="dxa" w:w="2880"/>
          </w:tcPr>
          <w:p>
            <w:r>
              <w:t>2</w:t>
            </w:r>
          </w:p>
        </w:tc>
        <w:tc>
          <w:tcPr>
            <w:tcW w:type="dxa" w:w="2880"/>
          </w:tcPr>
          <w:p>
            <w:r>
              <w:t>Întreținerea și buna funcționare a sistemului furnizat în parametrii agreați (funcțional, performanță, disponibilitate, integritate date)</w:t>
            </w:r>
          </w:p>
        </w:tc>
        <w:tc>
          <w:tcPr>
            <w:tcW w:type="dxa" w:w="2880"/>
          </w:tcPr>
          <w:p>
            <w:r>
              <w:t>Monitoring 24×7 cu Prometheus + Grafana + AlertManager + Splunk SIEM; KPIs urmărite: uptime ≥99.5%, latency p95 &lt; 2s, integritate referențială BD, alerte automate la deviere</w:t>
            </w:r>
          </w:p>
        </w:tc>
      </w:tr>
      <w:tr>
        <w:tc>
          <w:tcPr>
            <w:tcW w:type="dxa" w:w="2880"/>
          </w:tcPr>
          <w:p>
            <w:r>
              <w:t>3</w:t>
            </w:r>
          </w:p>
        </w:tc>
        <w:tc>
          <w:tcPr>
            <w:tcW w:type="dxa" w:w="2880"/>
          </w:tcPr>
          <w:p>
            <w:r>
              <w:t>Instalarea de noi versiuni ale aplicațiilor în urma efectuării corecțiilor</w:t>
            </w:r>
          </w:p>
        </w:tc>
        <w:tc>
          <w:tcPr>
            <w:tcW w:type="dxa" w:w="2880"/>
          </w:tcPr>
          <w:p>
            <w:r>
              <w:t>Procedură formală deployment: dev → test → staging → producție, cu validare ANSVSA la fiecare etapă; release notes detaliate, fereastră de mentenanță agreată cu ANSVSA</w:t>
            </w:r>
          </w:p>
        </w:tc>
      </w:tr>
      <w:tr>
        <w:tc>
          <w:tcPr>
            <w:tcW w:type="dxa" w:w="2880"/>
          </w:tcPr>
          <w:p>
            <w:r>
              <w:t>4</w:t>
            </w:r>
          </w:p>
        </w:tc>
        <w:tc>
          <w:tcPr>
            <w:tcW w:type="dxa" w:w="2880"/>
          </w:tcPr>
          <w:p>
            <w:r>
              <w:t>Instalarea de noi versiuni oferite de producător ale produselor COTS, în condițiile în care arhitectura sistemului și constrângerile o permit</w:t>
            </w:r>
          </w:p>
        </w:tc>
        <w:tc>
          <w:tcPr>
            <w:tcW w:type="dxa" w:w="2880"/>
          </w:tcPr>
          <w:p>
            <w:r>
              <w:t>Monitorizare proactivă a release-urilor de la Microsoft (SQL Server, Office, Windows), Oracle (ESB), Red Hat (Keycloak, RHEL), Fortinet etc.; recomandare actualizare către ANSVSA cu analiza de impact și risc</w:t>
            </w:r>
          </w:p>
        </w:tc>
      </w:tr>
      <w:tr>
        <w:tc>
          <w:tcPr>
            <w:tcW w:type="dxa" w:w="2880"/>
          </w:tcPr>
          <w:p>
            <w:r>
              <w:t>5</w:t>
            </w:r>
          </w:p>
        </w:tc>
        <w:tc>
          <w:tcPr>
            <w:tcW w:type="dxa" w:w="2880"/>
          </w:tcPr>
          <w:p>
            <w:r>
              <w:t>Actualizarea manualelor de utilizare și a altor documente în urma efectuării corecțiilor</w:t>
            </w:r>
          </w:p>
        </w:tc>
        <w:tc>
          <w:tcPr>
            <w:tcW w:type="dxa" w:w="2880"/>
          </w:tcPr>
          <w:p>
            <w:r>
              <w:t>Documentation-as-Code în Confluence; orice modificare funcțională declanșează update al manualului utilizator + manualului administrator + matricei de trasabilitate; livrare versionate (cu nr. versiune și data)</w:t>
            </w:r>
          </w:p>
        </w:tc>
      </w:tr>
      <w:tr>
        <w:tc>
          <w:tcPr>
            <w:tcW w:type="dxa" w:w="2880"/>
          </w:tcPr>
          <w:p>
            <w:r>
              <w:t>6</w:t>
            </w:r>
          </w:p>
        </w:tc>
        <w:tc>
          <w:tcPr>
            <w:tcW w:type="dxa" w:w="2880"/>
          </w:tcPr>
          <w:p>
            <w:r>
              <w:t>Reparații / înlocuiri ale componentelor defecte la locația de instalare a beneficiarului</w:t>
            </w:r>
          </w:p>
        </w:tc>
        <w:tc>
          <w:tcPr>
            <w:tcW w:type="dxa" w:w="2880"/>
          </w:tcPr>
          <w:p>
            <w:r>
              <w:t>Intervenție on-site Next Business Day (NBD) pentru HW critic (NGFW centru, SIEM, switch agregare); stoc spare-parts strategic menținut de &lt;LIDER&gt; (min. 5% NGFW locații, 1 NGFW centru rezervă); RMA management gestionat integral</w:t>
            </w:r>
          </w:p>
        </w:tc>
      </w:tr>
      <w:tr>
        <w:tc>
          <w:tcPr>
            <w:tcW w:type="dxa" w:w="2880"/>
          </w:tcPr>
          <w:p>
            <w:r>
              <w:t>7</w:t>
            </w:r>
          </w:p>
        </w:tc>
        <w:tc>
          <w:tcPr>
            <w:tcW w:type="dxa" w:w="2880"/>
          </w:tcPr>
          <w:p>
            <w:r>
              <w:t>Consiliere și suport telefonic 8 ore pe zi, de luni până vineri, în cadrul programului normal de lucru al beneficiarului, prin serviciul Help-desk atât pentru produsele hardware cât și software</w:t>
            </w:r>
          </w:p>
        </w:tc>
        <w:tc>
          <w:tcPr>
            <w:tcW w:type="dxa" w:w="2880"/>
          </w:tcPr>
          <w:p>
            <w:r>
              <w:t>Helpdesk telefonic dedicat: număr unic 8h/zi L-V (08:00-17:00 ora României) — conform cerinței minime CdS; suplimentar pentru incidente S1 critice &lt;LIDER&gt; oferă canal de urgență 24×7 ca avantaj over-delivery</w:t>
            </w:r>
          </w:p>
        </w:tc>
      </w:tr>
      <w:tr>
        <w:tc>
          <w:tcPr>
            <w:tcW w:type="dxa" w:w="2880"/>
          </w:tcPr>
          <w:p>
            <w:r>
              <w:t>8</w:t>
            </w:r>
          </w:p>
        </w:tc>
        <w:tc>
          <w:tcPr>
            <w:tcW w:type="dxa" w:w="2880"/>
          </w:tcPr>
          <w:p>
            <w:r>
              <w:t>Toate incidentele vor fi gestionate prin intermediul unei aplicații software de gestionare a tichetelor</w:t>
            </w:r>
          </w:p>
        </w:tc>
        <w:tc>
          <w:tcPr>
            <w:tcW w:type="dxa" w:w="2880"/>
          </w:tcPr>
          <w:p>
            <w:r>
              <w:t>Aplicație Jira Service Management dedicată proiectului SIDISVA, cu interfață web + mobilă + API; integrare cu Slack/Teams ANSVSA pentru notificări; raportare automată; vizibilitate cross-furnizor</w:t>
            </w:r>
          </w:p>
        </w:tc>
      </w:tr>
      <w:tr>
        <w:tc>
          <w:tcPr>
            <w:tcW w:type="dxa" w:w="2880"/>
          </w:tcPr>
          <w:p>
            <w:r>
              <w:t>9</w:t>
            </w:r>
          </w:p>
        </w:tc>
        <w:tc>
          <w:tcPr>
            <w:tcW w:type="dxa" w:w="2880"/>
          </w:tcPr>
          <w:p>
            <w:r>
              <w:t>Remediere software de la distanță cu acordul beneficiarului</w:t>
            </w:r>
          </w:p>
        </w:tc>
        <w:tc>
          <w:tcPr>
            <w:tcW w:type="dxa" w:w="2880"/>
          </w:tcPr>
          <w:p>
            <w:r>
              <w:t>Conectivitate securizată prin VPN dedicat &lt;LIDER&gt;-ANSVSA; sesiuni de mentenanță remote loggate complet în SIEM; aprobare scrisă (email/Jira) pre-intervenție pentru fiecare conexiune; logging acțiuni administrator</w:t>
            </w:r>
          </w:p>
        </w:tc>
      </w:tr>
      <w:tr>
        <w:tc>
          <w:tcPr>
            <w:tcW w:type="dxa" w:w="2880"/>
          </w:tcPr>
          <w:p>
            <w:r>
              <w:t>10</w:t>
            </w:r>
          </w:p>
        </w:tc>
        <w:tc>
          <w:tcPr>
            <w:tcW w:type="dxa" w:w="2880"/>
          </w:tcPr>
          <w:p>
            <w:r>
              <w:t>Actualizări software la locația de instalare a beneficiarului sau de la distanță</w:t>
            </w:r>
          </w:p>
        </w:tc>
        <w:tc>
          <w:tcPr>
            <w:tcW w:type="dxa" w:w="2880"/>
          </w:tcPr>
          <w:p>
            <w:r>
              <w:t>Procedura standard de update permite ambele moduri; preferință pentru remote (eficient, fără deplasări); on-site doar pentru update-uri majore HW sau cerere expresă ANSVSA</w:t>
            </w:r>
          </w:p>
        </w:tc>
      </w:tr>
      <w:tr>
        <w:tc>
          <w:tcPr>
            <w:tcW w:type="dxa" w:w="2880"/>
          </w:tcPr>
          <w:p>
            <w:r>
              <w:t>11</w:t>
            </w:r>
          </w:p>
        </w:tc>
        <w:tc>
          <w:tcPr>
            <w:tcW w:type="dxa" w:w="2880"/>
          </w:tcPr>
          <w:p>
            <w:r>
              <w:t>Reconfigurări hardware și software la nivelul inițial solicitat în cazul în care erorile apărute nu sunt datorate beneficiarului</w:t>
            </w:r>
          </w:p>
        </w:tc>
        <w:tc>
          <w:tcPr>
            <w:tcW w:type="dxa" w:w="2880"/>
          </w:tcPr>
          <w:p>
            <w:r>
              <w:t>Configurațiile inițiale aprobate (baseline) sunt arhivate în Confluence + repository Git; restaurare automată sau manuală în max 4 ore pentru S1 (cf. SLA); fără cost suplimentar dacă nu există culpă ANSVSA</w:t>
            </w:r>
          </w:p>
        </w:tc>
      </w:tr>
      <w:tr>
        <w:tc>
          <w:tcPr>
            <w:tcW w:type="dxa" w:w="2880"/>
          </w:tcPr>
          <w:p>
            <w:r>
              <w:t>12</w:t>
            </w:r>
          </w:p>
        </w:tc>
        <w:tc>
          <w:tcPr>
            <w:tcW w:type="dxa" w:w="2880"/>
          </w:tcPr>
          <w:p>
            <w:r>
              <w:t>Consiliere și suport tehnic pentru posibilități de extindere a soluției existente</w:t>
            </w:r>
          </w:p>
        </w:tc>
        <w:tc>
          <w:tcPr>
            <w:tcW w:type="dxa" w:w="2880"/>
          </w:tcPr>
          <w:p>
            <w:r>
              <w:t>Sesiuni trimestriale de consultanță arhitecturală cu ANSVSA (analist sistem + arhitect &lt;LIDER&gt;); prezentare opțiuni de extindere, evaluare impact, estimare efort; documentate în Roadmap evolutiv vizibil ANSVSA</w:t>
            </w:r>
          </w:p>
        </w:tc>
      </w:tr>
      <w:tr>
        <w:tc>
          <w:tcPr>
            <w:tcW w:type="dxa" w:w="2880"/>
          </w:tcPr>
          <w:p>
            <w:r>
              <w:t>13</w:t>
            </w:r>
          </w:p>
        </w:tc>
        <w:tc>
          <w:tcPr>
            <w:tcW w:type="dxa" w:w="2880"/>
          </w:tcPr>
          <w:p>
            <w:r>
              <w:t>Managementul vulnerabilității, precum și teste de penetrare anuale</w:t>
            </w:r>
          </w:p>
        </w:tc>
        <w:tc>
          <w:tcPr>
            <w:tcW w:type="dxa" w:w="2880"/>
          </w:tcPr>
          <w:p>
            <w:r>
              <w:t>Vulnerability scanning continuu (Tenable Nessus / Qualys VMDR); pen-test extern anual de către auditor independent certificat ANSCC; remediere CVE high/critical în 30 zile, medium în 90 zile, low în 180 zile; rapoarte trimestriale ANSVSA</w:t>
            </w:r>
          </w:p>
        </w:tc>
      </w:tr>
    </w:tbl>
    <w:p>
      <w:pPr>
        <w:spacing w:before="360" w:after="120"/>
      </w:pPr>
      <w:r>
        <w:rPr>
          <w:b/>
          <w:sz w:val="28"/>
        </w:rPr>
        <w:t>7.3 Procedura de suport tehnic</w:t>
      </w:r>
    </w:p>
    <w:p>
      <w:r>
        <w:t>Procedura de suport tehnic &lt;LIDER&gt; definește etapele standardizate prin care orice solicitare a ANSVSA — fie cerere de funcționalitate nouă (cod F), fie raportare de eroare (cod ER) — este preluată, procesată și soluționată în limitele SLA garantate.</w:t>
      </w:r>
    </w:p>
    <w:p>
      <w:pPr>
        <w:spacing w:before="240" w:after="80"/>
      </w:pPr>
      <w:r>
        <w:rPr>
          <w:b/>
          <w:sz w:val="24"/>
        </w:rPr>
        <w:t>7.3.1 Etapele procesării unui tichet</w:t>
      </w:r>
    </w:p>
    <w:p>
      <w:pPr>
        <w:ind w:left="360"/>
      </w:pPr>
      <w:r>
        <w:t>• Pasul 1 — Solicitare ANSVSA: tichetul poate fi deschis prin orice dintre canalele agreate: (a) portal Jira Service Management, (b) număr telefonic helpdesk dedicat în programul L-V 08:00-17:00, (c) număr de urgență 24×7 pentru incidente S1, (d) adresă email dedicată proiectului.</w:t>
      </w:r>
    </w:p>
    <w:p>
      <w:pPr>
        <w:ind w:left="360"/>
      </w:pPr>
      <w:r>
        <w:t>• Pasul 2 — Categorizare și prioritizare: consultantul L1 al &lt;LIDER&gt; încadrează tichetul în categoria corectă (cerere funcționalitate nouă cod F / eroare existent cod ER), atribuie nivelul de severitate S1-S4 conform criteriilor din secțiunea 7.4 și alocă resursele necesare.</w:t>
      </w:r>
    </w:p>
    <w:p>
      <w:pPr>
        <w:ind w:left="360"/>
      </w:pPr>
      <w:r>
        <w:t>• Pasul 3 — Investigare și diagnosticare: analiza log-urilor (Splunk SIEM), reproducerea problemei în mediul de staging, identificarea cauzei rădăcină (Root Cause Analysis — RCA); documentarea ipotezelor în Jira.</w:t>
      </w:r>
    </w:p>
    <w:p>
      <w:pPr>
        <w:ind w:left="360"/>
      </w:pPr>
      <w:r>
        <w:t>• Pasul 4 — Soluționare: implementarea soluției / aplicarea fix-ului / executarea modificării de configurare; testare unit + integration; code review obligatoriu minim 2 reviewers pentru modificările de cod sursă.</w:t>
      </w:r>
    </w:p>
    <w:p>
      <w:pPr>
        <w:ind w:left="360"/>
      </w:pPr>
      <w:r>
        <w:t>• Pasul 5 — Validare ANSVSA: testare în staging conform unui scenariu de testare agreat; semnătura electronică a responsabilului ANSVSA pe scenariul executat cu succes; deploy în producție cu confirmare post-deploy.</w:t>
      </w:r>
    </w:p>
    <w:p>
      <w:pPr>
        <w:ind w:left="360"/>
      </w:pPr>
      <w:r>
        <w:t>• Pasul 6 — Documentare în baza de cunoștințe: adăugare entry în Knowledge Base Confluence pentru reutilizare ulterioară; actualizare manuale dacă este cazul; raport săptămânal trimis ANSVSA.</w:t>
      </w:r>
    </w:p>
    <w:p>
      <w:pPr>
        <w:spacing w:before="240" w:after="80"/>
      </w:pPr>
      <w:r>
        <w:rPr>
          <w:b/>
          <w:sz w:val="24"/>
        </w:rPr>
        <w:t>7.3.2 Canale de suport disponibile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Canal</w:t>
            </w:r>
          </w:p>
        </w:tc>
        <w:tc>
          <w:tcPr>
            <w:tcW w:type="dxa" w:w="2880"/>
          </w:tcPr>
          <w:p>
            <w:r/>
            <w:r>
              <w:rPr>
                <w:b/>
              </w:rPr>
              <w:t>Disponibilitate</w:t>
            </w:r>
          </w:p>
        </w:tc>
        <w:tc>
          <w:tcPr>
            <w:tcW w:type="dxa" w:w="2880"/>
          </w:tcPr>
          <w:p>
            <w:r/>
            <w:r>
              <w:rPr>
                <w:b/>
              </w:rPr>
              <w:t>Recomandat pentru</w:t>
            </w:r>
          </w:p>
        </w:tc>
      </w:tr>
      <w:tr>
        <w:tc>
          <w:tcPr>
            <w:tcW w:type="dxa" w:w="2880"/>
          </w:tcPr>
          <w:p>
            <w:r>
              <w:t>Portal Jira Service Management (web + mobil)</w:t>
            </w:r>
          </w:p>
        </w:tc>
        <w:tc>
          <w:tcPr>
            <w:tcW w:type="dxa" w:w="2880"/>
          </w:tcPr>
          <w:p>
            <w:r>
              <w:t>24×7</w:t>
            </w:r>
          </w:p>
        </w:tc>
        <w:tc>
          <w:tcPr>
            <w:tcW w:type="dxa" w:w="2880"/>
          </w:tcPr>
          <w:p>
            <w:r>
              <w:t>Toate tipurile de tichete; tracking + istoric complet</w:t>
            </w:r>
          </w:p>
        </w:tc>
      </w:tr>
      <w:tr>
        <w:tc>
          <w:tcPr>
            <w:tcW w:type="dxa" w:w="2880"/>
          </w:tcPr>
          <w:p>
            <w:r>
              <w:t>Helpdesk telefonic (număr dedicat)</w:t>
            </w:r>
          </w:p>
        </w:tc>
        <w:tc>
          <w:tcPr>
            <w:tcW w:type="dxa" w:w="2880"/>
          </w:tcPr>
          <w:p>
            <w:r>
              <w:t>L-V 08:00-17:00 (cf. CdS 3.4.9)</w:t>
            </w:r>
          </w:p>
        </w:tc>
        <w:tc>
          <w:tcPr>
            <w:tcW w:type="dxa" w:w="2880"/>
          </w:tcPr>
          <w:p>
            <w:r>
              <w:t>Urgențe, clarificări rapide, escaladări</w:t>
            </w:r>
          </w:p>
        </w:tc>
      </w:tr>
      <w:tr>
        <w:tc>
          <w:tcPr>
            <w:tcW w:type="dxa" w:w="2880"/>
          </w:tcPr>
          <w:p>
            <w:r>
              <w:t>Linie de urgență 24×7</w:t>
            </w:r>
          </w:p>
        </w:tc>
        <w:tc>
          <w:tcPr>
            <w:tcW w:type="dxa" w:w="2880"/>
          </w:tcPr>
          <w:p>
            <w:r>
              <w:t>24×7 inclusiv weekend și sărbători</w:t>
            </w:r>
          </w:p>
        </w:tc>
        <w:tc>
          <w:tcPr>
            <w:tcW w:type="dxa" w:w="2880"/>
          </w:tcPr>
          <w:p>
            <w:r>
              <w:t>EXCLUSIV pentru incidente S1 critice (sistem indisponibil)</w:t>
            </w:r>
          </w:p>
        </w:tc>
      </w:tr>
      <w:tr>
        <w:tc>
          <w:tcPr>
            <w:tcW w:type="dxa" w:w="2880"/>
          </w:tcPr>
          <w:p>
            <w:r>
              <w:t>Email dedicat proiectului</w:t>
            </w:r>
          </w:p>
        </w:tc>
        <w:tc>
          <w:tcPr>
            <w:tcW w:type="dxa" w:w="2880"/>
          </w:tcPr>
          <w:p>
            <w:r>
              <w:t>Răspuns max 1h L-V, 4h în afara programului</w:t>
            </w:r>
          </w:p>
        </w:tc>
        <w:tc>
          <w:tcPr>
            <w:tcW w:type="dxa" w:w="2880"/>
          </w:tcPr>
          <w:p>
            <w:r>
              <w:t>Tichete non-urgente, atașamente, documentație</w:t>
            </w:r>
          </w:p>
        </w:tc>
      </w:tr>
      <w:tr>
        <w:tc>
          <w:tcPr>
            <w:tcW w:type="dxa" w:w="2880"/>
          </w:tcPr>
          <w:p>
            <w:r>
              <w:t>Microsoft Teams / Slack ANSVSA</w:t>
            </w:r>
          </w:p>
        </w:tc>
        <w:tc>
          <w:tcPr>
            <w:tcW w:type="dxa" w:w="2880"/>
          </w:tcPr>
          <w:p>
            <w:r>
              <w:t>L-V 08:00-17:00</w:t>
            </w:r>
          </w:p>
        </w:tc>
        <w:tc>
          <w:tcPr>
            <w:tcW w:type="dxa" w:w="2880"/>
          </w:tcPr>
          <w:p>
            <w:r>
              <w:t>Comunicare informală, întrebări rapide, sincronizare zilnică</w:t>
            </w:r>
          </w:p>
        </w:tc>
      </w:tr>
    </w:tbl>
    <w:p>
      <w:pPr>
        <w:spacing w:before="360" w:after="120"/>
      </w:pPr>
      <w:r>
        <w:rPr>
          <w:b/>
          <w:sz w:val="28"/>
        </w:rPr>
        <w:t>7.4 SLA — Service Level Agreement și niveluri de severitate</w:t>
      </w:r>
    </w:p>
    <w:p>
      <w:r>
        <w:t>Pentru clasificarea consecventă a incidentelor și aplicarea SLA-urilor corespunzătoare, consorțiul &lt;LIDER&gt; definește 4 niveluri de severitate, cu timpii de răspuns și de remediere garantați prezentați în tabelul de mai jos. Acești parametri sunt obligatorii pentru consorțiu și asumați contractual.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Severitate</w:t>
            </w:r>
          </w:p>
        </w:tc>
        <w:tc>
          <w:tcPr>
            <w:tcW w:type="dxa" w:w="1728"/>
          </w:tcPr>
          <w:p>
            <w:r/>
            <w:r>
              <w:rPr>
                <w:b/>
              </w:rPr>
              <w:t>Descriere</w:t>
            </w:r>
          </w:p>
        </w:tc>
        <w:tc>
          <w:tcPr>
            <w:tcW w:type="dxa" w:w="1728"/>
          </w:tcPr>
          <w:p>
            <w:r/>
            <w:r>
              <w:rPr>
                <w:b/>
              </w:rPr>
              <w:t>Timp răspuns</w:t>
            </w:r>
          </w:p>
        </w:tc>
        <w:tc>
          <w:tcPr>
            <w:tcW w:type="dxa" w:w="1728"/>
          </w:tcPr>
          <w:p>
            <w:r/>
            <w:r>
              <w:rPr>
                <w:b/>
              </w:rPr>
              <w:t>Timp remediere</w:t>
            </w:r>
          </w:p>
        </w:tc>
        <w:tc>
          <w:tcPr>
            <w:tcW w:type="dxa" w:w="1728"/>
          </w:tcPr>
          <w:p>
            <w:r/>
            <w:r>
              <w:rPr>
                <w:b/>
              </w:rPr>
              <w:t>Disponibilitate</w:t>
            </w:r>
          </w:p>
        </w:tc>
      </w:tr>
      <w:tr>
        <w:tc>
          <w:tcPr>
            <w:tcW w:type="dxa" w:w="1728"/>
          </w:tcPr>
          <w:p>
            <w:r>
              <w:t>S1 — Critică</w:t>
            </w:r>
          </w:p>
        </w:tc>
        <w:tc>
          <w:tcPr>
            <w:tcW w:type="dxa" w:w="1728"/>
          </w:tcPr>
          <w:p>
            <w:r>
              <w:t>Sistemul este indisponibil sau o funcție majoră este blocată, afectând ≥30% utilizatori; nu există workaround; impact major asupra serviciilor publice ANSVSA</w:t>
            </w:r>
          </w:p>
        </w:tc>
        <w:tc>
          <w:tcPr>
            <w:tcW w:type="dxa" w:w="1728"/>
          </w:tcPr>
          <w:p>
            <w:r>
              <w:t>≤30 minute</w:t>
            </w:r>
          </w:p>
        </w:tc>
        <w:tc>
          <w:tcPr>
            <w:tcW w:type="dxa" w:w="1728"/>
          </w:tcPr>
          <w:p>
            <w:r>
              <w:t>≤4 ore (workaround) / ≤24 ore (fix permanent)</w:t>
            </w:r>
          </w:p>
        </w:tc>
        <w:tc>
          <w:tcPr>
            <w:tcW w:type="dxa" w:w="1728"/>
          </w:tcPr>
          <w:p>
            <w:r>
              <w:t>24×7 inclusiv weekend (over-delivery peste cerința CdS minim)</w:t>
            </w:r>
          </w:p>
        </w:tc>
      </w:tr>
      <w:tr>
        <w:tc>
          <w:tcPr>
            <w:tcW w:type="dxa" w:w="1728"/>
          </w:tcPr>
          <w:p>
            <w:r>
              <w:t>S2 — Majoră</w:t>
            </w:r>
          </w:p>
        </w:tc>
        <w:tc>
          <w:tcPr>
            <w:tcW w:type="dxa" w:w="1728"/>
          </w:tcPr>
          <w:p>
            <w:r>
              <w:t>O funcție importantă este afectată dar există workaround temporar; impact moderat</w:t>
            </w:r>
          </w:p>
        </w:tc>
        <w:tc>
          <w:tcPr>
            <w:tcW w:type="dxa" w:w="1728"/>
          </w:tcPr>
          <w:p>
            <w:r>
              <w:t>≤2 ore (ore lucrătoare)</w:t>
            </w:r>
          </w:p>
        </w:tc>
        <w:tc>
          <w:tcPr>
            <w:tcW w:type="dxa" w:w="1728"/>
          </w:tcPr>
          <w:p>
            <w:r>
              <w:t>≤24 ore lucrătoare</w:t>
            </w:r>
          </w:p>
        </w:tc>
        <w:tc>
          <w:tcPr>
            <w:tcW w:type="dxa" w:w="1728"/>
          </w:tcPr>
          <w:p>
            <w:r>
              <w:t>L-V 08:00-17:00</w:t>
            </w:r>
          </w:p>
        </w:tc>
      </w:tr>
      <w:tr>
        <w:tc>
          <w:tcPr>
            <w:tcW w:type="dxa" w:w="1728"/>
          </w:tcPr>
          <w:p>
            <w:r>
              <w:t>S3 — Medie</w:t>
            </w:r>
          </w:p>
        </w:tc>
        <w:tc>
          <w:tcPr>
            <w:tcW w:type="dxa" w:w="1728"/>
          </w:tcPr>
          <w:p>
            <w:r>
              <w:t>O funcție secundară este afectată; impact limitat la o categorie restrânsă de utilizatori</w:t>
            </w:r>
          </w:p>
        </w:tc>
        <w:tc>
          <w:tcPr>
            <w:tcW w:type="dxa" w:w="1728"/>
          </w:tcPr>
          <w:p>
            <w:r>
              <w:t>≤4 ore lucrătoare</w:t>
            </w:r>
          </w:p>
        </w:tc>
        <w:tc>
          <w:tcPr>
            <w:tcW w:type="dxa" w:w="1728"/>
          </w:tcPr>
          <w:p>
            <w:r>
              <w:t>≤5 zile lucrătoare</w:t>
            </w:r>
          </w:p>
        </w:tc>
        <w:tc>
          <w:tcPr>
            <w:tcW w:type="dxa" w:w="1728"/>
          </w:tcPr>
          <w:p>
            <w:r>
              <w:t>L-V 08:00-17:00</w:t>
            </w:r>
          </w:p>
        </w:tc>
      </w:tr>
      <w:tr>
        <w:tc>
          <w:tcPr>
            <w:tcW w:type="dxa" w:w="1728"/>
          </w:tcPr>
          <w:p>
            <w:r>
              <w:t>S4 — Minoră / Cosmetică</w:t>
            </w:r>
          </w:p>
        </w:tc>
        <w:tc>
          <w:tcPr>
            <w:tcW w:type="dxa" w:w="1728"/>
          </w:tcPr>
          <w:p>
            <w:r>
              <w:t>Defect fără impact funcțional (interfață, formatare, mesaj de eroare neprietenos)</w:t>
            </w:r>
          </w:p>
        </w:tc>
        <w:tc>
          <w:tcPr>
            <w:tcW w:type="dxa" w:w="1728"/>
          </w:tcPr>
          <w:p>
            <w:r>
              <w:t>≤1 zi lucrătoare</w:t>
            </w:r>
          </w:p>
        </w:tc>
        <w:tc>
          <w:tcPr>
            <w:tcW w:type="dxa" w:w="1728"/>
          </w:tcPr>
          <w:p>
            <w:r>
              <w:t>≤10 zile lucrătoare (livrat în următorul release)</w:t>
            </w:r>
          </w:p>
        </w:tc>
        <w:tc>
          <w:tcPr>
            <w:tcW w:type="dxa" w:w="1728"/>
          </w:tcPr>
          <w:p>
            <w:r>
              <w:t>L-V 08:00-17:00</w:t>
            </w:r>
          </w:p>
        </w:tc>
      </w:tr>
    </w:tbl>
    <w:p>
      <w:r>
        <w:t>Reguli suplimentare privind SLA-ul:</w:t>
      </w:r>
    </w:p>
    <w:p>
      <w:pPr>
        <w:ind w:left="360"/>
      </w:pPr>
      <w:r>
        <w:t>• Pentru incidente S1 critice, &lt;LIDER&gt; mobilizează echipa de intervenție 24×7 inclusiv weekend și sărbători legale — o îmbunătățire semnificativă peste cerința minimă CdS (care prevede helpdesk 8h/zi L-V).</w:t>
      </w:r>
    </w:p>
    <w:p>
      <w:pPr>
        <w:ind w:left="360"/>
      </w:pPr>
      <w:r>
        <w:t>• Reclasificarea unui incident la o severitate diferită este posibilă în urma investigării inițiale; reclasificarea este comunicată ANSVSA în scris în maxim 1 oră de la decizie.</w:t>
      </w:r>
    </w:p>
    <w:p>
      <w:pPr>
        <w:ind w:left="360"/>
      </w:pPr>
      <w:r>
        <w:t>• Timpii de răspuns se măsoară de la momentul înregistrării tichetului în Jira Service Management; timpii de remediere se măsoară de la confirmarea reproducerii problemei.</w:t>
      </w:r>
    </w:p>
    <w:p>
      <w:pPr>
        <w:ind w:left="360"/>
      </w:pPr>
      <w:r>
        <w:t>• Pentru a respecta SLA-ul, dacă remedierea necesită modificări care depășesc scope-ul garanției (ex. cerințe funcționale noi), &lt;LIDER&gt; oferă întâi un workaround pentru S1/S2 în limitele SLA-ului, iar dezvoltarea funcționalității noi se gestionează prin Change Request separat.</w:t>
      </w:r>
    </w:p>
    <w:p>
      <w:pPr>
        <w:ind w:left="360"/>
      </w:pPr>
      <w:r>
        <w:t>• KPI-uri SLA raportate trimestrial către Steering Committee al proiectului: procent incidente rezolvate în SLA, MTTR (Mean Time To Resolution) pe categorii, satisfacția utilizatorilor (NPS din chestionarele post-rezolvare).</w:t>
      </w:r>
    </w:p>
    <w:p>
      <w:pPr>
        <w:spacing w:before="360" w:after="120"/>
      </w:pPr>
      <w:r>
        <w:rPr>
          <w:b/>
          <w:sz w:val="28"/>
        </w:rPr>
        <w:t>7.5 Resurse alocate perioadei de garanție</w:t>
      </w:r>
    </w:p>
    <w:p>
      <w:r>
        <w:t>Pentru asigurarea calității serviciilor de garanție și respectarea SLA-urilor asumate, consorțiul &lt;LIDER&gt; dedică următoarele resurse umane și tehnologice exclusiv proiectului SIDISVA pe întreaga perioadă de 3 ani de garanție:</w:t>
      </w:r>
    </w:p>
    <w:p>
      <w:pPr>
        <w:spacing w:before="240" w:after="80"/>
      </w:pPr>
      <w:r>
        <w:rPr>
          <w:b/>
          <w:sz w:val="24"/>
        </w:rPr>
        <w:t>7.5.1 Resurse umane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Rol</w:t>
            </w:r>
          </w:p>
        </w:tc>
        <w:tc>
          <w:tcPr>
            <w:tcW w:type="dxa" w:w="2880"/>
          </w:tcPr>
          <w:p>
            <w:r/>
            <w:r>
              <w:rPr>
                <w:b/>
              </w:rPr>
              <w:t>Număr persoane</w:t>
            </w:r>
          </w:p>
        </w:tc>
        <w:tc>
          <w:tcPr>
            <w:tcW w:type="dxa" w:w="2880"/>
          </w:tcPr>
          <w:p>
            <w:r/>
            <w:r>
              <w:rPr>
                <w:b/>
              </w:rPr>
              <w:t>Responsabilități principale</w:t>
            </w:r>
          </w:p>
        </w:tc>
      </w:tr>
      <w:tr>
        <w:tc>
          <w:tcPr>
            <w:tcW w:type="dxa" w:w="2880"/>
          </w:tcPr>
          <w:p>
            <w:r>
              <w:t>Coordonator suport tehnic (rol expert non-cheie nr. 16 cf. cap. 8.1 CdS)</w:t>
            </w:r>
          </w:p>
        </w:tc>
        <w:tc>
          <w:tcPr>
            <w:tcW w:type="dxa" w:w="2880"/>
          </w:tcPr>
          <w:p>
            <w:r>
              <w:t>1</w:t>
            </w:r>
          </w:p>
        </w:tc>
        <w:tc>
          <w:tcPr>
            <w:tcW w:type="dxa" w:w="2880"/>
          </w:tcPr>
          <w:p>
            <w:r>
              <w:t>Punct unic de contact (SPOC) cu ANSVSA pe perioada garanției; coordonare echipe L1/L2/L3; raportare KPIs SLA către Steering Committee; gestionare relația contractuală</w:t>
            </w:r>
          </w:p>
        </w:tc>
      </w:tr>
      <w:tr>
        <w:tc>
          <w:tcPr>
            <w:tcW w:type="dxa" w:w="2880"/>
          </w:tcPr>
          <w:p>
            <w:r>
              <w:t>Experți L1 — Helpdesk first line</w:t>
            </w:r>
          </w:p>
        </w:tc>
        <w:tc>
          <w:tcPr>
            <w:tcW w:type="dxa" w:w="2880"/>
          </w:tcPr>
          <w:p>
            <w:r>
              <w:t>3 (acoperire 8h/zi L-V + tură de noapte pentru S1)</w:t>
            </w:r>
          </w:p>
        </w:tc>
        <w:tc>
          <w:tcPr>
            <w:tcW w:type="dxa" w:w="2880"/>
          </w:tcPr>
          <w:p>
            <w:r>
              <w:t>Preluare tichete, categorizare inițială, soluționare cereri simple (resetare parolă, ghidare utilizator), escaladare către L2</w:t>
            </w:r>
          </w:p>
        </w:tc>
      </w:tr>
      <w:tr>
        <w:tc>
          <w:tcPr>
            <w:tcW w:type="dxa" w:w="2880"/>
          </w:tcPr>
          <w:p>
            <w:r>
              <w:t>Experți L2 — Analiză tehnică</w:t>
            </w:r>
          </w:p>
        </w:tc>
        <w:tc>
          <w:tcPr>
            <w:tcW w:type="dxa" w:w="2880"/>
          </w:tcPr>
          <w:p>
            <w:r>
              <w:t>3</w:t>
            </w:r>
          </w:p>
        </w:tc>
        <w:tc>
          <w:tcPr>
            <w:tcW w:type="dxa" w:w="2880"/>
          </w:tcPr>
          <w:p>
            <w:r>
              <w:t>Configurări, investigare incidente complexe, troubleshooting cross-component, escaladare la L3 pentru bug-uri în cod</w:t>
            </w:r>
          </w:p>
        </w:tc>
      </w:tr>
      <w:tr>
        <w:tc>
          <w:tcPr>
            <w:tcW w:type="dxa" w:w="2880"/>
          </w:tcPr>
          <w:p>
            <w:r>
              <w:t>Experți L3 — Dezvoltare + mentenanță</w:t>
            </w:r>
          </w:p>
        </w:tc>
        <w:tc>
          <w:tcPr>
            <w:tcW w:type="dxa" w:w="2880"/>
          </w:tcPr>
          <w:p>
            <w:r>
              <w:t>2 + acces la echipele complete ale furnizorilor</w:t>
            </w:r>
          </w:p>
        </w:tc>
        <w:tc>
          <w:tcPr>
            <w:tcW w:type="dxa" w:w="2880"/>
          </w:tcPr>
          <w:p>
            <w:r>
              <w:t>Bug-fixing în cod sursă (DMS ZIPPER, Enterprise Suite, integrări custom); mentenanță evolutivă minoră; dezvoltare extensii minore</w:t>
            </w:r>
          </w:p>
        </w:tc>
      </w:tr>
      <w:tr>
        <w:tc>
          <w:tcPr>
            <w:tcW w:type="dxa" w:w="2880"/>
          </w:tcPr>
          <w:p>
            <w:r>
              <w:t>Inginer hardware</w:t>
            </w:r>
          </w:p>
        </w:tc>
        <w:tc>
          <w:tcPr>
            <w:tcW w:type="dxa" w:w="2880"/>
          </w:tcPr>
          <w:p>
            <w:r>
              <w:t>1 + parteneri logistici regionali</w:t>
            </w:r>
          </w:p>
        </w:tc>
        <w:tc>
          <w:tcPr>
            <w:tcW w:type="dxa" w:w="2880"/>
          </w:tcPr>
          <w:p>
            <w:r>
              <w:t>Intervenții fizice pe echipamente HW, înlocuire piese defecte, gestionare stoc spare-parts; rețea de 5 parteneri regionali pentru intervenție rapidă</w:t>
            </w:r>
          </w:p>
        </w:tc>
      </w:tr>
      <w:tr>
        <w:tc>
          <w:tcPr>
            <w:tcW w:type="dxa" w:w="2880"/>
          </w:tcPr>
          <w:p>
            <w:r>
              <w:t>Expert securitate (vulnerability management)</w:t>
            </w:r>
          </w:p>
        </w:tc>
        <w:tc>
          <w:tcPr>
            <w:tcW w:type="dxa" w:w="2880"/>
          </w:tcPr>
          <w:p>
            <w:r>
              <w:t>1 (part-time, dedicat 50%)</w:t>
            </w:r>
          </w:p>
        </w:tc>
        <w:tc>
          <w:tcPr>
            <w:tcW w:type="dxa" w:w="2880"/>
          </w:tcPr>
          <w:p>
            <w:r>
              <w:t>Monitorizare vulnerabilități, coordonare pen-test anual, raportare incidente securitate, conformitate NIS2</w:t>
            </w:r>
          </w:p>
        </w:tc>
      </w:tr>
    </w:tbl>
    <w:p>
      <w:pPr>
        <w:spacing w:before="240" w:after="80"/>
      </w:pPr>
      <w:r>
        <w:rPr>
          <w:b/>
          <w:sz w:val="24"/>
        </w:rPr>
        <w:t>7.5.2 Resurse tehnologice</w:t>
      </w:r>
    </w:p>
    <w:p>
      <w:pPr>
        <w:ind w:left="360"/>
      </w:pPr>
      <w:r>
        <w:t>• Sistem ticketing dedicat — Jira Service Management cu instanță separată pentru proiectul SIDISVA, integrată cu Slack/Teams ANSVSA și cu monitoring Splunk.</w:t>
      </w:r>
    </w:p>
    <w:p>
      <w:pPr>
        <w:ind w:left="360"/>
      </w:pPr>
      <w:r>
        <w:t>• Monitoring 24×7 — Prometheus + Grafana + AlertManager pentru metrici tehnice, Splunk Enterprise Security pentru log-uri, dashboards dedicate Steering Committee.</w:t>
      </w:r>
    </w:p>
    <w:p>
      <w:pPr>
        <w:ind w:left="360"/>
      </w:pPr>
      <w:r>
        <w:t>• Knowledge Base — Confluence cu peste 500 articole tehnice (documentație, FAQ, troubleshooting playbooks); accesibil utilizatorilor cheie ANSVSA.</w:t>
      </w:r>
    </w:p>
    <w:p>
      <w:pPr>
        <w:ind w:left="360"/>
      </w:pPr>
      <w:r>
        <w:t>• Stoc spare-parts strategic — pentru echipamente HW critice: minim 5% NGFW locații, 1 NGFW centru rezervă, switch-uri agregare; depozit central &lt;LIDER&gt; + 2 depozite regionale pentru intervenție rapidă în provincie.</w:t>
      </w:r>
    </w:p>
    <w:p>
      <w:pPr>
        <w:ind w:left="360"/>
      </w:pPr>
      <w:r>
        <w:t>• Medii dedicate garanție — păstrarea mediilor Dev/Staging operaționale pe toată perioada garanției pentru investigarea bug-urilor și validarea fix-urilor înainte de aplicare în producție.</w:t>
      </w:r>
    </w:p>
    <w:p>
      <w:pPr>
        <w:ind w:left="360"/>
      </w:pPr>
      <w:r>
        <w:t>• Acces L3 producători — contracte de mentenanță active cu Microsoft, Oracle, Red Hat, Fortinet, Cisco, F5, Splunk, Dell/HP/Lenovo pe întreaga durată de garanție; tichetele L3 sunt deschise direct de echipa &lt;LIDER&gt;.</w:t>
      </w:r>
    </w:p>
    <w:p>
      <w:pPr>
        <w:spacing w:before="360" w:after="120"/>
      </w:pPr>
      <w:r>
        <w:rPr>
          <w:b/>
          <w:sz w:val="28"/>
        </w:rPr>
        <w:t>7.6 Integrarea ulterioară cu sisteme guvernamentale neimplementate</w:t>
      </w:r>
    </w:p>
    <w:p>
      <w:r>
        <w:t>Conform cap. 3.4.2.14 ultim paragraf din Caietul de Sarcini: în cazul în care sistemele guvernamentale cu care SIDISVA trebuie să se integreze nu sunt pregătite pentru integrare până la finalizarea activităților de dezvoltare și integrare din contract, integrarea se realizează inițial cu mock-up-uri, iar dacă în perioada de garanție respectivele sisteme sunt pregătite pentru integrare, prestatorul realizează integrarea reală fără cost suplimentar pentru Autoritatea Contractantă.</w:t>
      </w:r>
    </w:p>
    <w:p>
      <w:r>
        <w:t>Consorțiul &lt;LIDER&gt; își asumă integral această obligație contractuală. Sistemele guvernamentale potențial vizate (în funcție de stadiul lor de implementare la momentul finalizării contractului SIDISVA):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Sistem guvernamental</w:t>
            </w:r>
          </w:p>
        </w:tc>
        <w:tc>
          <w:tcPr>
            <w:tcW w:type="dxa" w:w="2880"/>
          </w:tcPr>
          <w:p>
            <w:r/>
            <w:r>
              <w:rPr>
                <w:b/>
              </w:rPr>
              <w:t>Cap. CdS</w:t>
            </w:r>
          </w:p>
        </w:tc>
        <w:tc>
          <w:tcPr>
            <w:tcW w:type="dxa" w:w="2880"/>
          </w:tcPr>
          <w:p>
            <w:r/>
            <w:r>
              <w:rPr>
                <w:b/>
              </w:rPr>
              <w:t>Status estimat la momentul implementării</w:t>
            </w:r>
          </w:p>
        </w:tc>
      </w:tr>
      <w:tr>
        <w:tc>
          <w:tcPr>
            <w:tcW w:type="dxa" w:w="2880"/>
          </w:tcPr>
          <w:p>
            <w:r>
              <w:t>PNI — Platforma Națională de Interoperabilitate</w:t>
            </w:r>
          </w:p>
        </w:tc>
        <w:tc>
          <w:tcPr>
            <w:tcW w:type="dxa" w:w="2880"/>
          </w:tcPr>
          <w:p>
            <w:r>
              <w:t>3.4.2.14</w:t>
            </w:r>
          </w:p>
        </w:tc>
        <w:tc>
          <w:tcPr>
            <w:tcW w:type="dxa" w:w="2880"/>
          </w:tcPr>
          <w:p>
            <w:r>
              <w:t>În curs de implementare la nivel guvernamental</w:t>
            </w:r>
          </w:p>
        </w:tc>
      </w:tr>
      <w:tr>
        <w:tc>
          <w:tcPr>
            <w:tcW w:type="dxa" w:w="2880"/>
          </w:tcPr>
          <w:p>
            <w:r>
              <w:t>PJN — Platforma de Jurnalizare și Notificare</w:t>
            </w:r>
          </w:p>
        </w:tc>
        <w:tc>
          <w:tcPr>
            <w:tcW w:type="dxa" w:w="2880"/>
          </w:tcPr>
          <w:p>
            <w:r>
              <w:t>3.4.2.14</w:t>
            </w:r>
          </w:p>
        </w:tc>
        <w:tc>
          <w:tcPr>
            <w:tcW w:type="dxa" w:w="2880"/>
          </w:tcPr>
          <w:p>
            <w:r>
              <w:t>Dependent de PNI</w:t>
            </w:r>
          </w:p>
        </w:tc>
      </w:tr>
      <w:tr>
        <w:tc>
          <w:tcPr>
            <w:tcW w:type="dxa" w:w="2880"/>
          </w:tcPr>
          <w:p>
            <w:r>
              <w:t>PCUe — Punctul de Contact Unic electronic / PDURo — Portalul Digital Unic Romania</w:t>
            </w:r>
          </w:p>
        </w:tc>
        <w:tc>
          <w:tcPr>
            <w:tcW w:type="dxa" w:w="2880"/>
          </w:tcPr>
          <w:p>
            <w:r>
              <w:t>3.4.2.14</w:t>
            </w:r>
          </w:p>
        </w:tc>
        <w:tc>
          <w:tcPr>
            <w:tcW w:type="dxa" w:w="2880"/>
          </w:tcPr>
          <w:p>
            <w:r>
              <w:t>În implementare conform Regulament UE 2018/1724</w:t>
            </w:r>
          </w:p>
        </w:tc>
      </w:tr>
      <w:tr>
        <w:tc>
          <w:tcPr>
            <w:tcW w:type="dxa" w:w="2880"/>
          </w:tcPr>
          <w:p>
            <w:r>
              <w:t>Nodul eIDAS extins</w:t>
            </w:r>
          </w:p>
        </w:tc>
        <w:tc>
          <w:tcPr>
            <w:tcW w:type="dxa" w:w="2880"/>
          </w:tcPr>
          <w:p>
            <w:r>
              <w:t>3.4.2.14</w:t>
            </w:r>
          </w:p>
        </w:tc>
        <w:tc>
          <w:tcPr>
            <w:tcW w:type="dxa" w:w="2880"/>
          </w:tcPr>
          <w:p>
            <w:r>
              <w:t>Disponibil parțial — extinderi posibile</w:t>
            </w:r>
          </w:p>
        </w:tc>
      </w:tr>
      <w:tr>
        <w:tc>
          <w:tcPr>
            <w:tcW w:type="dxa" w:w="2880"/>
          </w:tcPr>
          <w:p>
            <w:r>
              <w:t>RNR — Registrul Național al Registrelor</w:t>
            </w:r>
          </w:p>
        </w:tc>
        <w:tc>
          <w:tcPr>
            <w:tcW w:type="dxa" w:w="2880"/>
          </w:tcPr>
          <w:p>
            <w:r>
              <w:t>3.4.3 (interoperabilitate)</w:t>
            </w:r>
          </w:p>
        </w:tc>
        <w:tc>
          <w:tcPr>
            <w:tcW w:type="dxa" w:w="2880"/>
          </w:tcPr>
          <w:p>
            <w:r>
              <w:t>În implementare conform Legea 242/2022</w:t>
            </w:r>
          </w:p>
        </w:tc>
      </w:tr>
    </w:tbl>
    <w:p>
      <w:pPr>
        <w:spacing w:before="240" w:after="80"/>
      </w:pPr>
      <w:r>
        <w:rPr>
          <w:b/>
          <w:sz w:val="24"/>
        </w:rPr>
        <w:t>7.6.1 Procedura de integrare ulterioară în perioada de garanție</w:t>
      </w:r>
    </w:p>
    <w:p>
      <w:pPr>
        <w:ind w:left="360"/>
      </w:pPr>
      <w:r>
        <w:t>• Notificare ANSVSA → &lt;LIDER&gt;: la momentul în care un sistem guvernamental devine disponibil pentru integrare, ANSVSA notifică formal &lt;LIDER&gt; prin scrisoare oficială.</w:t>
      </w:r>
    </w:p>
    <w:p>
      <w:pPr>
        <w:ind w:left="360"/>
      </w:pPr>
      <w:r>
        <w:t>• Analiză tehnică (max 10 zile lucrătoare): &lt;FURNIZOR ESB&gt; + Arhitectul Sistem &lt;LIDER&gt; analizează specificațiile API ale sistemului țintă, identifică diferențele față de mock-up-ul implementat, estimează efortul de adaptare.</w:t>
      </w:r>
    </w:p>
    <w:p>
      <w:pPr>
        <w:ind w:left="360"/>
      </w:pPr>
      <w:r>
        <w:t>• Plan de integrare (max 5 zile lucrătoare): document formal cu activități, livrabile, termene, riscuri; transmis ANSVSA pentru validare.</w:t>
      </w:r>
    </w:p>
    <w:p>
      <w:pPr>
        <w:ind w:left="360"/>
      </w:pPr>
      <w:r>
        <w:t>• Dezvoltare integrare (max 30-60 zile, în funcție de complexitate): adaptarea Anti-Corruption Layer pe Oracle Service Bus, dezvoltarea conectorului real, configurare feature flag pentru comutare automată mock-real.</w:t>
      </w:r>
    </w:p>
    <w:p>
      <w:pPr>
        <w:ind w:left="360"/>
      </w:pPr>
      <w:r>
        <w:t>• Testare end-to-end (max 10 zile lucrătoare): testare funcțională, integrare, performanță, securitate; UAT cu ANSVSA.</w:t>
      </w:r>
    </w:p>
    <w:p>
      <w:pPr>
        <w:ind w:left="360"/>
      </w:pPr>
      <w:r>
        <w:t>• Deploy în producție: feature flag comutat de la mock la sistem real, fără downtime; monitoring 7 zile post-deploy.</w:t>
      </w:r>
    </w:p>
    <w:p>
      <w:pPr>
        <w:ind w:left="360"/>
      </w:pPr>
      <w:r>
        <w:t>• Documentare: actualizare manuale tehnice, ADR-uri, matricea de trasabilitate API.</w:t>
      </w:r>
    </w:p>
    <w:p>
      <w:r>
        <w:t>Întreaga procedură de integrare ulterioară este realizată fără cost suplimentar pentru ANSVSA, conform asumării explicite din cap. 3.4.2.14 al Caietului de Sarcini și conform principiului de continuitate contractuală asumat de consorțiu.</w:t>
      </w:r>
    </w:p>
    <w:p>
      <w:pPr>
        <w:spacing w:before="360" w:after="120"/>
      </w:pPr>
      <w:r>
        <w:rPr>
          <w:b/>
          <w:sz w:val="28"/>
        </w:rPr>
        <w:t>7.7 Vulnerability management și teste de penetrare anuale</w:t>
      </w:r>
    </w:p>
    <w:p>
      <w:r>
        <w:t>Conform cerinței explicite din cap. 3.4.9 al Caietului de Sarcini (punctul 13: managementul vulnerabilității, precum și teste de penetrare anuale), consorțiul &lt;LIDER&gt; asigură pe întreaga perioadă de garanție următoarele servicii de securitate cibernetică:</w:t>
      </w:r>
    </w:p>
    <w:p>
      <w:pPr>
        <w:spacing w:before="240" w:after="80"/>
      </w:pPr>
      <w:r>
        <w:rPr>
          <w:b/>
          <w:sz w:val="24"/>
        </w:rPr>
        <w:t>7.7.1 Vulnerability scanning continuu</w:t>
      </w:r>
    </w:p>
    <w:p>
      <w:pPr>
        <w:ind w:left="360"/>
      </w:pPr>
      <w:r>
        <w:t>• Instrumente: Tenable Nessus Professional + Qualys Vulnerability Management + OWASP Dependency-Check + Snyk + Trivy pentru containere.</w:t>
      </w:r>
    </w:p>
    <w:p>
      <w:pPr>
        <w:ind w:left="360"/>
      </w:pPr>
      <w:r>
        <w:t>• Scanning automat săptămânal pe toate componentele (infrastructură + aplicații + containere + librării third-party).</w:t>
      </w:r>
    </w:p>
    <w:p>
      <w:pPr>
        <w:ind w:left="360"/>
      </w:pPr>
      <w:r>
        <w:t>• Raportare lunară către ANSVSA cu evoluția numărului de vulnerabilități identificate, rezolvate, restante, clasificate pe CVSS Severity.</w:t>
      </w:r>
    </w:p>
    <w:p>
      <w:pPr>
        <w:ind w:left="360"/>
      </w:pPr>
      <w:r>
        <w:t>• SLA remediere vulnerabilități: CVE Critical (CVSS 9.0+) în max 7 zile; CVE High (7.0-8.9) în max 30 zile; CVE Medium (4.0-6.9) în max 90 zile; CVE Low (sub 4.0) în max 180 zile sau în următorul release planificat.</w:t>
      </w:r>
    </w:p>
    <w:p>
      <w:pPr>
        <w:spacing w:before="240" w:after="80"/>
      </w:pPr>
      <w:r>
        <w:rPr>
          <w:b/>
          <w:sz w:val="24"/>
        </w:rPr>
        <w:t>7.7.2 Penetration testing anual extern</w:t>
      </w:r>
    </w:p>
    <w:p>
      <w:pPr>
        <w:ind w:left="360"/>
      </w:pPr>
      <w:r>
        <w:t>• Auditor independent — terță parte certificată ANSCC (Autoritatea Națională pentru Securitate Cibernetică), neafiliat consorțiului &lt;LIDER&gt;, schimbat la fiecare 2 ani pentru a evita complezența.</w:t>
      </w:r>
    </w:p>
    <w:p>
      <w:pPr>
        <w:ind w:left="360"/>
      </w:pPr>
      <w:r>
        <w:t>• Scope pen-test: aplicații web (Portal, DMS web), API-uri (REST + GraphQL), infrastructură (NGFW, switch-uri, servere), aplicații mobile (iOS + Android), social engineering simulat (phishing campaign).</w:t>
      </w:r>
    </w:p>
    <w:p>
      <w:pPr>
        <w:ind w:left="360"/>
      </w:pPr>
      <w:r>
        <w:t>• Metodologie: OWASP Testing Guide v4.2 + PTES (Penetration Testing Execution Standard) + NIST SP 800-115.</w:t>
      </w:r>
    </w:p>
    <w:p>
      <w:pPr>
        <w:ind w:left="360"/>
      </w:pPr>
      <w:r>
        <w:t>• Raport pen-test livrat ANSVSA în max 30 zile de la finalizare, cu findings clasate pe risc, recomandări de remediere și roadmap implementare.</w:t>
      </w:r>
    </w:p>
    <w:p>
      <w:pPr>
        <w:ind w:left="360"/>
      </w:pPr>
      <w:r>
        <w:t>• Remediere findings: aceleași SLA-uri ca pentru vulnerability management; verificare remediere prin re-test focusat pe findings critic/high.</w:t>
      </w:r>
    </w:p>
    <w:p>
      <w:pPr>
        <w:spacing w:before="240" w:after="80"/>
      </w:pPr>
      <w:r>
        <w:rPr>
          <w:b/>
          <w:sz w:val="24"/>
        </w:rPr>
        <w:t>7.7.3 Threat Intelligence și răspuns la incidente</w:t>
      </w:r>
    </w:p>
    <w:p>
      <w:pPr>
        <w:ind w:left="360"/>
      </w:pPr>
      <w:r>
        <w:t>• Feed-uri Threat Intelligence integrate continuu cu SIEM-ul Splunk: MISP, ENISA, DNSC, plus feed-uri comerciale (Recorded Future / Mandiant).</w:t>
      </w:r>
    </w:p>
    <w:p>
      <w:pPr>
        <w:ind w:left="360"/>
      </w:pPr>
      <w:r>
        <w:t>• Notificare incidente conform Art. 23 NIS2 + OUG 155/2024: early warning DNSC în 24h, notificare incident în 72h, raport final în 1 lună — procedură pregătită și testată pre Go-live.</w:t>
      </w:r>
    </w:p>
    <w:p>
      <w:pPr>
        <w:ind w:left="360"/>
      </w:pPr>
      <w:r>
        <w:t>• Exerciții de simulare incidente (table-top exercises) semestrial cu echipa ANSVSA pentru îmbunătățirea răspunsului în condiții reale.</w:t>
      </w:r>
    </w:p>
    <w:p>
      <w:pPr>
        <w:spacing w:before="360" w:after="120"/>
      </w:pPr>
      <w:r>
        <w:rPr>
          <w:b/>
          <w:sz w:val="28"/>
        </w:rPr>
        <w:t>7.8 Servicii Help Desk și Fault Management</w:t>
      </w:r>
    </w:p>
    <w:p>
      <w:r>
        <w:t>Pe lângă procedura formală de suport descrisă în secțiunea 7.3, consorțiul &lt;LIDER&gt; asigură suplimentar următoarele servicii pe parcursul perioadei de garanție:</w:t>
      </w:r>
    </w:p>
    <w:p>
      <w:pPr>
        <w:ind w:left="360"/>
      </w:pPr>
      <w:r>
        <w:t>• Help Desk — punct unic de contact pentru toate cererile utilizatorilor ANSVSA, indiferent de canalul ales (telefon, email, portal Jira, Teams).</w:t>
      </w:r>
    </w:p>
    <w:p>
      <w:pPr>
        <w:ind w:left="360"/>
      </w:pPr>
      <w:r>
        <w:t>• Fault Management — proces structurat de diagnosticare, soluționare și închidere a incidentelor, cu Root Cause Analysis (RCA) obligatorie pentru incidentele S1 și S2.</w:t>
      </w:r>
    </w:p>
    <w:p>
      <w:pPr>
        <w:ind w:left="360"/>
      </w:pPr>
      <w:r>
        <w:t>• Suport în caz de urgență — disponibil 24×7 exclusiv pentru incidente S1 critice.</w:t>
      </w:r>
    </w:p>
    <w:p>
      <w:pPr>
        <w:ind w:left="360"/>
      </w:pPr>
      <w:r>
        <w:t>• Rapoarte de deranjamente — săptămânale (sumar incidente săptămâna anterioară), lunare (analiza trend-uri, MTTR pe categorii), trimestriale (KPI SLA, raport Steering Committee).</w:t>
      </w:r>
    </w:p>
    <w:p>
      <w:pPr>
        <w:ind w:left="360"/>
      </w:pPr>
      <w:r>
        <w:t>• Corelarea erorilor — analiză periodică pentru identificarea pattern-urilor recurente; recomandări de îmbunătățire arhitecturală sau procesuală.</w:t>
      </w:r>
    </w:p>
    <w:p>
      <w:pPr>
        <w:ind w:left="360"/>
      </w:pPr>
      <w:r>
        <w:t>• Bază de cunoștințe tehnice — Confluence cu acces controlat pentru utilizatori cheie ANSVSA + administratori; FAQ + troubleshooting playbooks + video tutoriale.</w:t>
      </w:r>
    </w:p>
    <w:p>
      <w:pPr>
        <w:ind w:left="360"/>
      </w:pPr>
      <w:r>
        <w:t>• Documentație tehnică actualizată continuu — manuale utilizator, manuale administrator, ADR-uri, matricea de trasabilitate cerințe-cod, documentație API Swagger; versionate în Git + publicate în Confluence.</w:t>
      </w:r>
    </w:p>
    <w:p>
      <w:r>
        <w:t>Toate intervențiile efectuate în sistem (la cerere ANSVSA sau în caz de incidente) vor fi documentate complet în Jira Service Management și, dacă este cazul, vor fi urmate de propuneri concrete de eliminare a cauzelor pentru prevenirea repetării. La finalizarea fiecărui serviciu de suport major, &lt;LIDER&gt; întocmește un raport de activitate transmis ANSVSA pentru aprobare.</w:t>
      </w:r>
    </w:p>
    <w:p>
      <w:pPr>
        <w:spacing w:before="360" w:after="120"/>
      </w:pPr>
      <w:r>
        <w:rPr>
          <w:b/>
          <w:sz w:val="28"/>
        </w:rPr>
        <w:t>7.9 Confidențialitate, conformitate și raportare</w:t>
      </w:r>
    </w:p>
    <w:p>
      <w:r>
        <w:t>Toate serviciile de garanție și suport tehnic furnizate de consorțiul &lt;LIDER&gt; respectă următoarele cerințe de confidențialitate și conformitate:</w:t>
      </w:r>
    </w:p>
    <w:p>
      <w:pPr>
        <w:ind w:left="360"/>
      </w:pPr>
      <w:r>
        <w:t>• Acord de confidențialitate — semnat de toți cei 9 membri ai consorțiului la semnarea Contractului (cf. ipoteza d din cap. 4.1 CdS); aplicabil integral pe perioada de garanție; răspundere solidară.</w:t>
      </w:r>
    </w:p>
    <w:p>
      <w:pPr>
        <w:ind w:left="360"/>
      </w:pPr>
      <w:r>
        <w:t>• Conformitate GDPR — toate intervențiile pe date personale ANSVSA respectă principiile minimizării, separării mediilor, pseudo-anonimizării în mediile de test; DPO &lt;LIDER&gt; coordonează cu DPO ANSVSA.</w:t>
      </w:r>
    </w:p>
    <w:p>
      <w:pPr>
        <w:ind w:left="360"/>
      </w:pPr>
      <w:r>
        <w:t>• Conformitate NIS2 + OUG 155/2024 — procedura de notificare incidente securitate către DNSC respectă termenele 24h/72h/1 lună; documentație pregătită pre Go-live.</w:t>
      </w:r>
    </w:p>
    <w:p>
      <w:pPr>
        <w:ind w:left="360"/>
      </w:pPr>
      <w:r>
        <w:t>• Audit logging — toate acțiunile administratorilor și ale echipei de suport sunt loggate complet în Splunk SIEM cu retenție 5 ani; disponibile pentru audit ANSVSA.</w:t>
      </w:r>
    </w:p>
    <w:p>
      <w:pPr>
        <w:ind w:left="360"/>
      </w:pPr>
      <w:r>
        <w:t>• Raportare trimestrială către Steering Committee al proiectului: KPI SLA (% respectare, MTTR), număr incidente pe severitate, evoluție vulnerabilități, rezultate pen-test, propuneri îmbunătățire.</w:t>
      </w:r>
    </w:p>
    <w:p>
      <w:pPr>
        <w:ind w:left="360"/>
      </w:pPr>
      <w:r>
        <w:t>• Lessons Learned — sesiune anuală cu ANSVSA pentru analiza retrospectivă a perioadei de garanție; ajustarea proceselor pentru anul următor.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