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8. Conformitate cu specificațiile tehnice</w:t>
      </w:r>
    </w:p>
    <w:p>
      <w:r>
        <w:t>Capitolul răspunde la cerința IV.4.1 lit. e) din Fișa de date. Răspunsuri de tip „OK" / „100%" / „Soluția răspunde la cerință" NU sunt acceptate. Trimiterile doar la hyperlink-uri NU sunt acceptate. &lt;LIDER&gt;, în calitate de Ofertant principal, răspunde la fiecare cerință cu detalii concrete despre modul de îndeplinire, tehnologia folosită, capacitatea oferită și documentele justificative anexate. Versiunea integrală a matricei de conformitate este prezentată în Anexa F — Matricea de Conformitate.</w:t>
      </w:r>
    </w:p>
    <w:p>
      <w:pPr>
        <w:pStyle w:val="Heading2"/>
      </w:pPr>
      <w:r>
        <w:t>8.1 Reguli formale de redactare a răspunsurilor</w:t>
      </w:r>
    </w:p>
    <w:p>
      <w:pPr>
        <w:pStyle w:val="ListBullet"/>
      </w:pPr>
      <w:r>
        <w:t>Fiecare cerință din Caietul de Sarcini primește un răspuns detaliat;</w:t>
      </w:r>
    </w:p>
    <w:p>
      <w:pPr>
        <w:pStyle w:val="ListBullet"/>
      </w:pPr>
      <w:r>
        <w:t>Răspunsul indică concret modul în care cerința este sau va fi îndeplinită (tehnologie, configurație, capacitate, dovadă);</w:t>
      </w:r>
    </w:p>
    <w:p>
      <w:pPr>
        <w:pStyle w:val="ListBullet"/>
      </w:pPr>
      <w:r>
        <w:t>Pentru fiecare răspuns sunt indicate: documentul anexă, pagina, paragraful relevant;</w:t>
      </w:r>
    </w:p>
    <w:p>
      <w:pPr>
        <w:pStyle w:val="ListBullet"/>
      </w:pPr>
      <w:r>
        <w:t>Trimiterile către documente de la producători sunt însoțite de citarea textului concret (nu doar URL);</w:t>
      </w:r>
    </w:p>
    <w:p>
      <w:pPr>
        <w:pStyle w:val="ListBullet"/>
      </w:pPr>
      <w:r>
        <w:t>Nu se admit răspunsuri prin simpla repetare a cerinței (cu schimbarea timpului verbal);</w:t>
      </w:r>
    </w:p>
    <w:p>
      <w:pPr>
        <w:pStyle w:val="ListBullet"/>
      </w:pPr>
      <w:r>
        <w:t>Răspunsurile sunt asertive — formulări de tip „VOGO Enterprise Suite asigură…", „Soluția propusă de &lt;LIDER&gt; răspunde la cerință prin…".</w:t>
      </w:r>
    </w:p>
    <w:p>
      <w:pPr>
        <w:pStyle w:val="ListBullet"/>
      </w:pPr>
      <w:r>
        <w:t>Fiecare răspuns este atribuit unui Responsabil din consorțiu (coloana „Responsabil" din Anexa F), pre-populat pe baza componentei tratate.</w:t>
      </w:r>
    </w:p>
    <w:p>
      <w:pPr>
        <w:pStyle w:val="Heading2"/>
      </w:pPr>
      <w:r>
        <w:t>8.2 Structura Anexei F — Matricea de Conformitate</w:t>
      </w:r>
    </w:p>
    <w:p>
      <w:r>
        <w:t>Anexa F conține toate cele 1.294 cerințe extrase din Caietul de Sarcini, organizate în 1.365 rânduri (incluzând 71 rânduri sub-header de secțiuni pentru navigare). Matricea este structurată pe 6 coloane:</w:t>
      </w:r>
    </w:p>
    <w:p>
      <w:pPr>
        <w:pStyle w:val="ListBullet"/>
      </w:pPr>
      <w:r>
        <w:rPr>
          <w:b/>
        </w:rPr>
        <w:t xml:space="preserve">Nr. — </w:t>
      </w:r>
      <w:r>
        <w:t>Numărul ordinal al cerinței (1 → 1.294).</w:t>
      </w:r>
    </w:p>
    <w:p>
      <w:pPr>
        <w:pStyle w:val="ListBullet"/>
      </w:pPr>
      <w:r>
        <w:rPr>
          <w:b/>
        </w:rPr>
        <w:t xml:space="preserve">Cap. CDS — </w:t>
      </w:r>
      <w:r>
        <w:t>Capitolul din Caietul de Sarcini din care provine cerința (ex. 3.4.3.2.4 — Soluție bază de date).</w:t>
      </w:r>
    </w:p>
    <w:p>
      <w:pPr>
        <w:pStyle w:val="ListBullet"/>
      </w:pPr>
      <w:r>
        <w:rPr>
          <w:b/>
        </w:rPr>
        <w:t xml:space="preserve">Cerință (citat) — </w:t>
      </w:r>
      <w:r>
        <w:t>Textul integral al cerinței, copiat literal din Caietul de Sarcini.</w:t>
      </w:r>
    </w:p>
    <w:p>
      <w:pPr>
        <w:pStyle w:val="ListBullet"/>
      </w:pPr>
      <w:r>
        <w:rPr>
          <w:b/>
        </w:rPr>
        <w:t xml:space="preserve">Responsabil — </w:t>
      </w:r>
      <w:r>
        <w:t>Membrul consorțiului care livrează cerința (pre-populat pe baza componentei: &lt;LIDER&gt;, ZIPPER, VOGO, FURNIZOR LIMS etc.).</w:t>
      </w:r>
    </w:p>
    <w:p>
      <w:pPr>
        <w:pStyle w:val="ListBullet"/>
      </w:pPr>
      <w:r>
        <w:rPr>
          <w:b/>
        </w:rPr>
        <w:t xml:space="preserve">Răspuns ofertant — </w:t>
      </w:r>
      <w:r>
        <w:t>Modul concret de îndeplinire — tehnologie, configurație, capacitate, dovezi.</w:t>
      </w:r>
    </w:p>
    <w:p>
      <w:pPr>
        <w:pStyle w:val="ListBullet"/>
      </w:pPr>
      <w:r>
        <w:rPr>
          <w:b/>
        </w:rPr>
        <w:t xml:space="preserve">Doc. referință — </w:t>
      </w:r>
      <w:r>
        <w:t>Documentul-suport: capitol din ofertă, anexă tehnică, fișa producător.</w:t>
      </w:r>
    </w:p>
    <w:p>
      <w:pPr>
        <w:pStyle w:val="Heading2"/>
      </w:pPr>
      <w:r>
        <w:t>8.3 Tabel sintetic de conformitate (extras reprezentativ)</w:t>
      </w:r>
    </w:p>
    <w:p>
      <w:r>
        <w:t>Tabelul de mai jos prezintă un extras reprezentativ cu 14 cerințe cheie acoperind toate cele 14 componente SIDISVA. Versiunea integrală (toate cele 1.294 cerințe) este prezentată în Anexa F.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454"/>
          </w:tcPr>
          <w:p>
            <w:r>
              <w:rPr>
                <w:b/>
                <w:sz w:val="18"/>
              </w:rPr>
              <w:t>Nr.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Cap. CDS</w:t>
            </w:r>
          </w:p>
        </w:tc>
        <w:tc>
          <w:tcPr>
            <w:tcW w:type="dxa" w:w="2551"/>
          </w:tcPr>
          <w:p>
            <w:r>
              <w:rPr>
                <w:b/>
                <w:sz w:val="18"/>
              </w:rPr>
              <w:t>Cerință (citat scurt)</w:t>
            </w:r>
          </w:p>
        </w:tc>
        <w:tc>
          <w:tcPr>
            <w:tcW w:type="dxa" w:w="1417"/>
          </w:tcPr>
          <w:p>
            <w:r>
              <w:rPr>
                <w:b/>
                <w:sz w:val="18"/>
              </w:rPr>
              <w:t>Responsabil</w:t>
            </w:r>
          </w:p>
        </w:tc>
        <w:tc>
          <w:tcPr>
            <w:tcW w:type="dxa" w:w="3402"/>
          </w:tcPr>
          <w:p>
            <w:r>
              <w:rPr>
                <w:b/>
                <w:sz w:val="18"/>
              </w:rPr>
              <w:t>Mod îndeplinire — răspuns sintetic</w:t>
            </w:r>
          </w:p>
        </w:tc>
        <w:tc>
          <w:tcPr>
            <w:tcW w:type="dxa" w:w="1531"/>
          </w:tcPr>
          <w:p>
            <w:r>
              <w:rPr>
                <w:b/>
                <w:sz w:val="18"/>
              </w:rPr>
              <w:t>Doc. referință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3.4.1.1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Sistem Cloud-Native găzduit în Cloud Guvernamental, compatibil containerizare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&lt;LIDER&gt;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Soluția este implementată ca microservicii containerizate (Docker) orchestrate prin Kubernetes, găzduită exclusiv în Cloud Guvernamental conform OUG 89/2022. Componentele aplicative respectă arhitectura Cloud-Native (stateless, 12-Factor App, auto-scaling).</w:t>
            </w:r>
          </w:p>
        </w:tc>
        <w:tc>
          <w:tcPr>
            <w:tcW w:type="dxa" w:w="1531"/>
          </w:tcPr>
          <w:p>
            <w:r>
              <w:rPr>
                <w:sz w:val="18"/>
              </w:rPr>
              <w:t>Cap. 5.1, 5.2 ofertă; Anexa arhitectură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3.4.1.2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Securitate cibernetică — NIS2, OUG 155/2024, Legea 354/2022, GDPR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&lt;LIDER&gt; + FURNIZOR SECURITATE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Conformitate completă cu Directiva (UE) 2022/2555 (NIS2) transpusă prin OUG 155/2024 (plan IR, SOC 24×7, raportare incidente CSIRT-RO); Lege 354/2022 — toți producătorii aleși au origine UE/SUA/IL (lista detaliată în Anexa B); GDPR — DPO desemnat, registru prelucrări, DPIA livrabilă; defense-in-depth pe 7 niveluri.</w:t>
            </w:r>
          </w:p>
        </w:tc>
        <w:tc>
          <w:tcPr>
            <w:tcW w:type="dxa" w:w="1531"/>
          </w:tcPr>
          <w:p>
            <w:r>
              <w:rPr>
                <w:sz w:val="18"/>
              </w:rPr>
              <w:t>Cap. 10 ofertă; Anexa H — analiză juridică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3.4.3.3.1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DMS — performanță optimă pentru minim 5.301 utilizatori interni fără restricții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ZIPPER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ZIPPER DMS — soluție COTS cu licență perpetuă, număr nelimitat de utilizatori, cod sursă integral livrat conform cap. 12. Stress-testat la 7.500 useri concurenți. Arhitectură multi-nivel (web + aplicație + BD); client web + PWA + mobile.</w:t>
            </w:r>
          </w:p>
        </w:tc>
        <w:tc>
          <w:tcPr>
            <w:tcW w:type="dxa" w:w="1531"/>
          </w:tcPr>
          <w:p>
            <w:r>
              <w:rPr>
                <w:sz w:val="18"/>
              </w:rPr>
              <w:t>Cap. 4.2.2 ofertă; fișa tehnică ZIPPER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3.4.3.3.2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Portal Servicii Publice — 56 servicii electronice; min 5.500 utilizatori interni + număr nelimitat utilizatori externi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VOGO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VOGO Enterprise Suite — Portal: catalog complet cu 56+ servicii electronice; autentificare ROeID + eIDAS + LDAP intern prin Keycloak; plăți online prin Ghișeul.ro; accesibilitate WCAG 2.1 AA; responsive (desktop/tablet/mobile); SSO cu DMS, LIMS, BND.</w:t>
            </w:r>
          </w:p>
        </w:tc>
        <w:tc>
          <w:tcPr>
            <w:tcW w:type="dxa" w:w="1531"/>
          </w:tcPr>
          <w:p>
            <w:r>
              <w:rPr>
                <w:sz w:val="18"/>
              </w:rPr>
              <w:t>Cap. 4.2.3 ofertă; Anexa wireframes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3.4.3.3.2.1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Chatbot — modul extern bazat pe inteligență artificială; integrare LLAMA/OpenAI/Gemini; recunoaștere text și voce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VOGO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VOGO Enterprise Suite — Chatbot: motor NLP RO on-premise (fără dependență externă), cu modul LLM integrabil cu LLAMA, OpenAI și Gemini; canale chat web + WhatsApp + voce (TTS/STT); recunoaștere intent + entități; dialog management; asistă configurare formulare drag-and-drop.</w:t>
            </w:r>
          </w:p>
        </w:tc>
        <w:tc>
          <w:tcPr>
            <w:tcW w:type="dxa" w:w="1531"/>
          </w:tcPr>
          <w:p>
            <w:r>
              <w:rPr>
                <w:sz w:val="18"/>
              </w:rPr>
              <w:t>Cap. 4.2.4 ofertă; demonstrație video DEMO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3.4.3.3.2.2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Aplicație mobilă cetățeni — dezvoltată nativ Android + iOS; publicare în magazine; raportare animale sălbatice + focare boli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VOGO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VOGO Enterprise Suite — Aplicație Mobilă: dezvoltare nativă Swift (iOS) + Kotlin (Android) + PWA companion; publicare TestFlight + App Store + Google Play; GPS, cameră foto cu watermark, lucru offline cu sincronizare la reconectare; integrare GIS central (WMS/WFS) + Keycloak (OAuth2 PKCE).</w:t>
            </w:r>
          </w:p>
        </w:tc>
        <w:tc>
          <w:tcPr>
            <w:tcW w:type="dxa" w:w="1531"/>
          </w:tcPr>
          <w:p>
            <w:r>
              <w:rPr>
                <w:sz w:val="18"/>
              </w:rPr>
              <w:t>Cap. 4.2.5 ofertă; manifest store + raport pentest MASVS L1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3.4.3.2.8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Sistem GIS — gestionarea, analiza și vizualizarea datelor spațiale; hărți tematice focare boli + cartografiere unități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FURNIZOR GIS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Sistem GIS dedicat — server central + 50 editori; layere vector + raster; WMS/WFS publicat către componentele SIDISVA (Portal, App mobilă, BND-SNIIA); integrare APIA pentru coordonate exploatații; analize spațiale (buffer, intersecții, proximitate); editare directă pe hartă.</w:t>
            </w:r>
          </w:p>
        </w:tc>
        <w:tc>
          <w:tcPr>
            <w:tcW w:type="dxa" w:w="1531"/>
          </w:tcPr>
          <w:p>
            <w:r>
              <w:rPr>
                <w:sz w:val="18"/>
              </w:rPr>
              <w:t>Cap. 4.2.7 ofertă; fișă tehnică FURNIZOR GIS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3.4.3.2.6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BI — 50 utilizatori; Data Warehouse + raportare + dashboards drag-and-drop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FURNIZOR BI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Microsoft Power BI + SSRS + SSAS — 50 useri named; surse date relaționale (MS SQL) + NoSQL (Elasticsearch); dashboards drag-and-drop; rapoarte programate + ad-hoc; înlocuiește 50+ machete .xls actuale; export PDF/Excel; integrare ETL prin SSIS.</w:t>
            </w:r>
          </w:p>
        </w:tc>
        <w:tc>
          <w:tcPr>
            <w:tcW w:type="dxa" w:w="1531"/>
          </w:tcPr>
          <w:p>
            <w:r>
              <w:rPr>
                <w:sz w:val="18"/>
              </w:rPr>
              <w:t>Cap. 4.2.8 ofertă; licențe Microsoft (BYOL Azure)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3.4.3.2.7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IAM — autentificare unificată: utilizator/parolă, certificate X.509, Windows Native, SAML, multi-factor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&lt;LIDER&gt;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Keycloak Enterprise (open-source, US/Red Hat) — 150 utilizatori interni + 185.000 utilizatori portal/an; broker federat pentru ROeID + eIDAS + LDAP intern; OAuth2 / OIDC / SAML 2.0; MFA (TOTP, SMS, FIDO2); SSO pentru toate componentele SIDISVA.</w:t>
            </w:r>
          </w:p>
        </w:tc>
        <w:tc>
          <w:tcPr>
            <w:tcW w:type="dxa" w:w="1531"/>
          </w:tcPr>
          <w:p>
            <w:r>
              <w:rPr>
                <w:sz w:val="18"/>
              </w:rPr>
              <w:t>Cap. 5.3 ofertă; Anexa arhitectură IAM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3.4.3.4.1.4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SIEM — colectare/stocare log-uri; corelare automată; alertare; instalare ca soluție SW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FURNIZOR SECURITATE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Splunk Enterprise Security sau IBM QRadar — cluster cu retention IOC 3 ani; stocare log-uri în NoSQL (Elasticsearch); &gt;1000 rapoarte predefinite; SOC 24×7 cu playbook-uri IR; raportare incidente NIS2 către CSIRT-RO conform OUG 155/2024.</w:t>
            </w:r>
          </w:p>
        </w:tc>
        <w:tc>
          <w:tcPr>
            <w:tcW w:type="dxa" w:w="1531"/>
          </w:tcPr>
          <w:p>
            <w:r>
              <w:rPr>
                <w:sz w:val="18"/>
              </w:rPr>
              <w:t>Cap. 10 ofertă; fișa tehnică SIEM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3.4.3.4.1.1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WAF — appliance virtual; HA; protecție OWASP Top 10; NU licențiat per useri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FURNIZOR SECURITATE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F5 Advanced WAF sau Imperva sau FortiWeb — appliance virtual deployabil pe VMware/Hyper-V/KVM; HA activ-pasiv 8 vCPU + 16GB RAM/instanță; throughput ≥3 Gbps HTTP; ≥64 domenii admin; protecție OWASP Top 10 + bot mitigation + API security; licență pe throughput, nu pe utilizatori.</w:t>
            </w:r>
          </w:p>
        </w:tc>
        <w:tc>
          <w:tcPr>
            <w:tcW w:type="dxa" w:w="1531"/>
          </w:tcPr>
          <w:p>
            <w:r>
              <w:rPr>
                <w:sz w:val="18"/>
              </w:rPr>
              <w:t>Anexa B item 1; fișa tehnică producător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3.4.3.4.2.6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Laptop — consum redus DNSH (max 20Wh în veghe); 100 buc pentru ANSVSA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&lt;LIDER&gt;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Laptop EnergyStar 8.0 + EU Ecolabel (sau echivalent — Blue Angel / Nordic Swan); consum măsurat în veghe &lt; 20 Wh per raport testare anexat; CPU low-power din generație curentă; SSD; ecran low-power 14"; ambalaje reciclabile; livrare cu flotă electrică/hibridă conform 4.2 DNSH.</w:t>
            </w:r>
          </w:p>
        </w:tc>
        <w:tc>
          <w:tcPr>
            <w:tcW w:type="dxa" w:w="1531"/>
          </w:tcPr>
          <w:p>
            <w:r>
              <w:rPr>
                <w:sz w:val="18"/>
              </w:rPr>
              <w:t>Cap. 11 ofertă (DNSH); Anexa B item 12; raport test producător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3.4.3.4.4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Integrare nativă ROeID + eIDAS + 2FA SMS (cerință DEMO eliminatorie)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&lt;LIDER&gt; + VOGO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Integrare nativă ROeID prin OAuth2 + SAML (broker Keycloak); eIDAS Connector cu noduri Romania + UE; 2FA SMS via SMSC dedicat (operatori RO); demonstrată live în DEMO video + DEMO sediu ANSVSA (cerință eliminatorie nr. 3 din lista de 33).</w:t>
            </w:r>
          </w:p>
        </w:tc>
        <w:tc>
          <w:tcPr>
            <w:tcW w:type="dxa" w:w="1531"/>
          </w:tcPr>
          <w:p>
            <w:r>
              <w:rPr>
                <w:sz w:val="18"/>
              </w:rPr>
              <w:t>Cap. 14 DEMO ofertă; Anexa integrări guvernamentale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3.4.3.3.4 + Cap. 12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Drepturi IP — licențe perpetue + cod sursă integral; proprietate intelectuală către Beneficiar pentru dezvoltări/customizări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&lt;LIDER&gt;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&lt;LIDER&gt;, în nume propriu și al partenerilor consorțiului, ACCEPTĂ expres și fără rezerve condițiile cap. 12: toate dezvoltările/customizările trec în proprietatea ANSVSA; licențe perpetue + cod sursă pentru toate componentele aplicative; IP-ul produselor COTS preexistente (ZIPPER, VOGO Enterprise Suite, FURNIZOR LIMS) rămâne la producători, dar Beneficiarul primește licență perpetuă + cod sursă.</w:t>
            </w:r>
          </w:p>
        </w:tc>
        <w:tc>
          <w:tcPr>
            <w:tcW w:type="dxa" w:w="1531"/>
          </w:tcPr>
          <w:p>
            <w:r>
              <w:rPr>
                <w:sz w:val="18"/>
              </w:rPr>
              <w:t>Cap. 5.4 ofertă; Declarații IP anexate (cap. 15)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…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restul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[Continuat în Anexa F — toate cele 1.294 cerințe extrase]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Conform pre-populare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Răspuns detaliat per cerință</w:t>
            </w:r>
          </w:p>
        </w:tc>
        <w:tc>
          <w:tcPr>
            <w:tcW w:type="dxa" w:w="1531"/>
          </w:tcPr>
          <w:p>
            <w:r>
              <w:rPr>
                <w:sz w:val="18"/>
              </w:rPr>
              <w:t>Anexa F</w:t>
            </w:r>
          </w:p>
        </w:tc>
      </w:tr>
    </w:tbl>
    <w:p>
      <w:pPr>
        <w:pStyle w:val="Heading2"/>
      </w:pPr>
      <w:r>
        <w:t>8.4 Distribuție cerințe Anexa F pe capitole</w:t>
      </w:r>
    </w:p>
    <w:p>
      <w:r>
        <w:t>Cele 1.294 cerințe extrase din Caietul de Sarcini sunt repartizate astfel: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6803"/>
          </w:tcPr>
          <w:p>
            <w:r>
              <w:rPr>
                <w:b/>
              </w:rPr>
              <w:t>Capitol / Secțiune</w:t>
            </w:r>
          </w:p>
        </w:tc>
        <w:tc>
          <w:tcPr>
            <w:tcW w:type="dxa" w:w="1701"/>
          </w:tcPr>
          <w:p>
            <w:r>
              <w:rPr>
                <w:b/>
              </w:rPr>
              <w:t>Nr. cerințe</w:t>
            </w:r>
          </w:p>
        </w:tc>
      </w:tr>
      <w:tr>
        <w:tc>
          <w:tcPr>
            <w:tcW w:type="dxa" w:w="6803"/>
          </w:tcPr>
          <w:p>
            <w:r>
              <w:t>3.4 — Cadru general serviciilor</w:t>
            </w:r>
          </w:p>
        </w:tc>
        <w:tc>
          <w:tcPr>
            <w:tcW w:type="dxa" w:w="1701"/>
          </w:tcPr>
          <w:p>
            <w:r>
              <w:t>11</w:t>
            </w:r>
          </w:p>
        </w:tc>
      </w:tr>
      <w:tr>
        <w:tc>
          <w:tcPr>
            <w:tcW w:type="dxa" w:w="6803"/>
          </w:tcPr>
          <w:p>
            <w:r>
              <w:t>3.4.1 — Cerințe nefuncționale</w:t>
            </w:r>
          </w:p>
        </w:tc>
        <w:tc>
          <w:tcPr>
            <w:tcW w:type="dxa" w:w="1701"/>
          </w:tcPr>
          <w:p>
            <w:r>
              <w:t>42</w:t>
            </w:r>
          </w:p>
        </w:tc>
      </w:tr>
      <w:tr>
        <w:tc>
          <w:tcPr>
            <w:tcW w:type="dxa" w:w="6803"/>
          </w:tcPr>
          <w:p>
            <w:r>
              <w:t>3.4.2 — Cerințe funcționale (servicii)</w:t>
            </w:r>
          </w:p>
        </w:tc>
        <w:tc>
          <w:tcPr>
            <w:tcW w:type="dxa" w:w="1701"/>
          </w:tcPr>
          <w:p>
            <w:r>
              <w:t>118</w:t>
            </w:r>
          </w:p>
        </w:tc>
      </w:tr>
      <w:tr>
        <w:tc>
          <w:tcPr>
            <w:tcW w:type="dxa" w:w="6803"/>
          </w:tcPr>
          <w:p>
            <w:r>
              <w:t>3.4.3 — Cerințe tehnice componente</w:t>
            </w:r>
          </w:p>
        </w:tc>
        <w:tc>
          <w:tcPr>
            <w:tcW w:type="dxa" w:w="1701"/>
          </w:tcPr>
          <w:p>
            <w:r>
              <w:t>980</w:t>
            </w:r>
          </w:p>
        </w:tc>
      </w:tr>
      <w:tr>
        <w:tc>
          <w:tcPr>
            <w:tcW w:type="dxa" w:w="6803"/>
          </w:tcPr>
          <w:p>
            <w:r>
              <w:t>3.4.4 — Echipamente hardware</w:t>
            </w:r>
          </w:p>
        </w:tc>
        <w:tc>
          <w:tcPr>
            <w:tcW w:type="dxa" w:w="1701"/>
          </w:tcPr>
          <w:p>
            <w:r>
              <w:t>97</w:t>
            </w:r>
          </w:p>
        </w:tc>
      </w:tr>
      <w:tr>
        <w:tc>
          <w:tcPr>
            <w:tcW w:type="dxa" w:w="6803"/>
          </w:tcPr>
          <w:p>
            <w:r>
              <w:t>3.4.5-3.4.9 — Cerințe diverse (raportare, instruire, suport)</w:t>
            </w:r>
          </w:p>
        </w:tc>
        <w:tc>
          <w:tcPr>
            <w:tcW w:type="dxa" w:w="1701"/>
          </w:tcPr>
          <w:p>
            <w:r>
              <w:t>46</w:t>
            </w:r>
          </w:p>
        </w:tc>
      </w:tr>
      <w:tr>
        <w:tc>
          <w:tcPr>
            <w:tcW w:type="dxa" w:w="6803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701"/>
          </w:tcPr>
          <w:p>
            <w:r>
              <w:rPr>
                <w:b/>
              </w:rPr>
              <w:t>1.294</w:t>
            </w:r>
          </w:p>
        </w:tc>
      </w:tr>
    </w:tbl>
    <w:p>
      <w:pPr>
        <w:pStyle w:val="Heading2"/>
      </w:pPr>
      <w:r>
        <w:t>8.5 Trasabilitate cerințe → soluție</w:t>
      </w:r>
    </w:p>
    <w:p>
      <w:r>
        <w:t>Trasabilitatea cerințelor pe traseul Caiet de Sarcini → Ofertă Tehnică → Document de Analiză → Scenarii de Testare → Recepție Finală este asigurată de &lt;LIDER&gt;, în calitatea sa de Ofertant principal, prin Matricea de Trasabilitate a Cerințelor (RTM) — instrument central al managementului calității proiectului. Această matrice permite ANSVSA să verifice oricând, în orice etapă a proiectului, modul în care fiecare cerință din Caietul de Sarcini este îndeplinită concret.</w:t>
      </w:r>
    </w:p>
    <w:p>
      <w:r>
        <w:t>RTM este menținut activ pe toată durata contractului (18 luni implementare + 36 luni garanție) și este livrabil obligatoriu la fiecare recepție parțială și la recepția finală. Forma electronică (export Excel + acces read-only în portalul de management al proiectului) este pusă la dispoziția responsabililor ANSVSA.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