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80"/>
        <w:jc w:val="center"/>
      </w:pPr>
      <w:r>
        <w:rPr>
          <w:b/>
          <w:i w:val="0"/>
          <w:color w:val="595959"/>
          <w:sz w:val="24"/>
        </w:rPr>
        <w:t>PROPUNERE TEHNICĂ</w:t>
      </w:r>
    </w:p>
    <w:p>
      <w:pPr>
        <w:spacing w:before="0" w:after="480"/>
        <w:jc w:val="center"/>
      </w:pPr>
      <w:r>
        <w:rPr>
          <w:b w:val="0"/>
          <w:i/>
          <w:color w:val="595959"/>
          <w:sz w:val="20"/>
        </w:rPr>
        <w:t>Cod SMIS 336342 · Anunț SEAP CN1089237</w:t>
      </w:r>
    </w:p>
    <w:p>
      <w:pPr>
        <w:spacing w:before="0" w:after="120"/>
        <w:jc w:val="center"/>
      </w:pPr>
      <w:r>
        <w:rPr>
          <w:b/>
          <w:i w:val="0"/>
          <w:color w:val="1F3864"/>
          <w:sz w:val="84"/>
        </w:rPr>
        <w:t>SIDISVA</w:t>
      </w:r>
    </w:p>
    <w:p>
      <w:pPr>
        <w:spacing w:before="0" w:after="40"/>
        <w:jc w:val="center"/>
      </w:pPr>
      <w:r>
        <w:rPr>
          <w:b w:val="0"/>
          <w:i/>
          <w:color w:val="2E75B6"/>
          <w:sz w:val="28"/>
        </w:rPr>
        <w:t>Sistem Informatic Digitalizat în domeniul</w:t>
      </w:r>
    </w:p>
    <w:p>
      <w:pPr>
        <w:spacing w:before="0" w:after="480"/>
        <w:jc w:val="center"/>
      </w:pPr>
      <w:r>
        <w:rPr>
          <w:b w:val="0"/>
          <w:i/>
          <w:color w:val="2E75B6"/>
          <w:sz w:val="28"/>
        </w:rPr>
        <w:t>Sanitar-Veterinar și pentru Siguranța Alimentelor</w:t>
      </w:r>
    </w:p>
    <w:p>
      <w:pPr>
        <w:pBdr>
          <w:bottom w:val="single" w:sz="18" w:color="1F3864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2F2F2"/>
          </w:tcPr>
          <w:p>
            <w:pPr>
              <w:spacing w:before="240" w:after="120"/>
              <w:jc w:val="center"/>
            </w:pPr>
            <w:r>
              <w:rPr>
                <w:b/>
                <w:color w:val="595959"/>
                <w:sz w:val="20"/>
              </w:rPr>
              <w:t>AUTORITATE CONTRACTANTĂ</w:t>
            </w:r>
          </w:p>
          <w:p>
            <w:pPr>
              <w:jc w:val="center"/>
            </w:pPr>
            <w:r>
              <w:rPr>
                <w:b/>
                <w:color w:val="1F3864"/>
                <w:sz w:val="32"/>
              </w:rPr>
              <w:t>ANSVSA</w:t>
            </w:r>
          </w:p>
          <w:p>
            <w:pPr>
              <w:jc w:val="center"/>
            </w:pPr>
            <w:r>
              <w:rPr>
                <w:i/>
                <w:color w:val="595959"/>
                <w:sz w:val="22"/>
              </w:rPr>
              <w:t>Autoritatea Națională Sanitară Veterinară</w:t>
              <w:br/>
              <w:t>și pentru Siguranța Alimentelor</w:t>
            </w:r>
          </w:p>
          <w:p>
            <w:pPr>
              <w:jc w:val="center"/>
            </w:pPr>
            <w:r>
              <w:rPr>
                <w:color w:val="BFBFBF"/>
                <w:sz w:val="20"/>
              </w:rPr>
              <w:t>• • •</w:t>
            </w:r>
          </w:p>
          <w:p>
            <w:pPr>
              <w:jc w:val="center"/>
            </w:pPr>
            <w:r>
              <w:rPr>
                <w:color w:val="595959"/>
                <w:sz w:val="20"/>
              </w:rPr>
              <w:t>+ 3 institute subordonate (IISPV, ICBMV, IDSA)</w:t>
              <w:br/>
              <w:t>+ 42 DSVSA județene</w:t>
            </w:r>
          </w:p>
          <w:p>
            <w:pPr>
              <w:spacing w:before="240" w:after="240"/>
              <w:jc w:val="center"/>
            </w:pPr>
            <w:r>
              <w:rPr>
                <w:color w:val="595959"/>
                <w:sz w:val="22"/>
              </w:rPr>
              <w:t xml:space="preserve">Termen depunere: </w:t>
            </w:r>
            <w:r>
              <w:rPr>
                <w:b/>
                <w:color w:val="1F3864"/>
                <w:sz w:val="22"/>
              </w:rPr>
              <w:t>21.05.2026, ora 15:00</w:t>
            </w:r>
          </w:p>
        </w:tc>
      </w:tr>
    </w:tbl>
    <w:p/>
    <w:p>
      <w:pPr>
        <w:pBdr>
          <w:bottom w:val="single" w:sz="18" w:color="1F3864"/>
        </w:pBdr>
      </w:pPr>
    </w:p>
    <w:p/>
    <w:p>
      <w:pPr>
        <w:spacing w:before="0" w:after="80"/>
        <w:jc w:val="center"/>
      </w:pPr>
      <w:r>
        <w:rPr>
          <w:b/>
          <w:i w:val="0"/>
          <w:color w:val="595959"/>
          <w:sz w:val="20"/>
        </w:rPr>
        <w:t>OFERTANT PRINCIPAL</w:t>
      </w:r>
    </w:p>
    <w:p>
      <w:pPr>
        <w:spacing w:before="0" w:after="80"/>
        <w:jc w:val="center"/>
      </w:pPr>
      <w:r>
        <w:rPr>
          <w:b/>
          <w:i w:val="0"/>
          <w:color w:val="1F3864"/>
          <w:sz w:val="44"/>
        </w:rPr>
        <w:t>&lt;LIDER&gt;</w:t>
      </w:r>
    </w:p>
    <w:p>
      <w:pPr>
        <w:spacing w:before="0" w:after="360"/>
        <w:jc w:val="center"/>
      </w:pPr>
      <w:r>
        <w:rPr>
          <w:b w:val="0"/>
          <w:i/>
          <w:color w:val="595959"/>
          <w:sz w:val="20"/>
        </w:rPr>
        <w:t>în asociere cu consorțiul de parteneri specializați</w:t>
      </w:r>
    </w:p>
    <w:p/>
    <w:p/>
    <w:p>
      <w:pPr>
        <w:spacing w:before="0" w:after="0"/>
        <w:jc w:val="center"/>
      </w:pPr>
      <w:r>
        <w:rPr>
          <w:b w:val="0"/>
          <w:i/>
          <w:color w:val="595959"/>
          <w:sz w:val="18"/>
        </w:rPr>
        <w:t>Finanțat prin Programul Operațional Creștere Inteligentă,</w:t>
      </w:r>
    </w:p>
    <w:p>
      <w:pPr>
        <w:spacing w:before="0" w:after="40"/>
        <w:jc w:val="center"/>
      </w:pPr>
      <w:r>
        <w:rPr>
          <w:b w:val="0"/>
          <w:i/>
          <w:color w:val="595959"/>
          <w:sz w:val="18"/>
        </w:rPr>
        <w:t>Digitalizare și Instrumente Financiare (POCIDIF)</w:t>
      </w:r>
    </w:p>
    <w:p>
      <w:pPr>
        <w:spacing w:before="0" w:after="0"/>
        <w:jc w:val="center"/>
      </w:pPr>
      <w:r>
        <w:rPr>
          <w:b w:val="0"/>
          <w:i/>
          <w:color w:val="BFBFBF"/>
          <w:sz w:val="16"/>
        </w:rPr>
        <w:t>Caietul de Sarcini nr. 424/SCPI/29.12.2025 ; 7574/CP/2025 — Revizia 1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  <w:sz w:val="48"/>
        </w:rPr>
        <w:t>Cuprins</w:t>
      </w:r>
    </w:p>
    <w:p/>
    <w:p>
      <w:pPr>
        <w:pStyle w:val="Heading2"/>
        <w:jc w:val="left"/>
      </w:pPr>
      <w:r>
        <w:rPr>
          <w:color w:val="2E75B6"/>
          <w:sz w:val="28"/>
        </w:rPr>
        <w:t>Capitole propunere tehnică</w:t>
      </w:r>
    </w:p>
    <w:p>
      <w:pPr>
        <w:spacing w:after="240"/>
      </w:pPr>
      <w:r>
        <w:rPr>
          <w:b w:val="0"/>
          <w:i/>
          <w:color w:val="595959"/>
          <w:sz w:val="20"/>
        </w:rPr>
        <w:t>Cele 16 capitole numerotate ale ofertei tehnice, fiecare livrat ca fișier .docx independent, semnat electronic calificat (eIDAS QES) de reprezentantul legal al &lt;LIDER&gt;.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Cap.</w:t>
            </w:r>
          </w:p>
        </w:tc>
        <w:tc>
          <w:tcPr>
            <w:tcW w:type="dxa" w:w="425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Denumire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Fișier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Rol / Punctaj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Rezumat executiv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1-Rezumat_executiv.docx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Prezentarea Ofertantului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1A-Prezentare_ofertant.docx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Eligibilitate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Abordare și metodologie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2-Abordare_metodologie.docx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P3.1 — 10p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Plan de implementare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3-Plan_implementare.docx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P3 — 20p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Descrierea soluției — 14 componente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4-Descrierea_solutiei.docx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Conformitate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Arhitectura + licențe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5-Arhitectura_si_licente.docx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Conformitate + IP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Lista hardware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6-Lista_hardware.docx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P4.1 + plafon 20%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Plan garanție (3 ani)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7-Plan_garantie.docx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Conformitate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Conformitate specificații (Anexa F)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8-Conformitate_specificatii.docx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Eligibilitate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Echipa de proiect (20 experți)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9-Echipa_proiect.docx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P2 — 30p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Securitate informatică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10-Securitate_informatica.docx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P3.1 + plafon 10%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Măsuri DNSH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11-DNSH.docx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P4 — 10p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Plan instruire (147 utilizatori)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12-Plan_instruire.docx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Conformitate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Management contract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13-Management_contract.docx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P3.2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DEMO video (33 cerințe)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14-DEMO_video.docx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ELIMINATORIE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Declarații obligatorii (15)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15-Declaratii_obligatorii.docx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Eligibilitate</w:t>
            </w:r>
          </w:p>
        </w:tc>
      </w:tr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Anexe (index A-K)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16-Anexe.docx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Suport</w:t>
            </w:r>
          </w:p>
        </w:tc>
      </w:tr>
    </w:tbl>
    <w:p/>
    <w:p>
      <w:pPr>
        <w:pStyle w:val="Heading2"/>
        <w:jc w:val="left"/>
      </w:pPr>
      <w:r>
        <w:rPr>
          <w:color w:val="2E75B6"/>
          <w:sz w:val="28"/>
        </w:rPr>
        <w:t>Anexe justificative</w:t>
      </w:r>
    </w:p>
    <w:p>
      <w:pPr>
        <w:spacing w:after="240"/>
      </w:pPr>
      <w:r>
        <w:rPr>
          <w:b w:val="0"/>
          <w:i/>
          <w:color w:val="595959"/>
          <w:sz w:val="20"/>
        </w:rPr>
        <w:t>Cele 11 anexe justificative ale ofertei tehnice. Detalii integrale despre fiecare anexă în Cap. 16 — Anexe.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Anexa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Conținut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Sursa / Sec. corelată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Lista completă licențe software (27 produse)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5 + xlsx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Lista hardware + fișe tehnice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6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Diagrame arhitecturale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5 + Cap. 10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Plan implementare + Gantt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3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CV-uri experți + 5 proiecte/expert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9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F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Matricea de Conformitate (1.294 cerințe)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anexa_f_conformitate.docx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Plan detaliat de instruire (147 utilizatori)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12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H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BCP + DRP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7 + Cap. 10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I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Documente justificative DNSH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11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J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Video demonstrativ DEMO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14 — depus separat SEAP</w:t>
            </w:r>
          </w:p>
        </w:tc>
      </w:tr>
      <w:tr>
        <w:tc>
          <w:tcPr>
            <w:tcW w:type="dxa" w:w="850"/>
            <w:shd w:val="clear" w:color="auto" w:fill="D9E2F3"/>
          </w:tcPr>
          <w:p>
            <w:r>
              <w:rPr>
                <w:b/>
                <w:sz w:val="20"/>
              </w:rPr>
              <w:t>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Pachet 15 declarații eIDAS QES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Cap. 15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  <w:sz w:val="40"/>
        </w:rPr>
        <w:t>1. Identificare proiect și ofertant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Valoare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Autoritate Contractantă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ANSVSA — Autoritatea Națională Sanitară Veterinară și pentru Siguranța Alimentelor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Cod SMIS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336342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Sursa de finanțare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POCIDIF (Programul Operațional Creștere Inteligentă, Digitalizare și Instrumente Financiare) — P2, OS 2.2.1 e-guvernare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Anunț SEAP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CN1089237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Caiet de Sarcini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Nr. 424/SCPI/29.12.2025 ; 7574/CP/2025 — Revizia 1 (252 pagini)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Termen depunere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21.05.2026, ora 15:00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Valoare estimată max (fără TVA)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85.418.857,53 lei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Plafoane buget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max 20% pentru HW + servicii instalare/configurare;</w:t>
              <w:br/>
              <w:t>min 10% pentru securitate cibernetică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Durata contractului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18 luni implementare + 36 luni garanție post-implementare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Găzduire (Cap. 3.4.3.1 CdS)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Cloud Guvernamental — arhitectură Cloud-Native + containerizare (Docker / Kubernetes)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Criteriu atribuire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Cel mai bun raport calitate-preț — 60% tehnică / 40% preț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Beneficiari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ANSVSA + 3 institute (IISPV, ICBMV, IDSA) + 42 DSVSA județene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b/>
                <w:sz w:val="20"/>
              </w:rPr>
              <w:t>Scară utilizatori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~185.000 utilizatori unici/an Portal</w:t>
              <w:br/>
              <w:t>~5.300 angajați + 2.600 medici veterinari + 4.800 utilizatori acreditați</w:t>
            </w:r>
          </w:p>
        </w:tc>
      </w:tr>
    </w:tbl>
    <w:p/>
    <w:p>
      <w:pPr>
        <w:pStyle w:val="Heading1"/>
        <w:jc w:val="left"/>
      </w:pPr>
      <w:r>
        <w:rPr>
          <w:color w:val="1F3864"/>
          <w:sz w:val="40"/>
        </w:rPr>
        <w:t>2. Ofertant și consorțiu</w:t>
      </w:r>
    </w:p>
    <w:p/>
    <w:p>
      <w:pPr>
        <w:jc w:val="both"/>
      </w:pPr>
      <w:r>
        <w:rPr>
          <w:b/>
          <w:sz w:val="22"/>
        </w:rPr>
        <w:t xml:space="preserve">Ofertant principal: </w:t>
      </w:r>
      <w:r>
        <w:rPr>
          <w:b/>
          <w:color w:val="2E75B6"/>
          <w:sz w:val="22"/>
        </w:rPr>
        <w:t>&lt;LIDER&gt;</w:t>
      </w:r>
    </w:p>
    <w:p>
      <w:pPr>
        <w:jc w:val="both"/>
      </w:pPr>
      <w:r>
        <w:rPr>
          <w:b/>
          <w:sz w:val="22"/>
        </w:rPr>
        <w:t xml:space="preserve">Structura consorțiului: </w:t>
      </w:r>
      <w:r>
        <w:rPr>
          <w:sz w:val="22"/>
        </w:rPr>
        <w:t>asociere cu lider + parteneri specializați pe componente — &lt;PARTENER 1&gt;, &lt;PARTENER 2&gt;, … &lt;PARTENER N&gt;. Detaliile complete în Cap. 1A — Prezentarea Ofertantului.</w:t>
      </w:r>
    </w:p>
    <w:p>
      <w:pPr>
        <w:jc w:val="both"/>
      </w:pPr>
      <w:r>
        <w:rPr>
          <w:b/>
          <w:sz w:val="22"/>
        </w:rPr>
        <w:t xml:space="preserve">Soluția propusă: </w:t>
      </w:r>
      <w:r>
        <w:rPr>
          <w:sz w:val="22"/>
        </w:rPr>
        <w:t>sistem informatic integrat compus din 14 componente, realizat prin combinarea de produse software specializate de la furnizori multipli — ZIPPER DMS pentru managementul documentelor, VOGO Enterprise Suite pentru Portal/Chatbot/App mobilă, Microsoft SQL Server Enterprise + Oracle Service Bus + Keycloak Enterprise + Power BI pentru infrastructura SW, producători specializați pentru LIMS și GIS. Stack-ul integral în Cap. 5 + Anexa A.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  <w:sz w:val="40"/>
        </w:rPr>
        <w:t>3. Maparea capitolelor → factori de evaluare</w:t>
      </w:r>
    </w:p>
    <w:p/>
    <w:p>
      <w:pPr>
        <w:spacing w:after="240"/>
        <w:jc w:val="both"/>
      </w:pPr>
      <w:r>
        <w:rPr>
          <w:b w:val="0"/>
          <w:i w:val="0"/>
          <w:sz w:val="22"/>
        </w:rPr>
        <w:t>Criteriul de atribuire: „Cel mai bun raport calitate-preț" (60% tehnică / 40% preț). Cei 4 factori de evaluare cumulează 100 puncte: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Punctaj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Algoritm / Țintă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Secțiune ofertă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Factor 1 — Prețul ofertei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40p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P(n) = (Preț_min / Preț_n) × 40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Propunere financiară (separată)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Factor 2 — Experiența celor 6 experți cheie evaluați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30p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6 × 5p; țintă ≥5 proiecte/expert (cu ≥7 module + ≥1 portal)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Cap. 9 + Anexa E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Factor 3 — Metodologia (subfactori 3.1 + 3.2)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20p (10+10)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Excepțional/Adecvat/Acceptabil = 10/5/1; țintă Excepțional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Cap. 2 + Cap. 3 + Cap. 13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Factor 4 — DNSH (subfactori 4.1 + 4.2)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10p (5+5)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4.1 consum laptop &lt; 20Wh; 4.2 ambalaje reciclabile + flotă verde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Cap. 11 + Anexa I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100p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shd w:val="clear" w:color="auto" w:fill="FFE699"/>
          </w:tcPr>
          <w:p>
            <w:pPr>
              <w:spacing w:before="160" w:after="40"/>
              <w:jc w:val="center"/>
            </w:pPr>
            <w:r>
              <w:rPr>
                <w:b/>
                <w:color w:val="1F3864"/>
                <w:sz w:val="22"/>
              </w:rPr>
              <w:t>⚠  CERINȚĂ ELIMINATORIE  ⚠</w:t>
            </w:r>
          </w:p>
          <w:p>
            <w:pPr>
              <w:spacing w:after="160"/>
              <w:jc w:val="center"/>
            </w:pPr>
            <w:r>
              <w:rPr>
                <w:color w:val="1F3864"/>
                <w:sz w:val="20"/>
              </w:rPr>
              <w:t>DEMO video conform Cap. 14 CdS — orice cerință nedemonstrată din cele 33 listate ⇒ ofertă neconformă (eliminată din evaluare, INDIFERENT de scorul tehnic/financiar).</w:t>
            </w:r>
          </w:p>
        </w:tc>
      </w:tr>
    </w:tbl>
    <w:p/>
    <w:p>
      <w:pPr>
        <w:pStyle w:val="Heading1"/>
        <w:jc w:val="left"/>
      </w:pPr>
      <w:r>
        <w:rPr>
          <w:color w:val="1F3864"/>
          <w:sz w:val="40"/>
        </w:rPr>
        <w:t>4. Strategia ofertei tehnice</w:t>
      </w:r>
    </w:p>
    <w:p/>
    <w:p>
      <w:pPr>
        <w:spacing w:after="200"/>
        <w:jc w:val="both"/>
      </w:pPr>
      <w:r>
        <w:rPr>
          <w:b w:val="0"/>
          <w:i w:val="0"/>
          <w:sz w:val="22"/>
        </w:rPr>
        <w:t>Oferta tehnică &lt;LIDER&gt; respectă structura canonică a ofertelor tehnice complexe, optimizată pentru facilitarea evaluării de către comisia ANSVSA:</w:t>
      </w:r>
    </w:p>
    <w:p>
      <w:pPr>
        <w:pStyle w:val="ListBullet"/>
      </w:pPr>
      <w:r>
        <w:rPr>
          <w:sz w:val="22"/>
        </w:rPr>
        <w:t>Capitolul 1 (Rezumat executiv) — gateway pentru evaluator: identitatea ofertantului, sinteza ofertei, win themes, scor țintă pe P1-P4.</w:t>
      </w:r>
    </w:p>
    <w:p>
      <w:pPr>
        <w:pStyle w:val="ListBullet"/>
      </w:pPr>
      <w:r>
        <w:rPr>
          <w:sz w:val="22"/>
        </w:rPr>
        <w:t>Capitolul 1A (Prezentarea Ofertantului) — credibilitate: profil &lt;LIDER&gt; + parteneri, referințe, certificări ISO 9001/14001/27001/22301.</w:t>
      </w:r>
    </w:p>
    <w:p>
      <w:pPr>
        <w:pStyle w:val="ListBullet"/>
      </w:pPr>
      <w:r>
        <w:rPr>
          <w:sz w:val="22"/>
        </w:rPr>
        <w:t>Capitolele 2-3 (Abordare/Metodologie + Plan implementare) — răspuns la Factorul 3 (20p) — metodologie hibridă PRINCE2 + Scrum Agile, ISO 21500, ITIL, plan 18 luni cu drum critic + registru riscuri 7+6.</w:t>
      </w:r>
    </w:p>
    <w:p>
      <w:pPr>
        <w:pStyle w:val="ListBullet"/>
      </w:pPr>
      <w:r>
        <w:rPr>
          <w:sz w:val="22"/>
        </w:rPr>
        <w:t>Capitolele 4-6 (Soluție + Arhitectură + Hardware) — răspuns la cerințele tehnice IV.4.1 lit. a)-c) din Fișa de date: 14 componente, arhitectură Cloud-Native pe Cloud Guvernamental, 27 licențe SW, ~536 echipamente HW.</w:t>
      </w:r>
    </w:p>
    <w:p>
      <w:pPr>
        <w:pStyle w:val="ListBullet"/>
      </w:pPr>
      <w:r>
        <w:rPr>
          <w:sz w:val="22"/>
        </w:rPr>
        <w:t>Capitolul 7 (Plan garanție) — răspuns la IV.4.1 lit. d) + cap. 3.4.9 CdS: 3 ani garanție, helpdesk L-V 08:00-17:00 + SLA 24×7 doar pentru incidente S1 critice; integrare ulterioară mock-up sisteme guvernamentale FĂRĂ cost suplimentar.</w:t>
      </w:r>
    </w:p>
    <w:p>
      <w:pPr>
        <w:pStyle w:val="ListBullet"/>
      </w:pPr>
      <w:r>
        <w:rPr>
          <w:sz w:val="22"/>
        </w:rPr>
        <w:t>Capitolul 8 + Anexa F (Conformitate) — răspuns la IV.4.1 lit. e): matrice cu toate cele 1.294 cerințe + răspuns punct-cu-punct.</w:t>
      </w:r>
    </w:p>
    <w:p>
      <w:pPr>
        <w:pStyle w:val="ListBullet"/>
      </w:pPr>
      <w:r>
        <w:rPr>
          <w:sz w:val="22"/>
        </w:rPr>
        <w:t>Capitolul 9 (Echipa) — răspuns la Factorul 2 (30p) — 8 experți cheie (din care 6 evaluați) + 12 non-cheie = 20 experți; cert. producător explicite (ZIPPER pentru Arhitect, Microsoft SQL pentru BD, Fortinet/Palo Alto pentru Sec).</w:t>
      </w:r>
    </w:p>
    <w:p>
      <w:pPr>
        <w:pStyle w:val="ListBullet"/>
      </w:pPr>
      <w:r>
        <w:rPr>
          <w:sz w:val="22"/>
        </w:rPr>
        <w:t>Capitolele 10-11 (Securitate + DNSH) — conformitate NIS2 (Dir. UE 2022/2555 + OUG 155/2024), Lege 354/2022 (anti-RU), GDPR, defense-in-depth pe 7 straturi + Factor 4 DNSH (10p).</w:t>
      </w:r>
    </w:p>
    <w:p>
      <w:pPr>
        <w:pStyle w:val="ListBullet"/>
      </w:pPr>
      <w:r>
        <w:rPr>
          <w:sz w:val="22"/>
        </w:rPr>
        <w:t>Capitolele 12-13 (Instruire + Management contract) — 147 utilizatori instruiți (100 cheie ONLINE + 44 medici vet ONLINE + 3 admin FIZIC) + rapoarte trimestriale + KPI calitate + plată SPV 30z.</w:t>
      </w:r>
    </w:p>
    <w:p>
      <w:pPr>
        <w:pStyle w:val="ListBullet"/>
      </w:pPr>
      <w:r>
        <w:rPr>
          <w:sz w:val="22"/>
        </w:rPr>
        <w:t>Capitolele 14-15 (DEMO + Declarații) — livrabile obligatorii: video 33 cerințe (eliminator) + 15 declarații semnate eIDAS QES.</w:t>
      </w:r>
    </w:p>
    <w:p>
      <w:pPr>
        <w:pStyle w:val="ListBullet"/>
      </w:pPr>
      <w:r>
        <w:rPr>
          <w:sz w:val="22"/>
        </w:rPr>
        <w:t>Capitolul 16 (Anexe) — index complet A-K cu corelare la secțiuni.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  <w:sz w:val="40"/>
        </w:rPr>
        <w:t>5. Acceptare expresă cap. 12 CdS — Drepturi IP</w:t>
      </w:r>
    </w:p>
    <w:p/>
    <w:p>
      <w:pPr>
        <w:spacing w:after="200"/>
        <w:jc w:val="both"/>
      </w:pPr>
      <w:r>
        <w:rPr>
          <w:b w:val="0"/>
          <w:i w:val="0"/>
          <w:sz w:val="22"/>
        </w:rPr>
        <w:t>Conform Cap. 12 din Caietul de Sarcini, &lt;LIDER&gt; ACCEPTĂ EXPRES și fără rezerve condițiile privind drepturile de proprietate intelectuală:</w:t>
      </w:r>
    </w:p>
    <w:p>
      <w:pPr>
        <w:pStyle w:val="ListBullet"/>
      </w:pPr>
      <w:r>
        <w:rPr>
          <w:sz w:val="22"/>
        </w:rPr>
        <w:t>Toate dezvoltările / customizările realizate în cadrul contractului trec în proprietatea Beneficiarului (ANSVSA).</w:t>
      </w:r>
    </w:p>
    <w:p>
      <w:pPr>
        <w:pStyle w:val="ListBullet"/>
      </w:pPr>
      <w:r>
        <w:rPr>
          <w:sz w:val="22"/>
        </w:rPr>
        <w:t>Licențele pentru componentele aplicative dezvoltate / customizate sunt PERPETUE.</w:t>
      </w:r>
    </w:p>
    <w:p>
      <w:pPr>
        <w:pStyle w:val="ListBullet"/>
      </w:pPr>
      <w:r>
        <w:rPr>
          <w:sz w:val="22"/>
        </w:rPr>
        <w:t>Codul sursă INTEGRAL pentru componentele aplicative dezvoltate / customizate este predat Beneficiarului.</w:t>
      </w:r>
    </w:p>
    <w:p>
      <w:pPr>
        <w:pStyle w:val="ListBullet"/>
      </w:pPr>
      <w:r>
        <w:rPr>
          <w:sz w:val="22"/>
        </w:rPr>
        <w:t>IP-ul produselor COTS preexistente (ZIPPER DMS, VOGO Enterprise Suite, soluția LIMS) rămâne la producătorii respectivi, dar Beneficiarul primește licență perpetuă + cod sursă integral conform cap. 3.4.3.3.4 CdS.</w:t>
      </w:r>
    </w:p>
    <w:p>
      <w:pPr>
        <w:spacing w:before="200"/>
      </w:pPr>
      <w:r>
        <w:rPr>
          <w:b/>
          <w:sz w:val="22"/>
        </w:rPr>
        <w:t xml:space="preserve">Confirmare formală: </w:t>
      </w:r>
      <w:r>
        <w:rPr>
          <w:sz w:val="22"/>
        </w:rPr>
        <w:t>această acceptare este reluată semnată în Cap. 15 — Declarații obligatorii și în Anexa K.2 (declarație separată cu semnătură eIDAS QES a reprezentantului legal).</w:t>
      </w:r>
    </w:p>
    <w:p/>
    <w:p>
      <w:pPr>
        <w:pStyle w:val="Heading1"/>
        <w:jc w:val="left"/>
      </w:pPr>
      <w:r>
        <w:rPr>
          <w:color w:val="1F3864"/>
          <w:sz w:val="40"/>
        </w:rPr>
        <w:t>6. Depunere în SEAP</w:t>
      </w:r>
    </w:p>
    <w:p/>
    <w:p>
      <w:pPr>
        <w:spacing w:after="200"/>
        <w:jc w:val="both"/>
      </w:pPr>
      <w:r>
        <w:rPr>
          <w:b w:val="0"/>
          <w:i w:val="0"/>
          <w:sz w:val="22"/>
        </w:rPr>
        <w:t>Acest fișier `1a-oferta.docx` servește ca document de consolidare și navigare pentru întreaga ofertă tehnică &lt;LIDER&gt;. Fiecare capitol este un fișier .docx independent, format pentru a fi semnat electronic individual.</w:t>
      </w:r>
    </w:p>
    <w:p>
      <w:pPr>
        <w:spacing w:after="120"/>
      </w:pPr>
      <w:r>
        <w:rPr>
          <w:b w:val="0"/>
          <w:i w:val="0"/>
          <w:sz w:val="22"/>
        </w:rPr>
        <w:t>Pentru depunerea în SEAP, se utilizează următoarea structură:</w:t>
      </w:r>
    </w:p>
    <w:p>
      <w:pPr>
        <w:pStyle w:val="ListBullet"/>
      </w:pPr>
      <w:r>
        <w:rPr>
          <w:sz w:val="22"/>
        </w:rPr>
        <w:t>Plicul „Propunere Tehnică" — pachet complet: `1a-oferta.docx` (scrisoare înaintare + cuprins) + cele 16 capitole + `anexa_f_conformitate.docx` + Anexele A-I + K (PDF-uri).</w:t>
      </w:r>
    </w:p>
    <w:p>
      <w:pPr>
        <w:pStyle w:val="ListBullet"/>
      </w:pPr>
      <w:r>
        <w:rPr>
          <w:sz w:val="22"/>
        </w:rPr>
        <w:t>Plicul „Propunere Financiară" — separat, conform Anexa Financiară.</w:t>
      </w:r>
    </w:p>
    <w:p>
      <w:pPr>
        <w:pStyle w:val="ListBullet"/>
      </w:pPr>
      <w:r>
        <w:rPr>
          <w:sz w:val="22"/>
        </w:rPr>
        <w:t>Plicul „DUAE și documente eligibilitate" — DUAE + Anexa K.</w:t>
      </w:r>
    </w:p>
    <w:p>
      <w:pPr>
        <w:pStyle w:val="ListBullet"/>
      </w:pPr>
      <w:r>
        <w:rPr>
          <w:sz w:val="22"/>
        </w:rPr>
        <w:t>Anexa J (Video DEMO) — fișier separat în SEAP, link cross-referențiat în Anexa J.docx.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  <w:sz w:val="40"/>
        </w:rPr>
        <w:t>7. Semnătură reprezentant legal</w:t>
      </w:r>
    </w:p>
    <w:p/>
    <w:p>
      <w:pPr>
        <w:spacing w:after="160"/>
        <w:jc w:val="both"/>
      </w:pPr>
      <w:r>
        <w:rPr>
          <w:b w:val="0"/>
          <w:i w:val="0"/>
          <w:sz w:val="22"/>
        </w:rPr>
        <w:t>Toate documentele componente ale ofertei sunt semnate electronic calificat (eIDAS QES) de reprezentantul legal al &lt;LIDER&gt;, conform:</w:t>
      </w:r>
    </w:p>
    <w:p>
      <w:pPr>
        <w:pStyle w:val="ListBullet"/>
      </w:pPr>
      <w:r>
        <w:rPr>
          <w:sz w:val="22"/>
        </w:rPr>
        <w:t>Legea nr. 455/2001 — privind semnătura electronică (RO).</w:t>
      </w:r>
    </w:p>
    <w:p>
      <w:pPr>
        <w:pStyle w:val="ListBullet"/>
      </w:pPr>
      <w:r>
        <w:rPr>
          <w:sz w:val="22"/>
        </w:rPr>
        <w:t>Regulamentul (UE) 910/2014 — eIDAS, partea III — semnături electronice calificate.</w:t>
      </w:r>
    </w:p>
    <w:p>
      <w:pPr>
        <w:pStyle w:val="ListBullet"/>
      </w:pPr>
      <w:r>
        <w:rPr>
          <w:sz w:val="22"/>
        </w:rPr>
        <w:t>Furnizor de servicii de încredere acreditat (TSP): [De completat: certSIGN / DigiSign / Trans Sped — număr certificat QES valid].</w:t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  <w:sz w:val="20"/>
              </w:rPr>
              <w:t>Data depunere:</w:t>
            </w:r>
          </w:p>
        </w:tc>
        <w:tc>
          <w:tcPr>
            <w:tcW w:type="dxa" w:w="6236"/>
          </w:tcPr>
          <w:p>
            <w:r>
              <w:rPr>
                <w:i w:val="0"/>
                <w:sz w:val="22"/>
              </w:rPr>
              <w:t>[zz/05/2026]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  <w:sz w:val="20"/>
              </w:rPr>
              <w:t>Ofertant:</w:t>
            </w:r>
          </w:p>
        </w:tc>
        <w:tc>
          <w:tcPr>
            <w:tcW w:type="dxa" w:w="6236"/>
          </w:tcPr>
          <w:p>
            <w:r>
              <w:rPr>
                <w:i w:val="0"/>
                <w:sz w:val="22"/>
              </w:rPr>
              <w:t>&lt;LIDER&gt;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  <w:sz w:val="20"/>
              </w:rPr>
              <w:t>Reprezentant legal:</w:t>
            </w:r>
          </w:p>
        </w:tc>
        <w:tc>
          <w:tcPr>
            <w:tcW w:type="dxa" w:w="6236"/>
          </w:tcPr>
          <w:p>
            <w:r>
              <w:rPr>
                <w:i w:val="0"/>
                <w:sz w:val="22"/>
              </w:rPr>
              <w:t>[Nume Prenume] — [Funcție]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  <w:sz w:val="20"/>
              </w:rPr>
              <w:t>Semnătură (eIDAS QES):</w:t>
            </w:r>
          </w:p>
        </w:tc>
        <w:tc>
          <w:tcPr>
            <w:tcW w:type="dxa" w:w="6236"/>
          </w:tcPr>
          <w:p>
            <w:r>
              <w:rPr>
                <w:i/>
                <w:sz w:val="22"/>
              </w:rPr>
              <w:t>conform Legii 455/2001 + Reg. UE 910/2014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