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4A4" w:rsidRPr="002C126E" w:rsidRDefault="008F109E" w:rsidP="00CD68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26E">
        <w:rPr>
          <w:rFonts w:ascii="Times New Roman" w:hAnsi="Times New Roman" w:cs="Times New Roman"/>
          <w:b/>
          <w:sz w:val="28"/>
          <w:szCs w:val="28"/>
        </w:rPr>
        <w:t>VALUATION AND PORTFOLIO MANAGEMENT</w:t>
      </w:r>
    </w:p>
    <w:p w:rsidR="008F109E" w:rsidRDefault="008F109E" w:rsidP="00CD68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26E">
        <w:rPr>
          <w:rFonts w:ascii="Times New Roman" w:hAnsi="Times New Roman" w:cs="Times New Roman"/>
          <w:b/>
          <w:sz w:val="28"/>
          <w:szCs w:val="28"/>
        </w:rPr>
        <w:t>Quiz -2</w:t>
      </w:r>
      <w:r w:rsidR="00964BD3">
        <w:rPr>
          <w:rFonts w:ascii="Times New Roman" w:hAnsi="Times New Roman" w:cs="Times New Roman"/>
          <w:b/>
          <w:sz w:val="28"/>
          <w:szCs w:val="28"/>
        </w:rPr>
        <w:t xml:space="preserve"> (VARIANT I)</w:t>
      </w:r>
    </w:p>
    <w:p w:rsidR="006F78A8" w:rsidRPr="001556A5" w:rsidRDefault="006F78A8" w:rsidP="006F78A8">
      <w:pPr>
        <w:contextualSpacing/>
        <w:rPr>
          <w:rFonts w:ascii="Arial" w:hAnsi="Arial" w:cs="Arial"/>
          <w:b/>
        </w:rPr>
      </w:pPr>
      <w:r w:rsidRPr="001556A5">
        <w:rPr>
          <w:rFonts w:ascii="Arial" w:hAnsi="Arial" w:cs="Arial"/>
          <w:b/>
        </w:rPr>
        <w:t xml:space="preserve">Time: </w:t>
      </w:r>
      <w:r w:rsidR="00A32C7E">
        <w:rPr>
          <w:rFonts w:ascii="Arial" w:hAnsi="Arial" w:cs="Arial"/>
          <w:b/>
        </w:rPr>
        <w:t>20</w:t>
      </w:r>
      <w:r w:rsidRPr="001556A5">
        <w:rPr>
          <w:rFonts w:ascii="Arial" w:hAnsi="Arial" w:cs="Arial"/>
          <w:b/>
        </w:rPr>
        <w:t xml:space="preserve"> minutes</w:t>
      </w:r>
      <w:r w:rsidRPr="001556A5">
        <w:rPr>
          <w:rFonts w:ascii="Arial" w:hAnsi="Arial" w:cs="Arial"/>
          <w:b/>
        </w:rPr>
        <w:tab/>
      </w:r>
      <w:r w:rsidRPr="001556A5">
        <w:rPr>
          <w:rFonts w:ascii="Arial" w:hAnsi="Arial" w:cs="Arial"/>
          <w:b/>
        </w:rPr>
        <w:tab/>
      </w:r>
      <w:r w:rsidRPr="001556A5">
        <w:rPr>
          <w:rFonts w:ascii="Arial" w:hAnsi="Arial" w:cs="Arial"/>
          <w:b/>
        </w:rPr>
        <w:tab/>
      </w:r>
      <w:r w:rsidRPr="001556A5">
        <w:rPr>
          <w:rFonts w:ascii="Arial" w:hAnsi="Arial" w:cs="Arial"/>
          <w:b/>
        </w:rPr>
        <w:tab/>
      </w:r>
      <w:r w:rsidRPr="001556A5">
        <w:rPr>
          <w:rFonts w:ascii="Arial" w:hAnsi="Arial" w:cs="Arial"/>
          <w:b/>
        </w:rPr>
        <w:tab/>
      </w:r>
      <w:r w:rsidRPr="001556A5">
        <w:rPr>
          <w:rFonts w:ascii="Arial" w:hAnsi="Arial" w:cs="Arial"/>
          <w:b/>
        </w:rPr>
        <w:tab/>
      </w:r>
      <w:r w:rsidRPr="001556A5">
        <w:rPr>
          <w:rFonts w:ascii="Arial" w:hAnsi="Arial" w:cs="Arial"/>
          <w:b/>
        </w:rPr>
        <w:tab/>
      </w:r>
      <w:r w:rsidRPr="001556A5">
        <w:rPr>
          <w:rFonts w:ascii="Arial" w:hAnsi="Arial" w:cs="Arial"/>
          <w:b/>
        </w:rPr>
        <w:tab/>
        <w:t xml:space="preserve">Max. Marks </w:t>
      </w:r>
      <w:r w:rsidR="00A32C7E">
        <w:rPr>
          <w:rFonts w:ascii="Arial" w:hAnsi="Arial" w:cs="Arial"/>
          <w:b/>
        </w:rPr>
        <w:t>18</w:t>
      </w:r>
    </w:p>
    <w:p w:rsidR="00A32C7E" w:rsidRDefault="00A32C7E" w:rsidP="006F78A8">
      <w:pPr>
        <w:contextualSpacing/>
        <w:rPr>
          <w:rFonts w:ascii="Times New Roman" w:hAnsi="Times New Roman" w:cs="Times New Roman"/>
        </w:rPr>
      </w:pPr>
    </w:p>
    <w:p w:rsidR="006F78A8" w:rsidRPr="00A32C7E" w:rsidRDefault="006F78A8" w:rsidP="006F78A8">
      <w:pPr>
        <w:contextualSpacing/>
        <w:rPr>
          <w:rFonts w:ascii="Times New Roman" w:hAnsi="Times New Roman" w:cs="Times New Roman"/>
        </w:rPr>
      </w:pPr>
      <w:bookmarkStart w:id="0" w:name="_GoBack"/>
      <w:r w:rsidRPr="00A32C7E">
        <w:rPr>
          <w:rFonts w:ascii="Times New Roman" w:hAnsi="Times New Roman" w:cs="Times New Roman"/>
        </w:rPr>
        <w:t>Instructions for students:</w:t>
      </w:r>
      <w:r w:rsidR="00A32C7E" w:rsidRPr="00A32C7E">
        <w:rPr>
          <w:rFonts w:ascii="Times New Roman" w:hAnsi="Times New Roman" w:cs="Times New Roman"/>
        </w:rPr>
        <w:t xml:space="preserve"> Select only one answer from the alternatives given. Each question carries 2 marks</w:t>
      </w:r>
      <w:r w:rsidR="00921BB0">
        <w:rPr>
          <w:rFonts w:ascii="Times New Roman" w:hAnsi="Times New Roman" w:cs="Times New Roman"/>
        </w:rPr>
        <w:t>. There is no negative marking.</w:t>
      </w:r>
    </w:p>
    <w:bookmarkEnd w:id="0"/>
    <w:p w:rsidR="00A32C7E" w:rsidRDefault="00A32C7E" w:rsidP="00A32C7E">
      <w:pPr>
        <w:spacing w:after="0" w:line="240" w:lineRule="auto"/>
        <w:contextualSpacing/>
        <w:rPr>
          <w:rFonts w:ascii="Arial" w:hAnsi="Arial" w:cs="Arial"/>
        </w:rPr>
      </w:pPr>
    </w:p>
    <w:p w:rsidR="008F109E" w:rsidRPr="00964BD3" w:rsidRDefault="008F109E" w:rsidP="008F1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Which set of conditions will result in a bond with the greatest price volatility</w:t>
      </w:r>
      <w:r w:rsidR="00D24523" w:rsidRPr="00964BD3">
        <w:rPr>
          <w:rFonts w:ascii="Times New Roman" w:hAnsi="Times New Roman" w:cs="Times New Roman"/>
        </w:rPr>
        <w:t>?</w:t>
      </w:r>
    </w:p>
    <w:p w:rsidR="00D24523" w:rsidRPr="00964BD3" w:rsidRDefault="00D24523" w:rsidP="00D24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A high coupon and a short maturity</w:t>
      </w:r>
    </w:p>
    <w:p w:rsidR="00D24523" w:rsidRPr="00964BD3" w:rsidRDefault="00D24523" w:rsidP="00D24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A high coupon and a long maturity</w:t>
      </w:r>
    </w:p>
    <w:p w:rsidR="00D24523" w:rsidRPr="00964BD3" w:rsidRDefault="00D24523" w:rsidP="00D24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A low coupon and a short maturity</w:t>
      </w:r>
    </w:p>
    <w:p w:rsidR="00D24523" w:rsidRPr="00964BD3" w:rsidRDefault="00D24523" w:rsidP="00D24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A low coupon and a long maturity</w:t>
      </w:r>
    </w:p>
    <w:p w:rsidR="00D24523" w:rsidRPr="00964BD3" w:rsidRDefault="00D24523" w:rsidP="00D24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 xml:space="preserve">An investor who expects declining </w:t>
      </w:r>
      <w:r w:rsidR="00F03B07" w:rsidRPr="00964BD3">
        <w:rPr>
          <w:rFonts w:ascii="Times New Roman" w:hAnsi="Times New Roman" w:cs="Times New Roman"/>
        </w:rPr>
        <w:t>interest</w:t>
      </w:r>
      <w:r w:rsidRPr="00964BD3">
        <w:rPr>
          <w:rFonts w:ascii="Times New Roman" w:hAnsi="Times New Roman" w:cs="Times New Roman"/>
        </w:rPr>
        <w:t xml:space="preserve"> rates would be likely to purchase a bond that has a ____________ coupon and a ____________ term to maturity.</w:t>
      </w:r>
    </w:p>
    <w:p w:rsidR="00D24523" w:rsidRPr="00964BD3" w:rsidRDefault="00D24523" w:rsidP="00D24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Low, long</w:t>
      </w:r>
    </w:p>
    <w:p w:rsidR="00D24523" w:rsidRPr="00964BD3" w:rsidRDefault="00D24523" w:rsidP="00D24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High, short</w:t>
      </w:r>
    </w:p>
    <w:p w:rsidR="00D24523" w:rsidRPr="00964BD3" w:rsidRDefault="00D24523" w:rsidP="00D24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High, long</w:t>
      </w:r>
    </w:p>
    <w:p w:rsidR="00D24523" w:rsidRDefault="00D24523" w:rsidP="00D24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Low short</w:t>
      </w:r>
    </w:p>
    <w:p w:rsidR="00D24523" w:rsidRPr="00964BD3" w:rsidRDefault="00D24523" w:rsidP="00D24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As compared with bonds selling at par, deep discount bonds will have:</w:t>
      </w:r>
    </w:p>
    <w:p w:rsidR="00D24523" w:rsidRPr="00964BD3" w:rsidRDefault="00D24523" w:rsidP="00D24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Greater reinvestment risk</w:t>
      </w:r>
    </w:p>
    <w:p w:rsidR="00D24523" w:rsidRPr="00964BD3" w:rsidRDefault="00D24523" w:rsidP="00D24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Greater price volatility</w:t>
      </w:r>
    </w:p>
    <w:p w:rsidR="00D24523" w:rsidRPr="00964BD3" w:rsidRDefault="00D24523" w:rsidP="00D24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Less call protection</w:t>
      </w:r>
    </w:p>
    <w:p w:rsidR="00D24523" w:rsidRDefault="00D24523" w:rsidP="00D24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More call protection</w:t>
      </w:r>
    </w:p>
    <w:p w:rsidR="002A6F5D" w:rsidRPr="00964BD3" w:rsidRDefault="002A6F5D" w:rsidP="002A6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A bond with a call feature</w:t>
      </w:r>
    </w:p>
    <w:p w:rsidR="002A6F5D" w:rsidRPr="00964BD3" w:rsidRDefault="002A6F5D" w:rsidP="002A6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Is attractive because the immediate receipt of principal plus premium produces a high return</w:t>
      </w:r>
    </w:p>
    <w:p w:rsidR="002A6F5D" w:rsidRPr="00964BD3" w:rsidRDefault="002A6F5D" w:rsidP="002A6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Is more apt to be called when interest rates are high because the interest saving will be greater</w:t>
      </w:r>
    </w:p>
    <w:p w:rsidR="002A6F5D" w:rsidRPr="00964BD3" w:rsidRDefault="002A6F5D" w:rsidP="002A6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Will usually have a higher yield to maturity than a similar noncallable bond.</w:t>
      </w:r>
    </w:p>
    <w:p w:rsidR="002A6F5D" w:rsidRPr="00964BD3" w:rsidRDefault="002A6F5D" w:rsidP="002A6F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Will always be called at a premium</w:t>
      </w:r>
    </w:p>
    <w:p w:rsidR="002A6F5D" w:rsidRPr="00964BD3" w:rsidRDefault="002A6F5D" w:rsidP="002A6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In which one of the following cases is the bond selling at a discount</w:t>
      </w:r>
    </w:p>
    <w:p w:rsidR="00D24523" w:rsidRPr="00964BD3" w:rsidRDefault="002A6F5D" w:rsidP="002A6F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Coupon rate is greater than current yield, which is greater than yield to maturity</w:t>
      </w:r>
    </w:p>
    <w:p w:rsidR="002A6F5D" w:rsidRPr="00964BD3" w:rsidRDefault="002A6F5D" w:rsidP="002A6F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Coupon rate, current yield and yield and yield to maturity are same.</w:t>
      </w:r>
    </w:p>
    <w:p w:rsidR="002A6F5D" w:rsidRPr="00964BD3" w:rsidRDefault="002A6F5D" w:rsidP="002A6F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Coupon rate is less than current yield, which is less than yield to maturity</w:t>
      </w:r>
    </w:p>
    <w:p w:rsidR="002A6F5D" w:rsidRPr="00964BD3" w:rsidRDefault="002A6F5D" w:rsidP="002A6F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Coupon rate is less than current yield, which is greater than yield to maturity.</w:t>
      </w:r>
    </w:p>
    <w:p w:rsidR="002A6F5D" w:rsidRPr="00964BD3" w:rsidRDefault="002A6F5D" w:rsidP="002A6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 xml:space="preserve">Consider a five year bond with a 10% coupon selling </w:t>
      </w:r>
      <w:r w:rsidR="00850B88" w:rsidRPr="00964BD3">
        <w:rPr>
          <w:rFonts w:ascii="Times New Roman" w:hAnsi="Times New Roman" w:cs="Times New Roman"/>
        </w:rPr>
        <w:t>at a yield to maturity of 8%. If interest rates remain constant, one year from now the price of the bond will be:</w:t>
      </w:r>
    </w:p>
    <w:p w:rsidR="00850B88" w:rsidRPr="00964BD3" w:rsidRDefault="00850B88" w:rsidP="00850B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Higher</w:t>
      </w:r>
    </w:p>
    <w:p w:rsidR="00850B88" w:rsidRPr="00964BD3" w:rsidRDefault="00850B88" w:rsidP="00850B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Lower</w:t>
      </w:r>
    </w:p>
    <w:p w:rsidR="00850B88" w:rsidRPr="00964BD3" w:rsidRDefault="00850B88" w:rsidP="00850B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4BD3">
        <w:rPr>
          <w:rFonts w:ascii="Times New Roman" w:hAnsi="Times New Roman" w:cs="Times New Roman"/>
        </w:rPr>
        <w:t>The same</w:t>
      </w:r>
    </w:p>
    <w:p w:rsidR="00850B88" w:rsidRPr="00964BD3" w:rsidRDefault="00850B88" w:rsidP="00850B88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964BD3">
        <w:rPr>
          <w:rFonts w:ascii="Times New Roman" w:hAnsi="Times New Roman" w:cs="Times New Roman"/>
        </w:rPr>
        <w:t xml:space="preserve">At Par </w:t>
      </w:r>
    </w:p>
    <w:p w:rsidR="008F109E" w:rsidRPr="00964BD3" w:rsidRDefault="002A69E2" w:rsidP="002A69E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lastRenderedPageBreak/>
        <w:t xml:space="preserve">A fund </w:t>
      </w:r>
      <w:r w:rsidR="00F03B07" w:rsidRPr="00964BD3">
        <w:rPr>
          <w:rFonts w:ascii="Times New Roman" w:hAnsi="Times New Roman"/>
        </w:rPr>
        <w:t>manager has</w:t>
      </w:r>
      <w:r w:rsidRPr="00964BD3">
        <w:rPr>
          <w:rFonts w:ascii="Times New Roman" w:hAnsi="Times New Roman"/>
        </w:rPr>
        <w:t xml:space="preserve"> to pay Rs.1 million, Rs.2 million and Rs.1 million at the end of each of the next three years respectively. Find the duration of the </w:t>
      </w:r>
      <w:r w:rsidR="00F03B07" w:rsidRPr="00964BD3">
        <w:rPr>
          <w:rFonts w:ascii="Times New Roman" w:hAnsi="Times New Roman"/>
        </w:rPr>
        <w:t>fund manager’s obligations</w:t>
      </w:r>
      <w:r w:rsidRPr="00964BD3">
        <w:rPr>
          <w:rFonts w:ascii="Times New Roman" w:hAnsi="Times New Roman"/>
        </w:rPr>
        <w:t xml:space="preserve"> if the interest rate is 10% annually?</w:t>
      </w:r>
    </w:p>
    <w:p w:rsidR="002A69E2" w:rsidRPr="00964BD3" w:rsidRDefault="002A69E2" w:rsidP="002A69E2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1.9524</w:t>
      </w:r>
    </w:p>
    <w:p w:rsidR="002A69E2" w:rsidRPr="00964BD3" w:rsidRDefault="002A69E2" w:rsidP="002A69E2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2.5924</w:t>
      </w:r>
    </w:p>
    <w:p w:rsidR="002A69E2" w:rsidRPr="00964BD3" w:rsidRDefault="002A69E2" w:rsidP="002A69E2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1.7562</w:t>
      </w:r>
    </w:p>
    <w:p w:rsidR="002A69E2" w:rsidRPr="00964BD3" w:rsidRDefault="002A69E2" w:rsidP="002A69E2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2.3242</w:t>
      </w:r>
    </w:p>
    <w:p w:rsidR="002A69E2" w:rsidRPr="00964BD3" w:rsidRDefault="002A69E2" w:rsidP="002A69E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You own a fixed income asset with a duration of five years. If the level of interest rates which is currently 8% goes down by 10 basis points how much do you expect the asset price to change?</w:t>
      </w:r>
    </w:p>
    <w:p w:rsidR="002A69E2" w:rsidRPr="00964BD3" w:rsidRDefault="002A69E2" w:rsidP="002A69E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0.463% increase</w:t>
      </w:r>
    </w:p>
    <w:p w:rsidR="002A69E2" w:rsidRPr="00964BD3" w:rsidRDefault="002A69E2" w:rsidP="002A69E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0.463 % decrease</w:t>
      </w:r>
    </w:p>
    <w:p w:rsidR="002A69E2" w:rsidRPr="00964BD3" w:rsidRDefault="002A69E2" w:rsidP="002A69E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0.50% increase</w:t>
      </w:r>
    </w:p>
    <w:p w:rsidR="002A69E2" w:rsidRPr="00964BD3" w:rsidRDefault="002A69E2" w:rsidP="002A69E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0.50 % decrease</w:t>
      </w:r>
    </w:p>
    <w:p w:rsidR="00E16B8D" w:rsidRPr="00964BD3" w:rsidRDefault="00E16B8D" w:rsidP="00E16B8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A one</w:t>
      </w:r>
      <w:r w:rsidR="00605DDA">
        <w:rPr>
          <w:rFonts w:ascii="Times New Roman" w:hAnsi="Times New Roman"/>
        </w:rPr>
        <w:t xml:space="preserve"> year </w:t>
      </w:r>
      <w:r w:rsidRPr="00964BD3">
        <w:rPr>
          <w:rFonts w:ascii="Times New Roman" w:hAnsi="Times New Roman"/>
        </w:rPr>
        <w:t>bond with an annual coupon rate of 4.8% sells for Rs.970. What are the bond’s current yield (CY),   nominal yield (NY) and yield to maturity (YTM) respectively?</w:t>
      </w:r>
    </w:p>
    <w:p w:rsidR="00E16B8D" w:rsidRPr="00964BD3" w:rsidRDefault="00E16B8D" w:rsidP="00E16B8D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CY = 4.8%; NY=4.94%; YTM = 8.04%</w:t>
      </w:r>
    </w:p>
    <w:p w:rsidR="00E16B8D" w:rsidRPr="00964BD3" w:rsidRDefault="00E16B8D" w:rsidP="00E16B8D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CY = 4.94%; NY=4.94%; YTM = 4.8%</w:t>
      </w:r>
    </w:p>
    <w:p w:rsidR="00E16B8D" w:rsidRPr="00964BD3" w:rsidRDefault="00E16B8D" w:rsidP="00E16B8D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CY = 4.8%; NY=4.8%; YTM = 8.04%</w:t>
      </w:r>
    </w:p>
    <w:p w:rsidR="001556A5" w:rsidRDefault="00E16B8D" w:rsidP="00964BD3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964BD3">
        <w:rPr>
          <w:rFonts w:ascii="Times New Roman" w:hAnsi="Times New Roman"/>
        </w:rPr>
        <w:t>CY = 4.94%; NY=4.8%; YTM = 8.04%</w:t>
      </w:r>
    </w:p>
    <w:p w:rsidR="00964BD3" w:rsidRPr="001556A5" w:rsidRDefault="00964BD3" w:rsidP="001556A5">
      <w:pPr>
        <w:rPr>
          <w:rFonts w:ascii="Times New Roman" w:hAnsi="Times New Roman"/>
        </w:rPr>
      </w:pPr>
    </w:p>
    <w:p w:rsidR="00964BD3" w:rsidRPr="00A32C7E" w:rsidRDefault="00A32C7E" w:rsidP="00A32C7E">
      <w:pPr>
        <w:pStyle w:val="Header"/>
        <w:contextualSpacing/>
        <w:jc w:val="center"/>
        <w:rPr>
          <w:b/>
          <w:sz w:val="28"/>
          <w:szCs w:val="28"/>
        </w:rPr>
      </w:pPr>
      <w:r w:rsidRPr="00A32C7E">
        <w:rPr>
          <w:b/>
          <w:sz w:val="28"/>
          <w:szCs w:val="28"/>
        </w:rPr>
        <w:t>RESPONSE SHEET</w:t>
      </w:r>
    </w:p>
    <w:p w:rsidR="00964BD3" w:rsidRPr="00964BD3" w:rsidRDefault="00964BD3" w:rsidP="00964BD3">
      <w:pPr>
        <w:pStyle w:val="Header"/>
        <w:contextualSpacing/>
        <w:rPr>
          <w:sz w:val="22"/>
          <w:szCs w:val="22"/>
        </w:rPr>
      </w:pPr>
    </w:p>
    <w:p w:rsidR="00964BD3" w:rsidRPr="00964BD3" w:rsidRDefault="00964BD3" w:rsidP="00964BD3">
      <w:pPr>
        <w:pStyle w:val="Header"/>
        <w:contextualSpacing/>
        <w:rPr>
          <w:sz w:val="22"/>
          <w:szCs w:val="22"/>
        </w:rPr>
      </w:pPr>
      <w:r w:rsidRPr="00964BD3">
        <w:rPr>
          <w:sz w:val="22"/>
          <w:szCs w:val="22"/>
        </w:rPr>
        <w:t>Roll No.</w:t>
      </w:r>
      <w:r w:rsidRPr="00964BD3">
        <w:rPr>
          <w:sz w:val="22"/>
          <w:szCs w:val="22"/>
        </w:rPr>
        <w:tab/>
      </w:r>
      <w:r w:rsidRPr="00964BD3">
        <w:rPr>
          <w:sz w:val="22"/>
          <w:szCs w:val="22"/>
        </w:rPr>
        <w:tab/>
        <w:t>Name _______________________________________</w:t>
      </w:r>
      <w:r w:rsidRPr="00964BD3">
        <w:rPr>
          <w:sz w:val="22"/>
          <w:szCs w:val="22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964BD3" w:rsidRPr="00964BD3" w:rsidTr="00AA025A">
        <w:tc>
          <w:tcPr>
            <w:tcW w:w="432" w:type="dxa"/>
          </w:tcPr>
          <w:p w:rsidR="00964BD3" w:rsidRPr="00964BD3" w:rsidRDefault="00964BD3" w:rsidP="00964BD3">
            <w:pPr>
              <w:pStyle w:val="Header"/>
              <w:contextualSpacing/>
              <w:rPr>
                <w:sz w:val="22"/>
                <w:szCs w:val="22"/>
              </w:rPr>
            </w:pPr>
          </w:p>
        </w:tc>
        <w:tc>
          <w:tcPr>
            <w:tcW w:w="432" w:type="dxa"/>
          </w:tcPr>
          <w:p w:rsidR="00964BD3" w:rsidRPr="00964BD3" w:rsidRDefault="00964BD3" w:rsidP="00964BD3">
            <w:pPr>
              <w:pStyle w:val="Header"/>
              <w:contextualSpacing/>
              <w:rPr>
                <w:sz w:val="22"/>
                <w:szCs w:val="22"/>
              </w:rPr>
            </w:pPr>
          </w:p>
        </w:tc>
        <w:tc>
          <w:tcPr>
            <w:tcW w:w="432" w:type="dxa"/>
          </w:tcPr>
          <w:p w:rsidR="00964BD3" w:rsidRPr="00964BD3" w:rsidRDefault="00964BD3" w:rsidP="00964BD3">
            <w:pPr>
              <w:pStyle w:val="Header"/>
              <w:contextualSpacing/>
              <w:rPr>
                <w:sz w:val="22"/>
                <w:szCs w:val="22"/>
              </w:rPr>
            </w:pPr>
          </w:p>
        </w:tc>
        <w:tc>
          <w:tcPr>
            <w:tcW w:w="432" w:type="dxa"/>
          </w:tcPr>
          <w:p w:rsidR="00964BD3" w:rsidRPr="00964BD3" w:rsidRDefault="00964BD3" w:rsidP="00964BD3">
            <w:pPr>
              <w:pStyle w:val="Header"/>
              <w:contextualSpacing/>
              <w:rPr>
                <w:sz w:val="22"/>
                <w:szCs w:val="22"/>
              </w:rPr>
            </w:pPr>
          </w:p>
        </w:tc>
        <w:tc>
          <w:tcPr>
            <w:tcW w:w="432" w:type="dxa"/>
          </w:tcPr>
          <w:p w:rsidR="00964BD3" w:rsidRPr="00964BD3" w:rsidRDefault="00964BD3" w:rsidP="00964BD3">
            <w:pPr>
              <w:pStyle w:val="Header"/>
              <w:contextualSpacing/>
              <w:rPr>
                <w:sz w:val="22"/>
                <w:szCs w:val="22"/>
              </w:rPr>
            </w:pPr>
          </w:p>
        </w:tc>
        <w:tc>
          <w:tcPr>
            <w:tcW w:w="432" w:type="dxa"/>
          </w:tcPr>
          <w:p w:rsidR="00964BD3" w:rsidRPr="00964BD3" w:rsidRDefault="00964BD3" w:rsidP="00964BD3">
            <w:pPr>
              <w:pStyle w:val="Header"/>
              <w:contextualSpacing/>
              <w:rPr>
                <w:sz w:val="22"/>
                <w:szCs w:val="22"/>
              </w:rPr>
            </w:pPr>
          </w:p>
        </w:tc>
        <w:tc>
          <w:tcPr>
            <w:tcW w:w="432" w:type="dxa"/>
          </w:tcPr>
          <w:p w:rsidR="00964BD3" w:rsidRPr="00964BD3" w:rsidRDefault="00964BD3" w:rsidP="00964BD3">
            <w:pPr>
              <w:pStyle w:val="Header"/>
              <w:contextualSpacing/>
              <w:rPr>
                <w:sz w:val="22"/>
                <w:szCs w:val="22"/>
              </w:rPr>
            </w:pPr>
          </w:p>
        </w:tc>
        <w:tc>
          <w:tcPr>
            <w:tcW w:w="432" w:type="dxa"/>
          </w:tcPr>
          <w:p w:rsidR="00964BD3" w:rsidRPr="00964BD3" w:rsidRDefault="00964BD3" w:rsidP="00964BD3">
            <w:pPr>
              <w:pStyle w:val="Header"/>
              <w:contextualSpacing/>
              <w:rPr>
                <w:sz w:val="22"/>
                <w:szCs w:val="22"/>
              </w:rPr>
            </w:pPr>
          </w:p>
        </w:tc>
        <w:tc>
          <w:tcPr>
            <w:tcW w:w="432" w:type="dxa"/>
          </w:tcPr>
          <w:p w:rsidR="00964BD3" w:rsidRPr="00964BD3" w:rsidRDefault="00964BD3" w:rsidP="00964BD3">
            <w:pPr>
              <w:pStyle w:val="Header"/>
              <w:contextualSpacing/>
              <w:rPr>
                <w:sz w:val="22"/>
                <w:szCs w:val="22"/>
              </w:rPr>
            </w:pPr>
          </w:p>
        </w:tc>
      </w:tr>
    </w:tbl>
    <w:p w:rsidR="00964BD3" w:rsidRDefault="00964BD3" w:rsidP="00964BD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4932"/>
      </w:tblGrid>
      <w:tr w:rsidR="00964BD3" w:rsidRPr="003B00D4" w:rsidTr="00AA025A">
        <w:tc>
          <w:tcPr>
            <w:tcW w:w="2495" w:type="dxa"/>
          </w:tcPr>
          <w:p w:rsidR="00964BD3" w:rsidRPr="003B00D4" w:rsidRDefault="00964BD3" w:rsidP="00AA025A">
            <w:pPr>
              <w:contextualSpacing/>
              <w:rPr>
                <w:b/>
                <w:sz w:val="28"/>
                <w:szCs w:val="28"/>
              </w:rPr>
            </w:pPr>
            <w:r w:rsidRPr="003B00D4">
              <w:rPr>
                <w:b/>
                <w:sz w:val="28"/>
                <w:szCs w:val="28"/>
              </w:rPr>
              <w:t>Question Number</w:t>
            </w:r>
          </w:p>
        </w:tc>
        <w:tc>
          <w:tcPr>
            <w:tcW w:w="4932" w:type="dxa"/>
          </w:tcPr>
          <w:p w:rsidR="00964BD3" w:rsidRPr="003B00D4" w:rsidRDefault="00964BD3" w:rsidP="00AA025A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3B00D4">
              <w:rPr>
                <w:b/>
                <w:sz w:val="28"/>
                <w:szCs w:val="28"/>
              </w:rPr>
              <w:t>RESPONSE</w:t>
            </w:r>
          </w:p>
        </w:tc>
      </w:tr>
      <w:tr w:rsidR="00964BD3" w:rsidRPr="003B00D4" w:rsidTr="00AA025A">
        <w:tc>
          <w:tcPr>
            <w:tcW w:w="2495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3B00D4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932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964BD3" w:rsidRPr="003B00D4" w:rsidTr="00AA025A">
        <w:tc>
          <w:tcPr>
            <w:tcW w:w="2495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3B00D4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932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964BD3" w:rsidRPr="003B00D4" w:rsidTr="00AA025A">
        <w:tc>
          <w:tcPr>
            <w:tcW w:w="2495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3B00D4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932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964BD3" w:rsidRPr="003B00D4" w:rsidTr="00AA025A">
        <w:tc>
          <w:tcPr>
            <w:tcW w:w="2495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3B00D4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4932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964BD3" w:rsidRPr="003B00D4" w:rsidTr="00AA025A">
        <w:tc>
          <w:tcPr>
            <w:tcW w:w="2495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3B00D4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4932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964BD3" w:rsidRPr="003B00D4" w:rsidTr="00AA025A">
        <w:tc>
          <w:tcPr>
            <w:tcW w:w="2495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3B00D4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4932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964BD3" w:rsidRPr="003B00D4" w:rsidTr="00AA025A">
        <w:tc>
          <w:tcPr>
            <w:tcW w:w="2495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3B00D4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4932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964BD3" w:rsidRPr="003B00D4" w:rsidTr="00AA025A">
        <w:tc>
          <w:tcPr>
            <w:tcW w:w="2495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3B00D4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4932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  <w:tr w:rsidR="00964BD3" w:rsidRPr="003B00D4" w:rsidTr="00AA025A">
        <w:tc>
          <w:tcPr>
            <w:tcW w:w="2495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3B00D4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4932" w:type="dxa"/>
            <w:vAlign w:val="center"/>
          </w:tcPr>
          <w:p w:rsidR="00964BD3" w:rsidRPr="003B00D4" w:rsidRDefault="00964BD3" w:rsidP="00964BD3">
            <w:pPr>
              <w:spacing w:before="120" w:after="120" w:line="360" w:lineRule="auto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64BD3" w:rsidRPr="00964BD3" w:rsidRDefault="00964BD3" w:rsidP="00A32C7E"/>
    <w:sectPr w:rsidR="00964BD3" w:rsidRPr="00964BD3" w:rsidSect="008E64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5B" w:rsidRDefault="0015605B" w:rsidP="001556A5">
      <w:pPr>
        <w:spacing w:after="0" w:line="240" w:lineRule="auto"/>
      </w:pPr>
      <w:r>
        <w:separator/>
      </w:r>
    </w:p>
  </w:endnote>
  <w:endnote w:type="continuationSeparator" w:id="0">
    <w:p w:rsidR="0015605B" w:rsidRDefault="0015605B" w:rsidP="0015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5B" w:rsidRDefault="0015605B" w:rsidP="001556A5">
      <w:pPr>
        <w:spacing w:after="0" w:line="240" w:lineRule="auto"/>
      </w:pPr>
      <w:r>
        <w:separator/>
      </w:r>
    </w:p>
  </w:footnote>
  <w:footnote w:type="continuationSeparator" w:id="0">
    <w:p w:rsidR="0015605B" w:rsidRDefault="0015605B" w:rsidP="00155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5205"/>
      <w:docPartObj>
        <w:docPartGallery w:val="Page Numbers (Margins)"/>
        <w:docPartUnique/>
      </w:docPartObj>
    </w:sdtPr>
    <w:sdtEndPr/>
    <w:sdtContent>
      <w:p w:rsidR="001556A5" w:rsidRDefault="0015605B">
        <w:pPr>
          <w:pStyle w:val="Header"/>
        </w:pPr>
        <w:r>
          <w:rPr>
            <w:noProof/>
            <w:lang w:eastAsia="zh-TW"/>
          </w:rPr>
          <w:pict>
            <v:rect id="_x0000_s2050" style="position:absolute;margin-left:-28.05pt;margin-top:-50.25pt;width:64.75pt;height:34.15pt;z-index:251660288;mso-width-percent:900;mso-position-horizontal-relative:right-margin-area;mso-position-vertical-relative:margin;mso-width-percent:900;mso-width-relative:right-margin-area" o:allowincell="f" stroked="f">
              <v:textbox style="mso-fit-shape-to-text:t" inset="0,,0">
                <w:txbxContent>
                  <w:p w:rsidR="001556A5" w:rsidRDefault="001556A5">
                    <w:pPr>
                      <w:pBdr>
                        <w:top w:val="single" w:sz="4" w:space="1" w:color="D8D8D8" w:themeColor="background1" w:themeShade="D8"/>
                      </w:pBdr>
                    </w:pPr>
                    <w:r>
                      <w:t xml:space="preserve">Page | </w:t>
                    </w:r>
                    <w:r w:rsidR="00C838E5">
                      <w:fldChar w:fldCharType="begin"/>
                    </w:r>
                    <w:r w:rsidR="00C838E5">
                      <w:instrText xml:space="preserve"> PAGE   \* MERGEFORMAT </w:instrText>
                    </w:r>
                    <w:r w:rsidR="00C838E5">
                      <w:fldChar w:fldCharType="separate"/>
                    </w:r>
                    <w:r w:rsidR="00921BB0">
                      <w:rPr>
                        <w:noProof/>
                      </w:rPr>
                      <w:t>1</w:t>
                    </w:r>
                    <w:r w:rsidR="00C838E5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8B8"/>
    <w:multiLevelType w:val="hybridMultilevel"/>
    <w:tmpl w:val="E3A6038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555D65"/>
    <w:multiLevelType w:val="hybridMultilevel"/>
    <w:tmpl w:val="A762E30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2D157E"/>
    <w:multiLevelType w:val="hybridMultilevel"/>
    <w:tmpl w:val="ED6248A2"/>
    <w:lvl w:ilvl="0" w:tplc="FA9E2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3877"/>
    <w:multiLevelType w:val="hybridMultilevel"/>
    <w:tmpl w:val="717E87F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273A5E"/>
    <w:multiLevelType w:val="hybridMultilevel"/>
    <w:tmpl w:val="629C651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DA0EF1"/>
    <w:multiLevelType w:val="hybridMultilevel"/>
    <w:tmpl w:val="B9629E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B72363"/>
    <w:multiLevelType w:val="hybridMultilevel"/>
    <w:tmpl w:val="31BEAD5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222D9D"/>
    <w:multiLevelType w:val="hybridMultilevel"/>
    <w:tmpl w:val="FEF2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A303D"/>
    <w:multiLevelType w:val="hybridMultilevel"/>
    <w:tmpl w:val="E6CA68A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C96D18"/>
    <w:multiLevelType w:val="hybridMultilevel"/>
    <w:tmpl w:val="670C9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6D25FA"/>
    <w:multiLevelType w:val="hybridMultilevel"/>
    <w:tmpl w:val="E8DCEDD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15426D"/>
    <w:multiLevelType w:val="hybridMultilevel"/>
    <w:tmpl w:val="25A6C64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5E7B68"/>
    <w:multiLevelType w:val="hybridMultilevel"/>
    <w:tmpl w:val="4314C8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02585"/>
    <w:multiLevelType w:val="hybridMultilevel"/>
    <w:tmpl w:val="FAC6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E6529"/>
    <w:multiLevelType w:val="hybridMultilevel"/>
    <w:tmpl w:val="4314C8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1375F"/>
    <w:multiLevelType w:val="hybridMultilevel"/>
    <w:tmpl w:val="39A8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6"/>
  </w:num>
  <w:num w:numId="8">
    <w:abstractNumId w:val="15"/>
  </w:num>
  <w:num w:numId="9">
    <w:abstractNumId w:val="9"/>
  </w:num>
  <w:num w:numId="10">
    <w:abstractNumId w:val="4"/>
  </w:num>
  <w:num w:numId="11">
    <w:abstractNumId w:val="0"/>
  </w:num>
  <w:num w:numId="12">
    <w:abstractNumId w:val="1"/>
  </w:num>
  <w:num w:numId="13">
    <w:abstractNumId w:val="7"/>
  </w:num>
  <w:num w:numId="14">
    <w:abstractNumId w:val="1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09E"/>
    <w:rsid w:val="000B596D"/>
    <w:rsid w:val="001556A5"/>
    <w:rsid w:val="0015605B"/>
    <w:rsid w:val="00281CEB"/>
    <w:rsid w:val="002A69E2"/>
    <w:rsid w:val="002A6F5D"/>
    <w:rsid w:val="002B6EEB"/>
    <w:rsid w:val="002C126E"/>
    <w:rsid w:val="002C3625"/>
    <w:rsid w:val="002D2D2B"/>
    <w:rsid w:val="00393E80"/>
    <w:rsid w:val="00494730"/>
    <w:rsid w:val="004C704A"/>
    <w:rsid w:val="004E157F"/>
    <w:rsid w:val="005C0D1B"/>
    <w:rsid w:val="00605DDA"/>
    <w:rsid w:val="006F78A8"/>
    <w:rsid w:val="00793CF1"/>
    <w:rsid w:val="00850B88"/>
    <w:rsid w:val="00864753"/>
    <w:rsid w:val="008C04DB"/>
    <w:rsid w:val="008E64A4"/>
    <w:rsid w:val="008F109E"/>
    <w:rsid w:val="00921BB0"/>
    <w:rsid w:val="00964BD3"/>
    <w:rsid w:val="00A32C7E"/>
    <w:rsid w:val="00BD0F93"/>
    <w:rsid w:val="00C700CD"/>
    <w:rsid w:val="00C838E5"/>
    <w:rsid w:val="00CD6881"/>
    <w:rsid w:val="00D24523"/>
    <w:rsid w:val="00D94EBB"/>
    <w:rsid w:val="00DA12E9"/>
    <w:rsid w:val="00DD0FD5"/>
    <w:rsid w:val="00E16B8D"/>
    <w:rsid w:val="00F03B07"/>
    <w:rsid w:val="00F30B3E"/>
    <w:rsid w:val="00F720A2"/>
    <w:rsid w:val="00FB30C4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2A8122C"/>
  <w15:docId w15:val="{1A7A2E48-9830-4BF8-8972-57F3B54A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9E"/>
    <w:pPr>
      <w:ind w:left="720"/>
      <w:contextualSpacing/>
    </w:pPr>
  </w:style>
  <w:style w:type="table" w:styleId="TableGrid">
    <w:name w:val="Table Grid"/>
    <w:basedOn w:val="TableNormal"/>
    <w:uiPriority w:val="59"/>
    <w:rsid w:val="0039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4BD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4BD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55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pvajpayee</cp:lastModifiedBy>
  <cp:revision>6</cp:revision>
  <dcterms:created xsi:type="dcterms:W3CDTF">2016-09-26T14:03:00Z</dcterms:created>
  <dcterms:modified xsi:type="dcterms:W3CDTF">2024-03-19T06:11:00Z</dcterms:modified>
</cp:coreProperties>
</file>