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A5F"/>
          <w:sz w:val="48"/>
          <w:szCs w:val="48"/>
        </w:rPr>
        <w:t xml:space="preserve">Branch Cash Position &amp;</w:t>
      </w:r>
    </w:p>
    <w:p>
      <w:pPr>
        <w:spacing w:after="200"/>
        <w:jc w:val="center"/>
      </w:pPr>
      <w:r>
        <w:rPr>
          <w:b/>
          <w:bCs/>
          <w:color w:val="1F3A5F"/>
          <w:sz w:val="48"/>
          <w:szCs w:val="48"/>
        </w:rPr>
        <w:t xml:space="preserve">Inter-Branch Transfer System</w:t>
      </w:r>
    </w:p>
    <w:p>
      <w:pPr>
        <w:spacing w:after="600"/>
        <w:jc w:val="center"/>
      </w:pPr>
      <w:r>
        <w:rPr>
          <w:i/>
          <w:iCs/>
          <w:color w:val="B08D57"/>
          <w:sz w:val="26"/>
          <w:szCs w:val="26"/>
        </w:rPr>
        <w:t xml:space="preserve">End-to-End Development Blueprint — v2 (Microservices)</w:t>
      </w:r>
    </w:p>
    <w:p>
      <w:pPr>
        <w:spacing w:before="1500"/>
        <w:jc w:val="center"/>
      </w:pPr>
      <w:r>
        <w:rPr>
          <w:color w:val="444444"/>
          <w:sz w:val="22"/>
          <w:szCs w:val="22"/>
        </w:rPr>
        <w:t xml:space="preserve">Training Project — Banking Consulting Practice</w:t>
      </w:r>
    </w:p>
    <w:p>
      <w:pPr>
        <w:jc w:val="center"/>
      </w:pPr>
      <w:r>
        <w:rPr>
          <w:color w:val="444444"/>
          <w:sz w:val="20"/>
          <w:szCs w:val="20"/>
        </w:rPr>
        <w:t xml:space="preserve">Stack: Oracle JET · Spring Boot · Spring Cloud (Eureka, OpenFeign) · JPA · Oracle Database 23ai</w:t>
      </w:r>
    </w:p>
    <w:p>
      <w:pPr>
        <w:spacing w:before="400"/>
        <w:jc w:val="center"/>
      </w:pPr>
      <w:r>
        <w:rPr>
          <w:color w:val="888888"/>
          <w:sz w:val="20"/>
          <w:szCs w:val="20"/>
        </w:rPr>
        <w:t xml:space="preserve">August 2026</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Executive Summary</w:t>
      </w:r>
    </w:p>
    <w:p>
      <w:pPr>
        <w:spacing w:after="150"/>
      </w:pPr>
      <w:r>
        <w:t xml:space="preserve">This is the v2 blueprint, superseding the earlier single-service draft. The project has moved from a consolidated Spring Boot application to a genuine 6-process microservices architecture, dropped Kafka in favor of direct REST calls coordinated through service discovery, replaced AngularJS with Oracle JET, and upgraded the database target to Oracle Database 23ai.</w:t>
      </w:r>
    </w:p>
    <w:p>
      <w:pPr>
        <w:spacing w:after="150"/>
      </w:pPr>
      <w:r>
        <w:t xml:space="preserve">The system still solves the same core business problem: track each branch's cash reserve health, forecast tomorrow's surplus or deficit, and manage inter-branch cash transfer requests when a branch is projected to run short.</w:t>
      </w:r>
    </w:p>
    <w:p>
      <w:pPr>
        <w:spacing w:after="100"/>
      </w:pPr>
      <w:r>
        <w:rPr>
          <w:b/>
          <w:bCs/>
        </w:rPr>
        <w:t xml:space="preserve">Core deliverable: </w:t>
      </w:r>
      <w:r>
        <w:t xml:space="preserve">5 independently runnable Spring Boot microservices plus a Eureka discovery server, fronted by an Oracle JET client, backed by a single shared Oracle Database 23ai instance, started in the correct order by a bash script.</w:t>
      </w:r>
    </w:p>
    <w:p>
      <w:pPr>
        <w:pStyle w:val="Heading1"/>
        <w:spacing w:after="200" w:before="400"/>
      </w:pPr>
      <w:r>
        <w:t xml:space="preserve">2. What Changed From the Original Design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shd w:fill="1F3A5F" w:val="clear"/>
            <w:tcMar>
              <w:top w:type="dxa" w:w="80"/>
              <w:left w:type="dxa" w:w="100"/>
              <w:bottom w:type="dxa" w:w="80"/>
              <w:right w:type="dxa" w:w="100"/>
            </w:tcMar>
          </w:tcPr>
          <w:p>
            <w:r>
              <w:rPr>
                <w:b/>
                <w:bCs/>
                <w:color w:val="FFFFFF"/>
              </w:rPr>
              <w:t xml:space="preserve">Area</w:t>
            </w:r>
          </w:p>
        </w:tc>
        <w:tc>
          <w:tcPr>
            <w:tcW w:type="dxa" w:w="3600"/>
            <w:shd w:fill="1F3A5F" w:val="clear"/>
            <w:tcMar>
              <w:top w:type="dxa" w:w="80"/>
              <w:left w:type="dxa" w:w="100"/>
              <w:bottom w:type="dxa" w:w="80"/>
              <w:right w:type="dxa" w:w="100"/>
            </w:tcMar>
          </w:tcPr>
          <w:p>
            <w:r>
              <w:rPr>
                <w:b/>
                <w:bCs/>
                <w:color w:val="FFFFFF"/>
              </w:rPr>
              <w:t xml:space="preserve">v1 (Original)</w:t>
            </w:r>
          </w:p>
        </w:tc>
        <w:tc>
          <w:tcPr>
            <w:tcW w:type="dxa" w:w="3600"/>
            <w:shd w:fill="1F3A5F" w:val="clear"/>
            <w:tcMar>
              <w:top w:type="dxa" w:w="80"/>
              <w:left w:type="dxa" w:w="100"/>
              <w:bottom w:type="dxa" w:w="80"/>
              <w:right w:type="dxa" w:w="100"/>
            </w:tcMar>
          </w:tcPr>
          <w:p>
            <w:r>
              <w:rPr>
                <w:b/>
                <w:bCs/>
                <w:color w:val="FFFFFF"/>
              </w:rPr>
              <w:t xml:space="preserve">v2 (Current)</w:t>
            </w:r>
          </w:p>
        </w:tc>
      </w:tr>
      <w:tr>
        <w:tc>
          <w:tcPr>
            <w:tcW w:type="dxa" w:w="2400"/>
            <w:tcMar>
              <w:top w:type="dxa" w:w="80"/>
              <w:left w:type="dxa" w:w="100"/>
              <w:bottom w:type="dxa" w:w="80"/>
              <w:right w:type="dxa" w:w="100"/>
            </w:tcMar>
          </w:tcPr>
          <w:p>
            <w:r>
              <w:rPr>
                <w:b w:val="false"/>
                <w:bCs w:val="false"/>
              </w:rPr>
              <w:t xml:space="preserve">Backend shape</w:t>
            </w:r>
          </w:p>
        </w:tc>
        <w:tc>
          <w:tcPr>
            <w:tcW w:type="dxa" w:w="3600"/>
            <w:tcMar>
              <w:top w:type="dxa" w:w="80"/>
              <w:left w:type="dxa" w:w="100"/>
              <w:bottom w:type="dxa" w:w="80"/>
              <w:right w:type="dxa" w:w="100"/>
            </w:tcMar>
          </w:tcPr>
          <w:p>
            <w:r>
              <w:rPr>
                <w:b w:val="false"/>
                <w:bCs w:val="false"/>
              </w:rPr>
              <w:t xml:space="preserve">1 consolidated Spring Boot app, layered packages</w:t>
            </w:r>
          </w:p>
        </w:tc>
        <w:tc>
          <w:tcPr>
            <w:tcW w:type="dxa" w:w="3600"/>
            <w:tcMar>
              <w:top w:type="dxa" w:w="80"/>
              <w:left w:type="dxa" w:w="100"/>
              <w:bottom w:type="dxa" w:w="80"/>
              <w:right w:type="dxa" w:w="100"/>
            </w:tcMar>
          </w:tcPr>
          <w:p>
            <w:r>
              <w:rPr>
                <w:b w:val="false"/>
                <w:bCs w:val="false"/>
              </w:rPr>
              <w:t xml:space="preserve">5 independent microservices</w:t>
            </w:r>
          </w:p>
        </w:tc>
      </w:tr>
      <w:tr>
        <w:tc>
          <w:tcPr>
            <w:tcW w:type="dxa" w:w="2400"/>
            <w:shd w:fill="F2F2F2" w:val="clear"/>
            <w:tcMar>
              <w:top w:type="dxa" w:w="80"/>
              <w:left w:type="dxa" w:w="100"/>
              <w:bottom w:type="dxa" w:w="80"/>
              <w:right w:type="dxa" w:w="100"/>
            </w:tcMar>
          </w:tcPr>
          <w:p>
            <w:r>
              <w:rPr>
                <w:b w:val="false"/>
                <w:bCs w:val="false"/>
              </w:rPr>
              <w:t xml:space="preserve">Event/messaging layer</w:t>
            </w:r>
          </w:p>
        </w:tc>
        <w:tc>
          <w:tcPr>
            <w:tcW w:type="dxa" w:w="3600"/>
            <w:shd w:fill="F2F2F2" w:val="clear"/>
            <w:tcMar>
              <w:top w:type="dxa" w:w="80"/>
              <w:left w:type="dxa" w:w="100"/>
              <w:bottom w:type="dxa" w:w="80"/>
              <w:right w:type="dxa" w:w="100"/>
            </w:tcMar>
          </w:tcPr>
          <w:p>
            <w:r>
              <w:rPr>
                <w:b w:val="false"/>
                <w:bCs w:val="false"/>
              </w:rPr>
              <w:t xml:space="preserve">Apache Kafka (topics + consumers)</w:t>
            </w:r>
          </w:p>
        </w:tc>
        <w:tc>
          <w:tcPr>
            <w:tcW w:type="dxa" w:w="3600"/>
            <w:shd w:fill="F2F2F2" w:val="clear"/>
            <w:tcMar>
              <w:top w:type="dxa" w:w="80"/>
              <w:left w:type="dxa" w:w="100"/>
              <w:bottom w:type="dxa" w:w="80"/>
              <w:right w:type="dxa" w:w="100"/>
            </w:tcMar>
          </w:tcPr>
          <w:p>
            <w:r>
              <w:rPr>
                <w:b w:val="false"/>
                <w:bCs w:val="false"/>
              </w:rPr>
              <w:t xml:space="preserve">Removed — direct REST via Feign</w:t>
            </w:r>
          </w:p>
        </w:tc>
      </w:tr>
      <w:tr>
        <w:tc>
          <w:tcPr>
            <w:tcW w:type="dxa" w:w="2400"/>
            <w:tcMar>
              <w:top w:type="dxa" w:w="80"/>
              <w:left w:type="dxa" w:w="100"/>
              <w:bottom w:type="dxa" w:w="80"/>
              <w:right w:type="dxa" w:w="100"/>
            </w:tcMar>
          </w:tcPr>
          <w:p>
            <w:r>
              <w:rPr>
                <w:b w:val="false"/>
                <w:bCs w:val="false"/>
              </w:rPr>
              <w:t xml:space="preserve">Service-to-service calls</w:t>
            </w:r>
          </w:p>
        </w:tc>
        <w:tc>
          <w:tcPr>
            <w:tcW w:type="dxa" w:w="3600"/>
            <w:tcMar>
              <w:top w:type="dxa" w:w="80"/>
              <w:left w:type="dxa" w:w="100"/>
              <w:bottom w:type="dxa" w:w="80"/>
              <w:right w:type="dxa" w:w="100"/>
            </w:tcMar>
          </w:tcPr>
          <w:p>
            <w:r>
              <w:rPr>
                <w:b w:val="false"/>
                <w:bCs w:val="false"/>
              </w:rPr>
              <w:t xml:space="preserve">N/A (single app)</w:t>
            </w:r>
          </w:p>
        </w:tc>
        <w:tc>
          <w:tcPr>
            <w:tcW w:type="dxa" w:w="3600"/>
            <w:tcMar>
              <w:top w:type="dxa" w:w="80"/>
              <w:left w:type="dxa" w:w="100"/>
              <w:bottom w:type="dxa" w:w="80"/>
              <w:right w:type="dxa" w:w="100"/>
            </w:tcMar>
          </w:tcPr>
          <w:p>
            <w:r>
              <w:rPr>
                <w:b w:val="false"/>
                <w:bCs w:val="false"/>
              </w:rPr>
              <w:t xml:space="preserve">Spring Cloud OpenFeign, resolved via Eureka</w:t>
            </w:r>
          </w:p>
        </w:tc>
      </w:tr>
      <w:tr>
        <w:tc>
          <w:tcPr>
            <w:tcW w:type="dxa" w:w="2400"/>
            <w:shd w:fill="F2F2F2" w:val="clear"/>
            <w:tcMar>
              <w:top w:type="dxa" w:w="80"/>
              <w:left w:type="dxa" w:w="100"/>
              <w:bottom w:type="dxa" w:w="80"/>
              <w:right w:type="dxa" w:w="100"/>
            </w:tcMar>
          </w:tcPr>
          <w:p>
            <w:r>
              <w:rPr>
                <w:b w:val="false"/>
                <w:bCs w:val="false"/>
              </w:rPr>
              <w:t xml:space="preserve">Service discovery</w:t>
            </w:r>
          </w:p>
        </w:tc>
        <w:tc>
          <w:tcPr>
            <w:tcW w:type="dxa" w:w="3600"/>
            <w:shd w:fill="F2F2F2" w:val="clear"/>
            <w:tcMar>
              <w:top w:type="dxa" w:w="80"/>
              <w:left w:type="dxa" w:w="100"/>
              <w:bottom w:type="dxa" w:w="80"/>
              <w:right w:type="dxa" w:w="100"/>
            </w:tcMar>
          </w:tcPr>
          <w:p>
            <w:r>
              <w:rPr>
                <w:b w:val="false"/>
                <w:bCs w:val="false"/>
              </w:rPr>
              <w:t xml:space="preserve">N/A</w:t>
            </w:r>
          </w:p>
        </w:tc>
        <w:tc>
          <w:tcPr>
            <w:tcW w:type="dxa" w:w="3600"/>
            <w:shd w:fill="F2F2F2" w:val="clear"/>
            <w:tcMar>
              <w:top w:type="dxa" w:w="80"/>
              <w:left w:type="dxa" w:w="100"/>
              <w:bottom w:type="dxa" w:w="80"/>
              <w:right w:type="dxa" w:w="100"/>
            </w:tcMar>
          </w:tcPr>
          <w:p>
            <w:r>
              <w:rPr>
                <w:b w:val="false"/>
                <w:bCs w:val="false"/>
              </w:rPr>
              <w:t xml:space="preserve">Netflix Eureka Server (6th process)</w:t>
            </w:r>
          </w:p>
        </w:tc>
      </w:tr>
      <w:tr>
        <w:tc>
          <w:tcPr>
            <w:tcW w:type="dxa" w:w="2400"/>
            <w:tcMar>
              <w:top w:type="dxa" w:w="80"/>
              <w:left w:type="dxa" w:w="100"/>
              <w:bottom w:type="dxa" w:w="80"/>
              <w:right w:type="dxa" w:w="100"/>
            </w:tcMar>
          </w:tcPr>
          <w:p>
            <w:r>
              <w:rPr>
                <w:b w:val="false"/>
                <w:bCs w:val="false"/>
              </w:rPr>
              <w:t xml:space="preserve">Frontend framework</w:t>
            </w:r>
          </w:p>
        </w:tc>
        <w:tc>
          <w:tcPr>
            <w:tcW w:type="dxa" w:w="3600"/>
            <w:tcMar>
              <w:top w:type="dxa" w:w="80"/>
              <w:left w:type="dxa" w:w="100"/>
              <w:bottom w:type="dxa" w:w="80"/>
              <w:right w:type="dxa" w:w="100"/>
            </w:tcMar>
          </w:tcPr>
          <w:p>
            <w:r>
              <w:rPr>
                <w:b w:val="false"/>
                <w:bCs w:val="false"/>
              </w:rPr>
              <w:t xml:space="preserve">AngularJS</w:t>
            </w:r>
          </w:p>
        </w:tc>
        <w:tc>
          <w:tcPr>
            <w:tcW w:type="dxa" w:w="3600"/>
            <w:tcMar>
              <w:top w:type="dxa" w:w="80"/>
              <w:left w:type="dxa" w:w="100"/>
              <w:bottom w:type="dxa" w:w="80"/>
              <w:right w:type="dxa" w:w="100"/>
            </w:tcMar>
          </w:tcPr>
          <w:p>
            <w:r>
              <w:rPr>
                <w:b w:val="false"/>
                <w:bCs w:val="false"/>
              </w:rPr>
              <w:t xml:space="preserve">Oracle JET (Knockout-based MVVM)</w:t>
            </w:r>
          </w:p>
        </w:tc>
      </w:tr>
      <w:tr>
        <w:tc>
          <w:tcPr>
            <w:tcW w:type="dxa" w:w="2400"/>
            <w:shd w:fill="F2F2F2" w:val="clear"/>
            <w:tcMar>
              <w:top w:type="dxa" w:w="80"/>
              <w:left w:type="dxa" w:w="100"/>
              <w:bottom w:type="dxa" w:w="80"/>
              <w:right w:type="dxa" w:w="100"/>
            </w:tcMar>
          </w:tcPr>
          <w:p>
            <w:r>
              <w:rPr>
                <w:b w:val="false"/>
                <w:bCs w:val="false"/>
              </w:rPr>
              <w:t xml:space="preserve">Database</w:t>
            </w:r>
          </w:p>
        </w:tc>
        <w:tc>
          <w:tcPr>
            <w:tcW w:type="dxa" w:w="3600"/>
            <w:shd w:fill="F2F2F2" w:val="clear"/>
            <w:tcMar>
              <w:top w:type="dxa" w:w="80"/>
              <w:left w:type="dxa" w:w="100"/>
              <w:bottom w:type="dxa" w:w="80"/>
              <w:right w:type="dxa" w:w="100"/>
            </w:tcMar>
          </w:tcPr>
          <w:p>
            <w:r>
              <w:rPr>
                <w:b w:val="false"/>
                <w:bCs w:val="false"/>
              </w:rPr>
              <w:t xml:space="preserve">Oracle DB (unspecified version)</w:t>
            </w:r>
          </w:p>
        </w:tc>
        <w:tc>
          <w:tcPr>
            <w:tcW w:type="dxa" w:w="3600"/>
            <w:shd w:fill="F2F2F2" w:val="clear"/>
            <w:tcMar>
              <w:top w:type="dxa" w:w="80"/>
              <w:left w:type="dxa" w:w="100"/>
              <w:bottom w:type="dxa" w:w="80"/>
              <w:right w:type="dxa" w:w="100"/>
            </w:tcMar>
          </w:tcPr>
          <w:p>
            <w:r>
              <w:rPr>
                <w:b w:val="false"/>
                <w:bCs w:val="false"/>
              </w:rPr>
              <w:t xml:space="preserve">Oracle Database 23ai</w:t>
            </w:r>
          </w:p>
        </w:tc>
      </w:tr>
      <w:tr>
        <w:tc>
          <w:tcPr>
            <w:tcW w:type="dxa" w:w="2400"/>
            <w:tcMar>
              <w:top w:type="dxa" w:w="80"/>
              <w:left w:type="dxa" w:w="100"/>
              <w:bottom w:type="dxa" w:w="80"/>
              <w:right w:type="dxa" w:w="100"/>
            </w:tcMar>
          </w:tcPr>
          <w:p>
            <w:r>
              <w:rPr>
                <w:b w:val="false"/>
                <w:bCs w:val="false"/>
              </w:rPr>
              <w:t xml:space="preserve">Transaction simulation</w:t>
            </w:r>
          </w:p>
        </w:tc>
        <w:tc>
          <w:tcPr>
            <w:tcW w:type="dxa" w:w="3600"/>
            <w:tcMar>
              <w:top w:type="dxa" w:w="80"/>
              <w:left w:type="dxa" w:w="100"/>
              <w:bottom w:type="dxa" w:w="80"/>
              <w:right w:type="dxa" w:w="100"/>
            </w:tcMar>
          </w:tcPr>
          <w:p>
            <w:r>
              <w:rPr>
                <w:b w:val="false"/>
                <w:bCs w:val="false"/>
              </w:rPr>
              <w:t xml:space="preserve">Manual Start/Stop button, Kafka producer</w:t>
            </w:r>
          </w:p>
        </w:tc>
        <w:tc>
          <w:tcPr>
            <w:tcW w:type="dxa" w:w="3600"/>
            <w:tcMar>
              <w:top w:type="dxa" w:w="80"/>
              <w:left w:type="dxa" w:w="100"/>
              <w:bottom w:type="dxa" w:w="80"/>
              <w:right w:type="dxa" w:w="100"/>
            </w:tcMar>
          </w:tcPr>
          <w:p>
            <w:r>
              <w:rPr>
                <w:b w:val="false"/>
                <w:bCs w:val="false"/>
              </w:rPr>
              <w:t xml:space="preserve">Auto-starts on boot, direct REST call, fixed surplus/deficit pattern</w:t>
            </w:r>
          </w:p>
        </w:tc>
      </w:tr>
      <w:tr>
        <w:tc>
          <w:tcPr>
            <w:tcW w:type="dxa" w:w="2400"/>
            <w:shd w:fill="F2F2F2" w:val="clear"/>
            <w:tcMar>
              <w:top w:type="dxa" w:w="80"/>
              <w:left w:type="dxa" w:w="100"/>
              <w:bottom w:type="dxa" w:w="80"/>
              <w:right w:type="dxa" w:w="100"/>
            </w:tcMar>
          </w:tcPr>
          <w:p>
            <w:r>
              <w:rPr>
                <w:b w:val="false"/>
                <w:bCs w:val="false"/>
              </w:rPr>
              <w:t xml:space="preserve">Auth</w:t>
            </w:r>
          </w:p>
        </w:tc>
        <w:tc>
          <w:tcPr>
            <w:tcW w:type="dxa" w:w="3600"/>
            <w:shd w:fill="F2F2F2" w:val="clear"/>
            <w:tcMar>
              <w:top w:type="dxa" w:w="80"/>
              <w:left w:type="dxa" w:w="100"/>
              <w:bottom w:type="dxa" w:w="80"/>
              <w:right w:type="dxa" w:w="100"/>
            </w:tcMar>
          </w:tcPr>
          <w:p>
            <w:r>
              <w:rPr>
                <w:b w:val="false"/>
                <w:bCs w:val="false"/>
              </w:rPr>
              <w:t xml:space="preserve">None specified</w:t>
            </w:r>
          </w:p>
        </w:tc>
        <w:tc>
          <w:tcPr>
            <w:tcW w:type="dxa" w:w="3600"/>
            <w:shd w:fill="F2F2F2" w:val="clear"/>
            <w:tcMar>
              <w:top w:type="dxa" w:w="80"/>
              <w:left w:type="dxa" w:w="100"/>
              <w:bottom w:type="dxa" w:w="80"/>
              <w:right w:type="dxa" w:w="100"/>
            </w:tcMar>
          </w:tcPr>
          <w:p>
            <w:r>
              <w:rPr>
                <w:b w:val="false"/>
                <w:bCs w:val="false"/>
              </w:rPr>
              <w:t xml:space="preserve">Single login page, username/password against DB table, token issued, one role</w:t>
            </w:r>
          </w:p>
        </w:tc>
      </w:tr>
    </w:tbl>
    <w:p>
      <w:pPr>
        <w:spacing w:after="150"/>
      </w:pPr>
      <w:r>
        <w:t xml:space="preserve">Section 3 explains why Kafka was dropped. Section 5 explains the reasoning for Eureka + Feign together. Everything else not listed above (data model shape, forecast formula, transfer workflow states, UI layout) is unchanged from the original design.</w:t>
      </w:r>
    </w:p>
    <w:p>
      <w:pPr>
        <w:pStyle w:val="Heading1"/>
        <w:spacing w:after="200" w:before="400"/>
      </w:pPr>
      <w:r>
        <w:t xml:space="preserve">3. Why Kafka Was Removed</w:t>
      </w:r>
    </w:p>
    <w:p>
      <w:pPr>
        <w:spacing w:after="150"/>
      </w:pPr>
      <w:r>
        <w:t xml:space="preserve">Kafka's only two jobs in the original design were: (1) decoupling the transaction simulator's event production from the reserve-update consumption, and (2) carrying threshold-breach and transfer-status-change alerts to a listener.</w:t>
      </w:r>
    </w:p>
    <w:p>
      <w:pPr>
        <w:spacing w:after="150"/>
      </w:pPr>
      <w:r>
        <w:t xml:space="preserve">Neither justified the operational cost for a solo, timeboxed training project: local broker setup, partition/consumer-group semantics, opaque debugging when messages don't arrive, and a genuinely different mental model on top of an already-new microservices architecture. Both of Kafka's jobs are fully replaceable with direct method/REST calls without losing any real functionality — the simulator now calls Cash Management Service directly, and alerts are handled as direct calls or frontend polling.</w:t>
      </w:r>
    </w:p>
    <w:p>
      <w:pPr>
        <w:spacing w:after="150"/>
      </w:pPr>
      <w:r>
        <w:t xml:space="preserve">This was a deliberate scope decision, not an oversight — worth stating plainly if asked in review.</w:t>
      </w:r>
    </w:p>
    <w:p>
      <w:pPr>
        <w:pStyle w:val="Heading1"/>
        <w:spacing w:after="200" w:before="400"/>
      </w:pPr>
      <w:r>
        <w:t xml:space="preserve">4. System Architecture</w:t>
      </w:r>
    </w:p>
    <w:p>
      <w:pPr>
        <w:pStyle w:val="Heading2"/>
        <w:spacing w:after="150" w:before="300"/>
      </w:pPr>
      <w:r>
        <w:t xml:space="preserve">4.1 Process Topology</w:t>
      </w:r>
    </w:p>
    <w:p>
      <w:pPr>
        <w:spacing w:after="150"/>
      </w:pPr>
      <w:r>
        <w:t xml:space="preserve">6 independently runnable processes, each a separate Spring Boot application: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700"/>
      </w:tblGrid>
      <w:tr>
        <w:trPr>
          <w:tblHeader/>
        </w:trPr>
        <w:tc>
          <w:tcPr>
            <w:tcW w:type="dxa" w:w="700"/>
            <w:shd w:fill="1F3A5F" w:val="clear"/>
            <w:tcMar>
              <w:top w:type="dxa" w:w="80"/>
              <w:left w:type="dxa" w:w="100"/>
              <w:bottom w:type="dxa" w:w="80"/>
              <w:right w:type="dxa" w:w="100"/>
            </w:tcMar>
          </w:tcPr>
          <w:p>
            <w:r>
              <w:rPr>
                <w:b/>
                <w:bCs/>
                <w:color w:val="FFFFFF"/>
              </w:rPr>
              <w:t xml:space="preserve">#</w:t>
            </w:r>
          </w:p>
        </w:tc>
        <w:tc>
          <w:tcPr>
            <w:tcW w:type="dxa" w:w="3200"/>
            <w:shd w:fill="1F3A5F" w:val="clear"/>
            <w:tcMar>
              <w:top w:type="dxa" w:w="80"/>
              <w:left w:type="dxa" w:w="100"/>
              <w:bottom w:type="dxa" w:w="80"/>
              <w:right w:type="dxa" w:w="100"/>
            </w:tcMar>
          </w:tcPr>
          <w:p>
            <w:r>
              <w:rPr>
                <w:b/>
                <w:bCs/>
                <w:color w:val="FFFFFF"/>
              </w:rPr>
              <w:t xml:space="preserve">Process</w:t>
            </w:r>
          </w:p>
        </w:tc>
        <w:tc>
          <w:tcPr>
            <w:tcW w:type="dxa" w:w="5700"/>
            <w:shd w:fill="1F3A5F" w:val="clear"/>
            <w:tcMar>
              <w:top w:type="dxa" w:w="80"/>
              <w:left w:type="dxa" w:w="100"/>
              <w:bottom w:type="dxa" w:w="80"/>
              <w:right w:type="dxa" w:w="100"/>
            </w:tcMar>
          </w:tcPr>
          <w:p>
            <w:r>
              <w:rPr>
                <w:b/>
                <w:bCs/>
                <w:color w:val="FFFFFF"/>
              </w:rPr>
              <w:t xml:space="preserve">Role</w:t>
            </w:r>
          </w:p>
        </w:tc>
      </w:tr>
      <w:tr>
        <w:tc>
          <w:tcPr>
            <w:tcW w:type="dxa" w:w="700"/>
            <w:tcMar>
              <w:top w:type="dxa" w:w="80"/>
              <w:left w:type="dxa" w:w="100"/>
              <w:bottom w:type="dxa" w:w="80"/>
              <w:right w:type="dxa" w:w="100"/>
            </w:tcMar>
          </w:tcPr>
          <w:p>
            <w:r>
              <w:rPr>
                <w:b w:val="false"/>
                <w:bCs w:val="false"/>
              </w:rPr>
              <w:t xml:space="preserve">1</w:t>
            </w:r>
          </w:p>
        </w:tc>
        <w:tc>
          <w:tcPr>
            <w:tcW w:type="dxa" w:w="3200"/>
            <w:tcMar>
              <w:top w:type="dxa" w:w="80"/>
              <w:left w:type="dxa" w:w="100"/>
              <w:bottom w:type="dxa" w:w="80"/>
              <w:right w:type="dxa" w:w="100"/>
            </w:tcMar>
          </w:tcPr>
          <w:p>
            <w:r>
              <w:rPr>
                <w:b w:val="false"/>
                <w:bCs w:val="false"/>
              </w:rPr>
              <w:t xml:space="preserve">Eureka Server</w:t>
            </w:r>
          </w:p>
        </w:tc>
        <w:tc>
          <w:tcPr>
            <w:tcW w:type="dxa" w:w="5700"/>
            <w:tcMar>
              <w:top w:type="dxa" w:w="80"/>
              <w:left w:type="dxa" w:w="100"/>
              <w:bottom w:type="dxa" w:w="80"/>
              <w:right w:type="dxa" w:w="100"/>
            </w:tcMar>
          </w:tcPr>
          <w:p>
            <w:r>
              <w:rPr>
                <w:b w:val="false"/>
                <w:bCs w:val="false"/>
              </w:rPr>
              <w:t xml:space="preserve">Service registry — every other process registers here on boot</w:t>
            </w:r>
          </w:p>
        </w:tc>
      </w:tr>
      <w:tr>
        <w:tc>
          <w:tcPr>
            <w:tcW w:type="dxa" w:w="700"/>
            <w:shd w:fill="F2F2F2" w:val="clear"/>
            <w:tcMar>
              <w:top w:type="dxa" w:w="80"/>
              <w:left w:type="dxa" w:w="100"/>
              <w:bottom w:type="dxa" w:w="80"/>
              <w:right w:type="dxa" w:w="100"/>
            </w:tcMar>
          </w:tcPr>
          <w:p>
            <w:r>
              <w:rPr>
                <w:b w:val="false"/>
                <w:bCs w:val="false"/>
              </w:rPr>
              <w:t xml:space="preserve">2</w:t>
            </w:r>
          </w:p>
        </w:tc>
        <w:tc>
          <w:tcPr>
            <w:tcW w:type="dxa" w:w="3200"/>
            <w:shd w:fill="F2F2F2" w:val="clear"/>
            <w:tcMar>
              <w:top w:type="dxa" w:w="80"/>
              <w:left w:type="dxa" w:w="100"/>
              <w:bottom w:type="dxa" w:w="80"/>
              <w:right w:type="dxa" w:w="100"/>
            </w:tcMar>
          </w:tcPr>
          <w:p>
            <w:r>
              <w:rPr>
                <w:b w:val="false"/>
                <w:bCs w:val="false"/>
              </w:rPr>
              <w:t xml:space="preserve">Branch Service</w:t>
            </w:r>
          </w:p>
        </w:tc>
        <w:tc>
          <w:tcPr>
            <w:tcW w:type="dxa" w:w="5700"/>
            <w:shd w:fill="F2F2F2" w:val="clear"/>
            <w:tcMar>
              <w:top w:type="dxa" w:w="80"/>
              <w:left w:type="dxa" w:w="100"/>
              <w:bottom w:type="dxa" w:w="80"/>
              <w:right w:type="dxa" w:w="100"/>
            </w:tcMar>
          </w:tcPr>
          <w:p>
            <w:r>
              <w:rPr>
                <w:b w:val="false"/>
                <w:bCs w:val="false"/>
              </w:rPr>
              <w:t xml:space="preserve">Branch master data: name, location, opening reserve, threshold config</w:t>
            </w:r>
          </w:p>
        </w:tc>
      </w:tr>
      <w:tr>
        <w:tc>
          <w:tcPr>
            <w:tcW w:type="dxa" w:w="700"/>
            <w:tcMar>
              <w:top w:type="dxa" w:w="80"/>
              <w:left w:type="dxa" w:w="100"/>
              <w:bottom w:type="dxa" w:w="80"/>
              <w:right w:type="dxa" w:w="100"/>
            </w:tcMar>
          </w:tcPr>
          <w:p>
            <w:r>
              <w:rPr>
                <w:b w:val="false"/>
                <w:bCs w:val="false"/>
              </w:rPr>
              <w:t xml:space="preserve">3</w:t>
            </w:r>
          </w:p>
        </w:tc>
        <w:tc>
          <w:tcPr>
            <w:tcW w:type="dxa" w:w="3200"/>
            <w:tcMar>
              <w:top w:type="dxa" w:w="80"/>
              <w:left w:type="dxa" w:w="100"/>
              <w:bottom w:type="dxa" w:w="80"/>
              <w:right w:type="dxa" w:w="100"/>
            </w:tcMar>
          </w:tcPr>
          <w:p>
            <w:r>
              <w:rPr>
                <w:b w:val="false"/>
                <w:bCs w:val="false"/>
              </w:rPr>
              <w:t xml:space="preserve">Cash Management Service</w:t>
            </w:r>
          </w:p>
        </w:tc>
        <w:tc>
          <w:tcPr>
            <w:tcW w:type="dxa" w:w="5700"/>
            <w:tcMar>
              <w:top w:type="dxa" w:w="80"/>
              <w:left w:type="dxa" w:w="100"/>
              <w:bottom w:type="dxa" w:w="80"/>
              <w:right w:type="dxa" w:w="100"/>
            </w:tcMar>
          </w:tcPr>
          <w:p>
            <w:r>
              <w:rPr>
                <w:b w:val="false"/>
                <w:bCs w:val="false"/>
              </w:rPr>
              <w:t xml:space="preserve">A branch's own live cash health: current reserve, surplus/deficit</w:t>
            </w:r>
          </w:p>
        </w:tc>
      </w:tr>
      <w:tr>
        <w:tc>
          <w:tcPr>
            <w:tcW w:type="dxa" w:w="700"/>
            <w:shd w:fill="F2F2F2" w:val="clear"/>
            <w:tcMar>
              <w:top w:type="dxa" w:w="80"/>
              <w:left w:type="dxa" w:w="100"/>
              <w:bottom w:type="dxa" w:w="80"/>
              <w:right w:type="dxa" w:w="100"/>
            </w:tcMar>
          </w:tcPr>
          <w:p>
            <w:r>
              <w:rPr>
                <w:b w:val="false"/>
                <w:bCs w:val="false"/>
              </w:rPr>
              <w:t xml:space="preserve">4</w:t>
            </w:r>
          </w:p>
        </w:tc>
        <w:tc>
          <w:tcPr>
            <w:tcW w:type="dxa" w:w="3200"/>
            <w:shd w:fill="F2F2F2" w:val="clear"/>
            <w:tcMar>
              <w:top w:type="dxa" w:w="80"/>
              <w:left w:type="dxa" w:w="100"/>
              <w:bottom w:type="dxa" w:w="80"/>
              <w:right w:type="dxa" w:w="100"/>
            </w:tcMar>
          </w:tcPr>
          <w:p>
            <w:r>
              <w:rPr>
                <w:b w:val="false"/>
                <w:bCs w:val="false"/>
              </w:rPr>
              <w:t xml:space="preserve">Forecast Service</w:t>
            </w:r>
          </w:p>
        </w:tc>
        <w:tc>
          <w:tcPr>
            <w:tcW w:type="dxa" w:w="5700"/>
            <w:shd w:fill="F2F2F2" w:val="clear"/>
            <w:tcMar>
              <w:top w:type="dxa" w:w="80"/>
              <w:left w:type="dxa" w:w="100"/>
              <w:bottom w:type="dxa" w:w="80"/>
              <w:right w:type="dxa" w:w="100"/>
            </w:tcMar>
          </w:tcPr>
          <w:p>
            <w:r>
              <w:rPr>
                <w:b w:val="false"/>
                <w:bCs w:val="false"/>
              </w:rPr>
              <w:t xml:space="preserve">Next-day prediction: rolling average, std dev, day-of-week, trend</w:t>
            </w:r>
          </w:p>
        </w:tc>
      </w:tr>
      <w:tr>
        <w:tc>
          <w:tcPr>
            <w:tcW w:type="dxa" w:w="700"/>
            <w:tcMar>
              <w:top w:type="dxa" w:w="80"/>
              <w:left w:type="dxa" w:w="100"/>
              <w:bottom w:type="dxa" w:w="80"/>
              <w:right w:type="dxa" w:w="100"/>
            </w:tcMar>
          </w:tcPr>
          <w:p>
            <w:r>
              <w:rPr>
                <w:b w:val="false"/>
                <w:bCs w:val="false"/>
              </w:rPr>
              <w:t xml:space="preserve">5</w:t>
            </w:r>
          </w:p>
        </w:tc>
        <w:tc>
          <w:tcPr>
            <w:tcW w:type="dxa" w:w="3200"/>
            <w:tcMar>
              <w:top w:type="dxa" w:w="80"/>
              <w:left w:type="dxa" w:w="100"/>
              <w:bottom w:type="dxa" w:w="80"/>
              <w:right w:type="dxa" w:w="100"/>
            </w:tcMar>
          </w:tcPr>
          <w:p>
            <w:r>
              <w:rPr>
                <w:b w:val="false"/>
                <w:bCs w:val="false"/>
              </w:rPr>
              <w:t xml:space="preserve">Cash Requirement Service</w:t>
            </w:r>
          </w:p>
        </w:tc>
        <w:tc>
          <w:tcPr>
            <w:tcW w:type="dxa" w:w="5700"/>
            <w:tcMar>
              <w:top w:type="dxa" w:w="80"/>
              <w:left w:type="dxa" w:w="100"/>
              <w:bottom w:type="dxa" w:w="80"/>
              <w:right w:type="dxa" w:w="100"/>
            </w:tcMar>
          </w:tcPr>
          <w:p>
            <w:r>
              <w:rPr>
                <w:b w:val="false"/>
                <w:bCs w:val="false"/>
              </w:rPr>
              <w:t xml:space="preserve">Read-only view of branches needing cash + owns transfer workflow</w:t>
            </w:r>
          </w:p>
        </w:tc>
      </w:tr>
      <w:tr>
        <w:tc>
          <w:tcPr>
            <w:tcW w:type="dxa" w:w="700"/>
            <w:shd w:fill="F2F2F2" w:val="clear"/>
            <w:tcMar>
              <w:top w:type="dxa" w:w="80"/>
              <w:left w:type="dxa" w:w="100"/>
              <w:bottom w:type="dxa" w:w="80"/>
              <w:right w:type="dxa" w:w="100"/>
            </w:tcMar>
          </w:tcPr>
          <w:p>
            <w:r>
              <w:rPr>
                <w:b w:val="false"/>
                <w:bCs w:val="false"/>
              </w:rPr>
              <w:t xml:space="preserve">6</w:t>
            </w:r>
          </w:p>
        </w:tc>
        <w:tc>
          <w:tcPr>
            <w:tcW w:type="dxa" w:w="3200"/>
            <w:shd w:fill="F2F2F2" w:val="clear"/>
            <w:tcMar>
              <w:top w:type="dxa" w:w="80"/>
              <w:left w:type="dxa" w:w="100"/>
              <w:bottom w:type="dxa" w:w="80"/>
              <w:right w:type="dxa" w:w="100"/>
            </w:tcMar>
          </w:tcPr>
          <w:p>
            <w:r>
              <w:rPr>
                <w:b w:val="false"/>
                <w:bCs w:val="false"/>
              </w:rPr>
              <w:t xml:space="preserve">Simulator Service</w:t>
            </w:r>
          </w:p>
        </w:tc>
        <w:tc>
          <w:tcPr>
            <w:tcW w:type="dxa" w:w="5700"/>
            <w:shd w:fill="F2F2F2" w:val="clear"/>
            <w:tcMar>
              <w:top w:type="dxa" w:w="80"/>
              <w:left w:type="dxa" w:w="100"/>
              <w:bottom w:type="dxa" w:w="80"/>
              <w:right w:type="dxa" w:w="100"/>
            </w:tcMar>
          </w:tcPr>
          <w:p>
            <w:r>
              <w:rPr>
                <w:b w:val="false"/>
                <w:bCs w:val="false"/>
              </w:rPr>
              <w:t xml:space="preserve">Prototype-only. Auto-starts on boot, generates patterned transactions</w:t>
            </w:r>
          </w:p>
        </w:tc>
      </w:tr>
    </w:tbl>
    <w:p>
      <w:pPr>
        <w:pStyle w:val="Heading2"/>
        <w:spacing w:after="150" w:before="300"/>
      </w:pPr>
      <w:r>
        <w:t xml:space="preserve">4.2 Data Ownership</w:t>
      </w:r>
    </w:p>
    <w:p>
      <w:pPr>
        <w:spacing w:after="150"/>
      </w:pPr>
      <w:r>
        <w:t xml:space="preserve">All 5 business services share one Oracle Database 23ai instance — there is no per-service schema isolation. Ownership is logical, by which service primarily writes to which tables:</w:t>
      </w:r>
    </w:p>
    <w:p>
      <w:pPr>
        <w:pStyle w:val="ListParagraph"/>
        <w:numPr>
          <w:ilvl w:val="0"/>
          <w:numId w:val="1"/>
        </w:numPr>
        <w:spacing w:after="80"/>
      </w:pPr>
      <w:r>
        <w:t xml:space="preserve">Branch Service — owns branch table (writes), everyone else reads it via Feign, not direct DB access</w:t>
      </w:r>
    </w:p>
    <w:p>
      <w:pPr>
        <w:pStyle w:val="ListParagraph"/>
        <w:numPr>
          <w:ilvl w:val="0"/>
          <w:numId w:val="1"/>
        </w:numPr>
        <w:spacing w:after="80"/>
      </w:pPr>
      <w:r>
        <w:t xml:space="preserve">Cash Management Service — owns cash_transaction table</w:t>
      </w:r>
    </w:p>
    <w:p>
      <w:pPr>
        <w:pStyle w:val="ListParagraph"/>
        <w:numPr>
          <w:ilvl w:val="0"/>
          <w:numId w:val="1"/>
        </w:numPr>
        <w:spacing w:after="80"/>
      </w:pPr>
      <w:r>
        <w:t xml:space="preserve">Forecast Service — owns forecast_snapshot table</w:t>
      </w:r>
    </w:p>
    <w:p>
      <w:pPr>
        <w:pStyle w:val="ListParagraph"/>
        <w:numPr>
          <w:ilvl w:val="0"/>
          <w:numId w:val="1"/>
        </w:numPr>
        <w:spacing w:after="80"/>
      </w:pPr>
      <w:r>
        <w:t xml:space="preserve">Cash Requirement Service — owns transfer_request table</w:t>
      </w:r>
    </w:p>
    <w:p>
      <w:pPr>
        <w:spacing w:after="150" w:before="100"/>
      </w:pPr>
      <w:r>
        <w:rPr>
          <w:i/>
          <w:iCs/>
          <w:color w:val="444444"/>
        </w:rPr>
        <w:t xml:space="preserve">Important architectural rule: even though all tables live in one shared DB, a service only ever queries its own tables directly. If it needs another service's data, it calls that service's REST API via Feign — never a cross-schema JOIN. This is what keeps the split honest as "microservices" rather than "one DB accessed by five apps."</w:t>
      </w:r>
    </w:p>
    <w:p>
      <w:pPr>
        <w:spacing w:after="150" w:before="100"/>
      </w:pPr>
      <w:r>
        <w:rPr>
          <w:i/>
          <w:iCs/>
          <w:color w:val="444444"/>
        </w:rPr>
        <w:t xml:space="preserve">Concrete example of this rule: Cash Management Service never writes to the BRANCH table directly, even though it lives in the same database. When a transaction is recorded, Cash Management Service calls Branch Service's own PATCH /api/branches/{branchId}/reserve endpoint (via Feign) to update the branch's running reserve — Branch Service remains the only writer of its own table, regardless of which service triggered the change.</w:t>
      </w:r>
    </w:p>
    <w:p>
      <w:pPr>
        <w:pStyle w:val="Heading2"/>
        <w:spacing w:after="150" w:before="300"/>
      </w:pPr>
      <w:r>
        <w:t xml:space="preserve">4.3 Request Flow Examples</w:t>
      </w:r>
    </w:p>
    <w:p>
      <w:pPr>
        <w:spacing w:after="150"/>
      </w:pPr>
      <w:r>
        <w:t xml:space="preserve">Example 1 — Cash Requirement Service needs to suggest the nearest surplus branch for a deficit branch:</w:t>
      </w:r>
    </w:p>
    <w:p>
      <w:pPr>
        <w:pStyle w:val="ListParagraph"/>
        <w:numPr>
          <w:ilvl w:val="0"/>
          <w:numId w:val="1"/>
        </w:numPr>
        <w:spacing w:after="80"/>
      </w:pPr>
      <w:r>
        <w:t xml:space="preserve">1. Cash Requirement Service calls Cash Management Service (via Feign) to get live positions for all branches</w:t>
      </w:r>
    </w:p>
    <w:p>
      <w:pPr>
        <w:pStyle w:val="ListParagraph"/>
        <w:numPr>
          <w:ilvl w:val="0"/>
          <w:numId w:val="1"/>
        </w:numPr>
        <w:spacing w:after="80"/>
      </w:pPr>
      <w:r>
        <w:t xml:space="preserve">2. Cash Requirement Service calls Branch Service (via Feign) to get lat/long for distance calculation</w:t>
      </w:r>
    </w:p>
    <w:p>
      <w:pPr>
        <w:pStyle w:val="ListParagraph"/>
        <w:numPr>
          <w:ilvl w:val="0"/>
          <w:numId w:val="1"/>
        </w:numPr>
        <w:spacing w:after="80"/>
      </w:pPr>
      <w:r>
        <w:t xml:space="preserve">3. Both Feign clients resolve target addresses through Eureka at call time — no hardcoded ports</w:t>
      </w:r>
    </w:p>
    <w:p>
      <w:pPr>
        <w:pStyle w:val="ListParagraph"/>
        <w:numPr>
          <w:ilvl w:val="0"/>
          <w:numId w:val="1"/>
        </w:numPr>
        <w:spacing w:after="80"/>
      </w:pPr>
      <w:r>
        <w:t xml:space="preserve">4. Cash Requirement Service computes nearest surplus branch locally, returns the suggestion to the OJET client</w:t>
      </w:r>
    </w:p>
    <w:p>
      <w:pPr>
        <w:spacing w:after="150"/>
      </w:pPr>
      <w:r>
        <w:t xml:space="preserve">Example 2 — a transaction is recorded (from the Simulator or a future real feed) and the branch's reserve must update:</w:t>
      </w:r>
    </w:p>
    <w:p>
      <w:pPr>
        <w:pStyle w:val="ListParagraph"/>
        <w:numPr>
          <w:ilvl w:val="0"/>
          <w:numId w:val="1"/>
        </w:numPr>
        <w:spacing w:after="80"/>
      </w:pPr>
      <w:r>
        <w:t xml:space="preserve">1. Cash Management Service receives the transaction, saves it to its own CASH_TRANSACTION table</w:t>
      </w:r>
    </w:p>
    <w:p>
      <w:pPr>
        <w:pStyle w:val="ListParagraph"/>
        <w:numPr>
          <w:ilvl w:val="0"/>
          <w:numId w:val="1"/>
        </w:numPr>
        <w:spacing w:after="80"/>
      </w:pPr>
      <w:r>
        <w:t xml:space="preserve">2. Cash Management Service calls Branch Service's PATCH /api/branches/{branchId}/reserve endpoint via Feign, passing the signed delta (positive for deposit, negative for withdrawal)</w:t>
      </w:r>
    </w:p>
    <w:p>
      <w:pPr>
        <w:pStyle w:val="ListParagraph"/>
        <w:numPr>
          <w:ilvl w:val="0"/>
          <w:numId w:val="1"/>
        </w:numPr>
        <w:spacing w:after="80"/>
      </w:pPr>
      <w:r>
        <w:t xml:space="preserve">3. Branch Service updates CURRENT_RESERVE on its own BRANCH table and returns the updated branch</w:t>
      </w:r>
    </w:p>
    <w:p>
      <w:pPr>
        <w:pStyle w:val="ListParagraph"/>
        <w:numPr>
          <w:ilvl w:val="0"/>
          <w:numId w:val="1"/>
        </w:numPr>
        <w:spacing w:after="80"/>
      </w:pPr>
      <w:r>
        <w:t xml:space="preserve">4. This is the concrete instance of the data-ownership rule in Section 4.2: Cash Management Service never touches the BRANCH table directly, even though both tables live in the same physical database</w:t>
      </w:r>
    </w:p>
    <w:p>
      <w:pPr>
        <w:pStyle w:val="Heading1"/>
        <w:spacing w:after="200" w:before="400"/>
      </w:pPr>
      <w:r>
        <w:t xml:space="preserve">5. Service Discovery &amp; Inter-Service Communication</w:t>
      </w:r>
    </w:p>
    <w:p>
      <w:pPr>
        <w:pStyle w:val="Heading2"/>
        <w:spacing w:after="150" w:before="300"/>
      </w:pPr>
      <w:r>
        <w:t xml:space="preserve">5.1 Why Eureka</w:t>
      </w:r>
    </w:p>
    <w:p>
      <w:pPr>
        <w:spacing w:after="150"/>
      </w:pPr>
      <w:r>
        <w:t xml:space="preserve">Eureka Server is a registry: each business service registers itself on startup ("I am branch-service, I'm at host:port") and sends heartbeats. Other services ask Eureka to resolve a service name to a live address at call time, instead of using a hardcoded URL.</w:t>
      </w:r>
    </w:p>
    <w:p>
      <w:pPr>
        <w:spacing w:after="150"/>
      </w:pPr>
      <w:r>
        <w:t xml:space="preserve">For a project with 5 services all on fixed local ports, Eureka is not solving a scaling problem you actually have — it is included specifically to demonstrate the pattern, which is a legitimate and common reason to include infrastructure in a training project. This should be stated plainly if asked: Eureka's value here is educational/architectural completeness, not operational necessity at this scale.</w:t>
      </w:r>
    </w:p>
    <w:p>
      <w:pPr>
        <w:pStyle w:val="Heading2"/>
        <w:spacing w:after="150" w:before="300"/>
      </w:pPr>
      <w:r>
        <w:t xml:space="preserve">5.2 Why Feign</w:t>
      </w:r>
    </w:p>
    <w:p>
      <w:pPr>
        <w:spacing w:after="150"/>
      </w:pPr>
      <w:r>
        <w:t xml:space="preserve">Spring Cloud OpenFeign provides declarative HTTP clients — a Java interface with annotations, instead of manually building RestTemplate/HttpClient calls in every service. Combined with Eureka, a Feign client refers to a target service by name only; Eureka resolves the actual address underneath.</w:t>
      </w:r>
    </w:p>
    <w:p>
      <w:pPr>
        <w:pStyle w:val="Heading2"/>
        <w:spacing w:after="150" w:before="300"/>
      </w:pPr>
      <w:r>
        <w:t xml:space="preserve">5.3 What Was Deliberately Left Out</w:t>
      </w:r>
    </w:p>
    <w:p>
      <w:pPr>
        <w:pStyle w:val="ListParagraph"/>
        <w:numPr>
          <w:ilvl w:val="0"/>
          <w:numId w:val="1"/>
        </w:numPr>
        <w:spacing w:after="80"/>
      </w:pPr>
      <w:r>
        <w:t xml:space="preserve">No API Gateway — the OJET client calls each of the 5 business services directly on their own ports. A gateway would centralize routing/CORS/auth but adds a 7th process solving a problem (unified client entry point) that direct calls handle adequately at this scale.</w:t>
      </w:r>
    </w:p>
    <w:p>
      <w:pPr>
        <w:pStyle w:val="ListParagraph"/>
        <w:numPr>
          <w:ilvl w:val="0"/>
          <w:numId w:val="1"/>
        </w:numPr>
        <w:spacing w:after="80"/>
      </w:pPr>
      <w:r>
        <w:t xml:space="preserve">No client-side load balancing beyond Feign's default — not needed with single-instance services</w:t>
      </w:r>
    </w:p>
    <w:p>
      <w:pPr>
        <w:pStyle w:val="ListParagraph"/>
        <w:numPr>
          <w:ilvl w:val="0"/>
          <w:numId w:val="1"/>
        </w:numPr>
        <w:spacing w:after="80"/>
      </w:pPr>
      <w:r>
        <w:t xml:space="preserve">No circuit breaker (e.g., Resilience4j) — noted as a natural future addition once the base system is stable</w:t>
      </w:r>
    </w:p>
    <w:p>
      <w:pPr>
        <w:pStyle w:val="Heading1"/>
        <w:spacing w:after="200" w:before="400"/>
      </w:pPr>
      <w:r>
        <w:t xml:space="preserve">6. Database — Oracle Database 23ai</w:t>
      </w:r>
    </w:p>
    <w:p>
      <w:pPr>
        <w:spacing w:after="150"/>
      </w:pPr>
      <w:r>
        <w:t xml:space="preserve">Oracle Database 23ai is the confirmed target across all environments (local dev and any deployment). All DDL, JPA entity mappings, and connection configuration in this project and its companion Technical Implementation Guide are written against Oracle 23ai.</w:t>
      </w:r>
    </w:p>
    <w:p>
      <w:pPr>
        <w:spacing w:after="150"/>
      </w:pPr>
      <w:r>
        <w:t xml:space="preserve">Practically, this affects the project in a few small ways worth being aware of: 23ai's JSON-relational duality and native vector data types are available if the optional vector-based similar-branch matching (documented as a future enhancement in Section 10) is ever built — but the core system here uses only standard relational tables, no 23ai-specific features are load-bearing for the MVP.</w:t>
      </w:r>
    </w:p>
    <w:p>
      <w:pPr>
        <w:pStyle w:val="Heading1"/>
        <w:spacing w:after="200" w:before="400"/>
      </w:pPr>
      <w:r>
        <w:t xml:space="preserve">7. Data Model</w:t>
      </w:r>
    </w:p>
    <w:p>
      <w:pPr>
        <w:spacing w:after="150"/>
      </w:pPr>
      <w:r>
        <w:t xml:space="preserve">Unchanged from the original design. Full field-level tables are in the Technical Implementation Guide (DDL + JPA entities).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000"/>
      </w:tblGrid>
      <w:tr>
        <w:trPr>
          <w:tblHeader/>
        </w:trPr>
        <w:tc>
          <w:tcPr>
            <w:tcW w:type="dxa" w:w="2600"/>
            <w:shd w:fill="1F3A5F" w:val="clear"/>
            <w:tcMar>
              <w:top w:type="dxa" w:w="80"/>
              <w:left w:type="dxa" w:w="100"/>
              <w:bottom w:type="dxa" w:w="80"/>
              <w:right w:type="dxa" w:w="100"/>
            </w:tcMar>
          </w:tcPr>
          <w:p>
            <w:r>
              <w:rPr>
                <w:b/>
                <w:bCs/>
                <w:color w:val="FFFFFF"/>
              </w:rPr>
              <w:t xml:space="preserve">Entity</w:t>
            </w:r>
          </w:p>
        </w:tc>
        <w:tc>
          <w:tcPr>
            <w:tcW w:type="dxa" w:w="2800"/>
            <w:shd w:fill="1F3A5F" w:val="clear"/>
            <w:tcMar>
              <w:top w:type="dxa" w:w="80"/>
              <w:left w:type="dxa" w:w="100"/>
              <w:bottom w:type="dxa" w:w="80"/>
              <w:right w:type="dxa" w:w="100"/>
            </w:tcMar>
          </w:tcPr>
          <w:p>
            <w:r>
              <w:rPr>
                <w:b/>
                <w:bCs/>
                <w:color w:val="FFFFFF"/>
              </w:rPr>
              <w:t xml:space="preserve">Owning Service</w:t>
            </w:r>
          </w:p>
        </w:tc>
        <w:tc>
          <w:tcPr>
            <w:tcW w:type="dxa" w:w="4000"/>
            <w:shd w:fill="1F3A5F" w:val="clear"/>
            <w:tcMar>
              <w:top w:type="dxa" w:w="80"/>
              <w:left w:type="dxa" w:w="100"/>
              <w:bottom w:type="dxa" w:w="80"/>
              <w:right w:type="dxa" w:w="100"/>
            </w:tcMar>
          </w:tcPr>
          <w:p>
            <w:r>
              <w:rPr>
                <w:b/>
                <w:bCs/>
                <w:color w:val="FFFFFF"/>
              </w:rPr>
              <w:t xml:space="preserve">Key Fields</w:t>
            </w:r>
          </w:p>
        </w:tc>
      </w:tr>
      <w:tr>
        <w:tc>
          <w:tcPr>
            <w:tcW w:type="dxa" w:w="2600"/>
            <w:tcMar>
              <w:top w:type="dxa" w:w="80"/>
              <w:left w:type="dxa" w:w="100"/>
              <w:bottom w:type="dxa" w:w="80"/>
              <w:right w:type="dxa" w:w="100"/>
            </w:tcMar>
          </w:tcPr>
          <w:p>
            <w:r>
              <w:rPr>
                <w:b w:val="false"/>
                <w:bCs w:val="false"/>
              </w:rPr>
              <w:t xml:space="preserve">Branch</w:t>
            </w:r>
          </w:p>
        </w:tc>
        <w:tc>
          <w:tcPr>
            <w:tcW w:type="dxa" w:w="2800"/>
            <w:tcMar>
              <w:top w:type="dxa" w:w="80"/>
              <w:left w:type="dxa" w:w="100"/>
              <w:bottom w:type="dxa" w:w="80"/>
              <w:right w:type="dxa" w:w="100"/>
            </w:tcMar>
          </w:tcPr>
          <w:p>
            <w:r>
              <w:rPr>
                <w:b w:val="false"/>
                <w:bCs w:val="false"/>
              </w:rPr>
              <w:t xml:space="preserve">Branch Service</w:t>
            </w:r>
          </w:p>
        </w:tc>
        <w:tc>
          <w:tcPr>
            <w:tcW w:type="dxa" w:w="4000"/>
            <w:tcMar>
              <w:top w:type="dxa" w:w="80"/>
              <w:left w:type="dxa" w:w="100"/>
              <w:bottom w:type="dxa" w:w="80"/>
              <w:right w:type="dxa" w:w="100"/>
            </w:tcMar>
          </w:tcPr>
          <w:p>
            <w:r>
              <w:rPr>
                <w:b w:val="false"/>
                <w:bCs w:val="false"/>
              </w:rPr>
              <w:t xml:space="preserve">branchId, branchName, latitude, longitude, openingReserve, currentReserve, minThresholdPct</w:t>
            </w:r>
          </w:p>
        </w:tc>
      </w:tr>
      <w:tr>
        <w:tc>
          <w:tcPr>
            <w:tcW w:type="dxa" w:w="2600"/>
            <w:shd w:fill="F2F2F2" w:val="clear"/>
            <w:tcMar>
              <w:top w:type="dxa" w:w="80"/>
              <w:left w:type="dxa" w:w="100"/>
              <w:bottom w:type="dxa" w:w="80"/>
              <w:right w:type="dxa" w:w="100"/>
            </w:tcMar>
          </w:tcPr>
          <w:p>
            <w:r>
              <w:rPr>
                <w:b w:val="false"/>
                <w:bCs w:val="false"/>
              </w:rPr>
              <w:t xml:space="preserve">CashTransaction</w:t>
            </w:r>
          </w:p>
        </w:tc>
        <w:tc>
          <w:tcPr>
            <w:tcW w:type="dxa" w:w="2800"/>
            <w:shd w:fill="F2F2F2" w:val="clear"/>
            <w:tcMar>
              <w:top w:type="dxa" w:w="80"/>
              <w:left w:type="dxa" w:w="100"/>
              <w:bottom w:type="dxa" w:w="80"/>
              <w:right w:type="dxa" w:w="100"/>
            </w:tcMar>
          </w:tcPr>
          <w:p>
            <w:r>
              <w:rPr>
                <w:b w:val="false"/>
                <w:bCs w:val="false"/>
              </w:rPr>
              <w:t xml:space="preserve">Cash Management Service</w:t>
            </w:r>
          </w:p>
        </w:tc>
        <w:tc>
          <w:tcPr>
            <w:tcW w:type="dxa" w:w="4000"/>
            <w:shd w:fill="F2F2F2" w:val="clear"/>
            <w:tcMar>
              <w:top w:type="dxa" w:w="80"/>
              <w:left w:type="dxa" w:w="100"/>
              <w:bottom w:type="dxa" w:w="80"/>
              <w:right w:type="dxa" w:w="100"/>
            </w:tcMar>
          </w:tcPr>
          <w:p>
            <w:r>
              <w:rPr>
                <w:b w:val="false"/>
                <w:bCs w:val="false"/>
              </w:rPr>
              <w:t xml:space="preserve">transactionId, branchId, txnType, amount, eventTimestamp</w:t>
            </w:r>
          </w:p>
        </w:tc>
      </w:tr>
      <w:tr>
        <w:tc>
          <w:tcPr>
            <w:tcW w:type="dxa" w:w="2600"/>
            <w:tcMar>
              <w:top w:type="dxa" w:w="80"/>
              <w:left w:type="dxa" w:w="100"/>
              <w:bottom w:type="dxa" w:w="80"/>
              <w:right w:type="dxa" w:w="100"/>
            </w:tcMar>
          </w:tcPr>
          <w:p>
            <w:r>
              <w:rPr>
                <w:b w:val="false"/>
                <w:bCs w:val="false"/>
              </w:rPr>
              <w:t xml:space="preserve">ForecastSnapshot</w:t>
            </w:r>
          </w:p>
        </w:tc>
        <w:tc>
          <w:tcPr>
            <w:tcW w:type="dxa" w:w="2800"/>
            <w:tcMar>
              <w:top w:type="dxa" w:w="80"/>
              <w:left w:type="dxa" w:w="100"/>
              <w:bottom w:type="dxa" w:w="80"/>
              <w:right w:type="dxa" w:w="100"/>
            </w:tcMar>
          </w:tcPr>
          <w:p>
            <w:r>
              <w:rPr>
                <w:b w:val="false"/>
                <w:bCs w:val="false"/>
              </w:rPr>
              <w:t xml:space="preserve">Forecast Service</w:t>
            </w:r>
          </w:p>
        </w:tc>
        <w:tc>
          <w:tcPr>
            <w:tcW w:type="dxa" w:w="4000"/>
            <w:tcMar>
              <w:top w:type="dxa" w:w="80"/>
              <w:left w:type="dxa" w:w="100"/>
              <w:bottom w:type="dxa" w:w="80"/>
              <w:right w:type="dxa" w:w="100"/>
            </w:tcMar>
          </w:tcPr>
          <w:p>
            <w:r>
              <w:rPr>
                <w:b w:val="false"/>
                <w:bCs w:val="false"/>
              </w:rPr>
              <w:t xml:space="preserve">forecastId, branchId, forecastDate, predictedPosition, confidenceBandLow/High, actualPosition</w:t>
            </w:r>
          </w:p>
        </w:tc>
      </w:tr>
      <w:tr>
        <w:tc>
          <w:tcPr>
            <w:tcW w:type="dxa" w:w="2600"/>
            <w:shd w:fill="F2F2F2" w:val="clear"/>
            <w:tcMar>
              <w:top w:type="dxa" w:w="80"/>
              <w:left w:type="dxa" w:w="100"/>
              <w:bottom w:type="dxa" w:w="80"/>
              <w:right w:type="dxa" w:w="100"/>
            </w:tcMar>
          </w:tcPr>
          <w:p>
            <w:r>
              <w:rPr>
                <w:b w:val="false"/>
                <w:bCs w:val="false"/>
              </w:rPr>
              <w:t xml:space="preserve">TransferRequest</w:t>
            </w:r>
          </w:p>
        </w:tc>
        <w:tc>
          <w:tcPr>
            <w:tcW w:type="dxa" w:w="2800"/>
            <w:shd w:fill="F2F2F2" w:val="clear"/>
            <w:tcMar>
              <w:top w:type="dxa" w:w="80"/>
              <w:left w:type="dxa" w:w="100"/>
              <w:bottom w:type="dxa" w:w="80"/>
              <w:right w:type="dxa" w:w="100"/>
            </w:tcMar>
          </w:tcPr>
          <w:p>
            <w:r>
              <w:rPr>
                <w:b w:val="false"/>
                <w:bCs w:val="false"/>
              </w:rPr>
              <w:t xml:space="preserve">Cash Requirement Service</w:t>
            </w:r>
          </w:p>
        </w:tc>
        <w:tc>
          <w:tcPr>
            <w:tcW w:type="dxa" w:w="4000"/>
            <w:shd w:fill="F2F2F2" w:val="clear"/>
            <w:tcMar>
              <w:top w:type="dxa" w:w="80"/>
              <w:left w:type="dxa" w:w="100"/>
              <w:bottom w:type="dxa" w:w="80"/>
              <w:right w:type="dxa" w:w="100"/>
            </w:tcMar>
          </w:tcPr>
          <w:p>
            <w:r>
              <w:rPr>
                <w:b w:val="false"/>
                <w:bCs w:val="false"/>
              </w:rPr>
              <w:t xml:space="preserve">requestId, sourceBranchId, destinationBranchId, amount, status, requestedAt, updatedAt</w:t>
            </w:r>
          </w:p>
        </w:tc>
      </w:tr>
    </w:tbl>
    <w:p>
      <w:pPr>
        <w:pStyle w:val="Heading1"/>
        <w:spacing w:after="200" w:before="400"/>
      </w:pPr>
      <w:r>
        <w:t xml:space="preserve">8. Forecast Logic</w:t>
      </w:r>
    </w:p>
    <w:p>
      <w:pPr>
        <w:spacing w:after="150"/>
      </w:pPr>
      <w:r>
        <w:t xml:space="preserve">Unchanged from the original design — kept deliberately simple and explainable, no ML claims:</w:t>
      </w:r>
    </w:p>
    <w:p>
      <w:pPr>
        <w:pStyle w:val="ListParagraph"/>
        <w:numPr>
          <w:ilvl w:val="0"/>
          <w:numId w:val="1"/>
        </w:numPr>
        <w:spacing w:after="80"/>
      </w:pPr>
      <w:r>
        <w:t xml:space="preserve">Rolling 14-day mean and standard deviation of net daily position per branch</w:t>
      </w:r>
    </w:p>
    <w:p>
      <w:pPr>
        <w:pStyle w:val="ListParagraph"/>
        <w:numPr>
          <w:ilvl w:val="0"/>
          <w:numId w:val="1"/>
        </w:numPr>
        <w:spacing w:after="80"/>
      </w:pPr>
      <w:r>
        <w:t xml:space="preserve">Day-of-week adjustment — average historical net position for that specific weekday</w:t>
      </w:r>
    </w:p>
    <w:p>
      <w:pPr>
        <w:pStyle w:val="ListParagraph"/>
        <w:numPr>
          <w:ilvl w:val="0"/>
          <w:numId w:val="1"/>
        </w:numPr>
        <w:spacing w:after="80"/>
      </w:pPr>
      <w:r>
        <w:t xml:space="preserve">Simple linear trend over the rolling window</w:t>
      </w:r>
    </w:p>
    <w:p>
      <w:pPr>
        <w:pStyle w:val="ListParagraph"/>
        <w:numPr>
          <w:ilvl w:val="0"/>
          <w:numId w:val="1"/>
        </w:numPr>
        <w:spacing w:after="80"/>
      </w:pPr>
      <w:r>
        <w:t xml:space="preserve">Output: predicted next-day position with a ± 1 std-dev confidence band; flagged "at risk" if the low end of the band breaches the branch's minimum threshold</w:t>
      </w:r>
    </w:p>
    <w:p>
      <w:pPr>
        <w:spacing w:after="150"/>
      </w:pPr>
      <w:r>
        <w:t xml:space="preserve">Forecast Service computes this independently but needs current reserve and threshold data from Branch Service and Cash Management Service — both accessed via Feign, not shared tables.</w:t>
      </w:r>
    </w:p>
    <w:p>
      <w:pPr>
        <w:pStyle w:val="Heading1"/>
        <w:spacing w:after="200" w:before="400"/>
      </w:pPr>
      <w:r>
        <w:t xml:space="preserve">9. Simulator Service (Prototype-Only)</w:t>
      </w:r>
    </w:p>
    <w:p>
      <w:pPr>
        <w:spacing w:after="150"/>
      </w:pPr>
      <w:r>
        <w:t xml:space="preserve">Replaces the original Kafka-based transaction producer and the later manual Start/Stop button design. This is the final, confirmed behavior:</w:t>
      </w:r>
    </w:p>
    <w:p>
      <w:pPr>
        <w:pStyle w:val="ListParagraph"/>
        <w:numPr>
          <w:ilvl w:val="0"/>
          <w:numId w:val="1"/>
        </w:numPr>
        <w:spacing w:after="80"/>
      </w:pPr>
      <w:r>
        <w:t xml:space="preserve">Starts automatically as soon as the application stack is up — no manual trigger</w:t>
      </w:r>
    </w:p>
    <w:p>
      <w:pPr>
        <w:pStyle w:val="ListParagraph"/>
        <w:numPr>
          <w:ilvl w:val="0"/>
          <w:numId w:val="1"/>
        </w:numPr>
        <w:spacing w:after="80"/>
      </w:pPr>
      <w:r>
        <w:t xml:space="preserve">Runs on a fixed schedule (e.g., every few seconds), picking from the 4 seeded branches</w:t>
      </w:r>
    </w:p>
    <w:p>
      <w:pPr>
        <w:pStyle w:val="ListParagraph"/>
        <w:numPr>
          <w:ilvl w:val="0"/>
          <w:numId w:val="1"/>
        </w:numPr>
        <w:spacing w:after="80"/>
      </w:pPr>
      <w:r>
        <w:t xml:space="preserve">Generates a patterned distribution, not pure randomness: 3 branches are biased toward surplus (deposits favored whenever picked), 1 branch (BR004 / Thane) is permanently biased toward deficit (withdrawals favored whenever picked)</w:t>
      </w:r>
    </w:p>
    <w:p>
      <w:pPr>
        <w:spacing w:after="150" w:before="100"/>
      </w:pPr>
      <w:r>
        <w:rPr>
          <w:i/>
          <w:iCs/>
          <w:color w:val="444444"/>
        </w:rPr>
        <w:t xml:space="preserve">Precision worth stating plainly if asked to trace a single transaction: branch selection each tick is still random across all 4 branches — it is the bias applied once a branch is picked that is fixed to that branch, not a guarantee that the deficit branch fires every tick. Over a multi-minute demo this reliably produces the same overall story (Thane trending short, others trending surplus), but any single tick is not deterministic. Don't overclaim this as "the same branch every run" — describe it as a fixed bias with random selection.</w:t>
      </w:r>
    </w:p>
    <w:p>
      <w:pPr>
        <w:pStyle w:val="ListParagraph"/>
        <w:numPr>
          <w:ilvl w:val="0"/>
          <w:numId w:val="1"/>
        </w:numPr>
        <w:spacing w:after="80"/>
      </w:pPr>
      <w:r>
        <w:t xml:space="preserve">Calls Cash Management Service directly via a Feign client — no queue, no broker</w:t>
      </w:r>
    </w:p>
    <w:p>
      <w:pPr>
        <w:spacing w:after="150" w:before="100"/>
      </w:pPr>
      <w:r>
        <w:rPr>
          <w:i/>
          <w:iCs/>
          <w:color w:val="444444"/>
        </w:rPr>
        <w:t xml:space="preserve">This service is intentionally isolated: its own Spring Boot application, its own package namespace, and its own log prefix (e.g., all log lines tagged [SIMULATOR]) specifically so it reads clearly in code and in logs as a stand-in for a real-time OTC deposit/withdrawal feed — to be deleted, not refactored, once real transaction integration exists. It should never be architecturally entangled with Cash Management Service's own logic.</w:t>
      </w:r>
    </w:p>
    <w:p>
      <w:pPr>
        <w:pStyle w:val="Heading1"/>
        <w:spacing w:after="200" w:before="400"/>
      </w:pPr>
      <w:r>
        <w:t xml:space="preserve">10. Authentication</w:t>
      </w:r>
    </w:p>
    <w:p>
      <w:pPr>
        <w:spacing w:after="150"/>
      </w:pPr>
      <w:r>
        <w:t xml:space="preserve">Single login page. Username and password are checked against a database table; on success, a token is issued and used for subsequent requests. One role only for this prototype — no Branch Manager/Admin distinction yet.</w:t>
      </w:r>
    </w:p>
    <w:p>
      <w:pPr>
        <w:spacing w:after="150" w:before="100"/>
      </w:pPr>
      <w:r>
        <w:rPr>
          <w:i/>
          <w:iCs/>
          <w:color w:val="444444"/>
        </w:rPr>
        <w:t xml:space="preserve">This is a deliberate simplification, not a gap: role-based access is isolated to the auth layer and can be added later (e.g., a role column plus endpoint-level checks) without touching core business logic in any of the 5 services. Worth stating this explicitly if asked why RBAC isn't in v1.</w:t>
      </w:r>
    </w:p>
    <w:p>
      <w:pPr>
        <w:pStyle w:val="Heading1"/>
        <w:spacing w:after="200" w:before="400"/>
      </w:pPr>
      <w:r>
        <w:t xml:space="preserve">11. Startup Sequence</w:t>
      </w:r>
    </w:p>
    <w:p>
      <w:pPr>
        <w:spacing w:after="150"/>
      </w:pPr>
      <w:r>
        <w:t xml:space="preserve">Correct startup order matters because Feign/Eureka registration can fail or delay if a service starts before Eureka Server is ready. A bash script (full script in the Technical Implementation Guide) enforces this order:</w:t>
      </w:r>
    </w:p>
    <w:p>
      <w:pPr>
        <w:pStyle w:val="ListParagraph"/>
        <w:numPr>
          <w:ilvl w:val="0"/>
          <w:numId w:val="1"/>
        </w:numPr>
        <w:spacing w:after="80"/>
      </w:pPr>
      <w:r>
        <w:t xml:space="preserve">1. Start Eureka Server</w:t>
      </w:r>
    </w:p>
    <w:p>
      <w:pPr>
        <w:pStyle w:val="ListParagraph"/>
        <w:numPr>
          <w:ilvl w:val="0"/>
          <w:numId w:val="1"/>
        </w:numPr>
        <w:spacing w:after="80"/>
      </w:pPr>
      <w:r>
        <w:t xml:space="preserve">2. Poll Eureka Server's health endpoint until it responds healthy</w:t>
      </w:r>
    </w:p>
    <w:p>
      <w:pPr>
        <w:pStyle w:val="ListParagraph"/>
        <w:numPr>
          <w:ilvl w:val="0"/>
          <w:numId w:val="1"/>
        </w:numPr>
        <w:spacing w:after="80"/>
      </w:pPr>
      <w:r>
        <w:t xml:space="preserve">3. Start Branch Service, Cash Management Service, Forecast Service, Cash Requirement Service (can start in parallel once Eureka is confirmed up)</w:t>
      </w:r>
    </w:p>
    <w:p>
      <w:pPr>
        <w:pStyle w:val="ListParagraph"/>
        <w:numPr>
          <w:ilvl w:val="0"/>
          <w:numId w:val="1"/>
        </w:numPr>
        <w:spacing w:after="80"/>
      </w:pPr>
      <w:r>
        <w:t xml:space="preserve">4. Start Simulator Service last, since it depends on Cash Management Service being registered and reachable</w:t>
      </w:r>
    </w:p>
    <w:p>
      <w:pPr>
        <w:pStyle w:val="ListParagraph"/>
        <w:numPr>
          <w:ilvl w:val="0"/>
          <w:numId w:val="1"/>
        </w:numPr>
        <w:spacing w:after="80"/>
      </w:pPr>
      <w:r>
        <w:t xml:space="preserve">5. Script logs each step so startup order is visible and debuggable during a live demo</w:t>
      </w:r>
    </w:p>
    <w:p>
      <w:pPr>
        <w:pStyle w:val="Heading1"/>
        <w:spacing w:after="200" w:before="400"/>
      </w:pPr>
      <w:r>
        <w:t xml:space="preserve">12. UI / UX Design</w:t>
      </w:r>
    </w:p>
    <w:p>
      <w:pPr>
        <w:spacing w:after="150"/>
      </w:pPr>
      <w:r>
        <w:t xml:space="preserve">Carried over from the original design, rebuilt on Oracle JET instead of AngularJS. Full shell with sidebar (Home, Cash Management, Customers, Reports, Settings) — only Home and Cash Management are functional; other sections are hardcoded and explicitly labeled as UI mockups.</w:t>
      </w:r>
    </w:p>
    <w:p>
      <w:pPr>
        <w:pStyle w:val="Heading3"/>
        <w:spacing w:after="100" w:before="200"/>
      </w:pPr>
      <w:r>
        <w:t xml:space="preserve">Home — Bento Grid</w:t>
      </w:r>
    </w:p>
    <w:p>
      <w:pPr>
        <w:pStyle w:val="ListParagraph"/>
        <w:numPr>
          <w:ilvl w:val="0"/>
          <w:numId w:val="1"/>
        </w:numPr>
        <w:spacing w:after="80"/>
      </w:pPr>
      <w:r>
        <w:t xml:space="preserve">Largest card: Cash Management summary — status label (surplus/deficit, color-coded), amount, percentage relative to threshold, tomorrow's forecast trend arrow</w:t>
      </w:r>
    </w:p>
    <w:p>
      <w:pPr>
        <w:pStyle w:val="ListParagraph"/>
        <w:numPr>
          <w:ilvl w:val="0"/>
          <w:numId w:val="1"/>
        </w:numPr>
        <w:spacing w:after="80"/>
      </w:pPr>
      <w:r>
        <w:t xml:space="preserve">No freshness/recency indicator — dropped earlier as unnecessary for a data-driven, not timer-driven, dashboard</w:t>
      </w:r>
    </w:p>
    <w:p>
      <w:pPr>
        <w:pStyle w:val="Heading3"/>
        <w:spacing w:after="100" w:before="200"/>
      </w:pPr>
      <w:r>
        <w:t xml:space="preserve">Cash Management Section</w:t>
      </w:r>
    </w:p>
    <w:p>
      <w:pPr>
        <w:pStyle w:val="ListParagraph"/>
        <w:numPr>
          <w:ilvl w:val="0"/>
          <w:numId w:val="1"/>
        </w:numPr>
        <w:spacing w:after="80"/>
      </w:pPr>
      <w:r>
        <w:t xml:space="preserve">Branch Position view — live reserve vs. threshold per branch, recent transaction feed (now populated by the auto-running Simulator Service, not manual buttons)</w:t>
      </w:r>
    </w:p>
    <w:p>
      <w:pPr>
        <w:pStyle w:val="ListParagraph"/>
        <w:numPr>
          <w:ilvl w:val="0"/>
          <w:numId w:val="1"/>
        </w:numPr>
        <w:spacing w:after="80"/>
      </w:pPr>
      <w:r>
        <w:t xml:space="preserve">Forecast view — 14-day trend chart + tomorrow's prediction with confidence band</w:t>
      </w:r>
    </w:p>
    <w:p>
      <w:pPr>
        <w:pStyle w:val="ListParagraph"/>
        <w:numPr>
          <w:ilvl w:val="0"/>
          <w:numId w:val="1"/>
        </w:numPr>
        <w:spacing w:after="80"/>
      </w:pPr>
      <w:r>
        <w:t xml:space="preserve">Transfer Requests board — kanban: Requested / Approved / Dispatched / Delivered</w:t>
      </w:r>
    </w:p>
    <w:p>
      <w:pPr>
        <w:pStyle w:val="ListParagraph"/>
        <w:numPr>
          <w:ilvl w:val="0"/>
          <w:numId w:val="1"/>
        </w:numPr>
        <w:spacing w:after="80"/>
      </w:pPr>
      <w:r>
        <w:t xml:space="preserve">Threshold Configuration — open to all users in this prototype, with an inline disclaimer that it would be manager-restricted in real production</w:t>
      </w:r>
    </w:p>
    <w:p>
      <w:pPr>
        <w:pStyle w:val="Heading1"/>
        <w:spacing w:after="200" w:before="400"/>
      </w:pPr>
      <w:r>
        <w:t xml:space="preserve">13. Future Enhancements</w:t>
      </w:r>
    </w:p>
    <w:p>
      <w:pPr>
        <w:pStyle w:val="ListParagraph"/>
        <w:numPr>
          <w:ilvl w:val="0"/>
          <w:numId w:val="1"/>
        </w:numPr>
        <w:spacing w:after="80"/>
      </w:pPr>
      <w:r>
        <w:t xml:space="preserve">Real OTC integration replacing Simulator Service entirely</w:t>
      </w:r>
    </w:p>
    <w:p>
      <w:pPr>
        <w:pStyle w:val="ListParagraph"/>
        <w:numPr>
          <w:ilvl w:val="0"/>
          <w:numId w:val="1"/>
        </w:numPr>
        <w:spacing w:after="80"/>
      </w:pPr>
      <w:r>
        <w:t xml:space="preserve">Role-based access control (Branch Manager vs. Regional/Ops Admin)</w:t>
      </w:r>
    </w:p>
    <w:p>
      <w:pPr>
        <w:pStyle w:val="ListParagraph"/>
        <w:numPr>
          <w:ilvl w:val="0"/>
          <w:numId w:val="1"/>
        </w:numPr>
        <w:spacing w:after="80"/>
      </w:pPr>
      <w:r>
        <w:t xml:space="preserve">API Gateway for a single client-facing entry point</w:t>
      </w:r>
    </w:p>
    <w:p>
      <w:pPr>
        <w:pStyle w:val="ListParagraph"/>
        <w:numPr>
          <w:ilvl w:val="0"/>
          <w:numId w:val="1"/>
        </w:numPr>
        <w:spacing w:after="80"/>
      </w:pPr>
      <w:r>
        <w:t xml:space="preserve">Circuit breaker (Resilience4j) around Feign calls for resilience</w:t>
      </w:r>
    </w:p>
    <w:p>
      <w:pPr>
        <w:pStyle w:val="ListParagraph"/>
        <w:numPr>
          <w:ilvl w:val="0"/>
          <w:numId w:val="1"/>
        </w:numPr>
        <w:spacing w:after="80"/>
      </w:pPr>
      <w:r>
        <w:t xml:space="preserve">Vector DB similar-branch matching for cold-start forecasting on new branches — Oracle 23ai's native vector data type is available for this if pursued, since the DB target already supports it</w:t>
      </w:r>
    </w:p>
    <w:p>
      <w:pPr>
        <w:pStyle w:val="Heading1"/>
        <w:spacing w:after="200" w:before="400"/>
      </w:pPr>
      <w:r>
        <w:t xml:space="preserve">14. Summary</w:t>
      </w:r>
    </w:p>
    <w:p>
      <w:pPr>
        <w:spacing w:after="150"/>
      </w:pPr>
      <w:r>
        <w:t xml:space="preserve">6 processes, 1 shared Oracle Database 23ai instance, Feign-over-Eureka for all inter-service calls, no Kafka, Oracle JET frontend, single-role auth, and an isolated prototype simulator standing in for real-time transaction data. Every simplification in this design (no Gateway, no RBAC, no circuit breaker, no Kafka) is a deliberate, explainable scope decision — not a gap — and each is documented above with the reasoning, ready to defend in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Branch Cash Position &amp; Transfer System — Development Blueprint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2026-08-18T04:28:22.322Z</dcterms:created>
  <dcterms:modified xsi:type="dcterms:W3CDTF">2026-08-18T04:28:22.345Z</dcterms:modified>
</cp:coreProperties>
</file>

<file path=docProps/custom.xml><?xml version="1.0" encoding="utf-8"?>
<Properties xmlns="http://schemas.openxmlformats.org/officeDocument/2006/custom-properties" xmlns:vt="http://schemas.openxmlformats.org/officeDocument/2006/docPropsVTypes"/>
</file>