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lineRule="auto" w:line="360"/>
        <w:jc w:val="center"/>
      </w:pPr>
      <w:r>
        <w:rPr>
          <w:rFonts w:ascii="Times New Roman" w:hAnsi="Times New Roman" w:cs="Times New Roman" w:eastAsia="Times New Roman"/>
          <w:b/>
          <w:i w:val="0"/>
          <w:color w:val="1A356E"/>
          <w:sz w:val="30"/>
        </w:rPr>
        <w:t>CHAUDHARY CHARAN SINGH UNIVERSITY, MEERUT</w:t>
      </w:r>
    </w:p>
    <w:p>
      <w:pPr>
        <w:spacing w:before="0" w:after="40" w:lineRule="auto" w:line="360"/>
        <w:jc w:val="center"/>
      </w:pPr>
      <w:r>
        <w:rPr>
          <w:rFonts w:ascii="Times New Roman" w:hAnsi="Times New Roman" w:cs="Times New Roman" w:eastAsia="Times New Roman"/>
          <w:b/>
          <w:i w:val="0"/>
          <w:color w:val="1A356E"/>
          <w:sz w:val="24"/>
        </w:rPr>
        <w:t>Department of Education</w:t>
      </w:r>
    </w:p>
    <w:p>
      <w:pPr>
        <w:spacing w:before="0" w:after="400" w:lineRule="auto" w:line="360"/>
        <w:jc w:val="center"/>
      </w:pPr>
      <w:r>
        <w:rPr>
          <w:rFonts w:ascii="Times New Roman" w:hAnsi="Times New Roman" w:cs="Times New Roman" w:eastAsia="Times New Roman"/>
          <w:b/>
          <w:i w:val="0"/>
          <w:color w:val="1A356E"/>
          <w:sz w:val="22"/>
        </w:rPr>
        <w:t>Meerut College, Meerut (Affiliated to CCSU, Meerut)</w:t>
      </w:r>
    </w:p>
    <w:p>
      <w:pPr>
        <w:spacing w:before="80" w:after="80"/>
        <w:jc w:val="center"/>
      </w:pPr>
      <w:r>
        <w:rPr>
          <w:rFonts w:ascii="Times New Roman" w:hAnsi="Times New Roman" w:cs="Times New Roman" w:eastAsia="Times New Roman"/>
          <w:b w:val="0"/>
          <w:i w:val="0"/>
          <w:sz w:val="18"/>
        </w:rPr>
        <w:t>────────────────────────────────────────────────────────────</w:t>
      </w:r>
    </w:p>
    <w:p>
      <w:pPr>
        <w:spacing w:before="240" w:after="240" w:lineRule="auto" w:line="360"/>
        <w:jc w:val="center"/>
      </w:pPr>
      <w:r>
        <w:rPr>
          <w:rFonts w:ascii="Times New Roman" w:hAnsi="Times New Roman" w:cs="Times New Roman" w:eastAsia="Times New Roman"/>
          <w:b/>
          <w:i w:val="0"/>
          <w:color w:val="8B0000"/>
          <w:sz w:val="36"/>
        </w:rPr>
        <w:t>M.Ed. DISSERTATION</w:t>
      </w:r>
    </w:p>
    <w:p>
      <w:pPr>
        <w:spacing w:before="80" w:after="80"/>
        <w:jc w:val="center"/>
      </w:pPr>
      <w:r>
        <w:rPr>
          <w:rFonts w:ascii="Times New Roman" w:hAnsi="Times New Roman" w:cs="Times New Roman" w:eastAsia="Times New Roman"/>
          <w:b w:val="0"/>
          <w:i w:val="0"/>
          <w:sz w:val="18"/>
        </w:rPr>
        <w:t>────────────────────────────────────────────────────────────</w:t>
      </w:r>
    </w:p>
    <w:p>
      <w:pPr>
        <w:spacing w:before="320" w:after="320"/>
        <w:jc w:val="center"/>
      </w:pPr>
      <w:r>
        <w:rPr>
          <w:rFonts w:ascii="Times New Roman" w:hAnsi="Times New Roman" w:cs="Times New Roman" w:eastAsia="Times New Roman"/>
          <w:b/>
          <w:i w:val="0"/>
          <w:color w:val="1A356E"/>
          <w:sz w:val="30"/>
        </w:rPr>
        <w:t>“A COMPARATIVE STUDY OF THE VOCATIONAL INTERESTS</w:t>
        <w:br/>
        <w:t>OF BOYS AND GIRLS STUDYING AT SECONDARY LEVEL”</w:t>
      </w:r>
    </w:p>
    <w:p>
      <w:pPr>
        <w:spacing w:before="80" w:after="80"/>
        <w:jc w:val="center"/>
      </w:pPr>
      <w:r>
        <w:rPr>
          <w:rFonts w:ascii="Times New Roman" w:hAnsi="Times New Roman" w:cs="Times New Roman" w:eastAsia="Times New Roman"/>
          <w:b w:val="0"/>
          <w:i w:val="0"/>
          <w:sz w:val="18"/>
        </w:rPr>
        <w:t>────────────────────────────────────────────────────────────</w:t>
      </w:r>
    </w:p>
    <w:p/>
    <w:p>
      <w:pPr>
        <w:spacing w:after="60"/>
        <w:jc w:val="center"/>
      </w:pPr>
      <w:r>
        <w:rPr>
          <w:rFonts w:ascii="Times New Roman" w:hAnsi="Times New Roman" w:cs="Times New Roman" w:eastAsia="Times New Roman"/>
          <w:b/>
          <w:i w:val="0"/>
          <w:sz w:val="24"/>
        </w:rPr>
        <w:t xml:space="preserve">Submitted by:  </w:t>
      </w:r>
      <w:r>
        <w:rPr>
          <w:rFonts w:ascii="Times New Roman" w:hAnsi="Times New Roman" w:cs="Times New Roman" w:eastAsia="Times New Roman"/>
          <w:b w:val="0"/>
          <w:i w:val="0"/>
          <w:sz w:val="24"/>
        </w:rPr>
        <w:t>VIPUL CHAUDHARY</w:t>
      </w:r>
    </w:p>
    <w:p>
      <w:pPr>
        <w:spacing w:after="60"/>
        <w:jc w:val="center"/>
      </w:pPr>
      <w:r>
        <w:rPr>
          <w:rFonts w:ascii="Times New Roman" w:hAnsi="Times New Roman" w:cs="Times New Roman" w:eastAsia="Times New Roman"/>
          <w:b/>
          <w:i w:val="0"/>
          <w:sz w:val="24"/>
        </w:rPr>
        <w:t xml:space="preserve">Roll Number:  </w:t>
      </w:r>
      <w:r>
        <w:rPr>
          <w:rFonts w:ascii="Times New Roman" w:hAnsi="Times New Roman" w:cs="Times New Roman" w:eastAsia="Times New Roman"/>
          <w:b w:val="0"/>
          <w:i w:val="0"/>
          <w:sz w:val="24"/>
        </w:rPr>
        <w:t>230557023</w:t>
      </w:r>
    </w:p>
    <w:p>
      <w:pPr>
        <w:spacing w:after="60"/>
        <w:jc w:val="center"/>
      </w:pPr>
      <w:r>
        <w:rPr>
          <w:rFonts w:ascii="Times New Roman" w:hAnsi="Times New Roman" w:cs="Times New Roman" w:eastAsia="Times New Roman"/>
          <w:b/>
          <w:i w:val="0"/>
          <w:sz w:val="24"/>
        </w:rPr>
        <w:t xml:space="preserve">Father’s Name:  </w:t>
      </w:r>
      <w:r>
        <w:rPr>
          <w:rFonts w:ascii="Times New Roman" w:hAnsi="Times New Roman" w:cs="Times New Roman" w:eastAsia="Times New Roman"/>
          <w:b w:val="0"/>
          <w:i w:val="0"/>
          <w:sz w:val="24"/>
        </w:rPr>
        <w:t>Shri Rajesh Kumar</w:t>
      </w:r>
    </w:p>
    <w:p>
      <w:pPr>
        <w:spacing w:after="60"/>
        <w:jc w:val="center"/>
      </w:pPr>
      <w:r>
        <w:rPr>
          <w:rFonts w:ascii="Times New Roman" w:hAnsi="Times New Roman" w:cs="Times New Roman" w:eastAsia="Times New Roman"/>
          <w:b/>
          <w:i w:val="0"/>
          <w:sz w:val="24"/>
        </w:rPr>
        <w:t xml:space="preserve">Mother’s Name:  </w:t>
      </w:r>
      <w:r>
        <w:rPr>
          <w:rFonts w:ascii="Times New Roman" w:hAnsi="Times New Roman" w:cs="Times New Roman" w:eastAsia="Times New Roman"/>
          <w:b w:val="0"/>
          <w:i w:val="0"/>
          <w:sz w:val="24"/>
        </w:rPr>
        <w:t>Smt. Asha Chaudhary</w:t>
      </w:r>
    </w:p>
    <w:p>
      <w:pPr>
        <w:spacing w:after="60"/>
        <w:jc w:val="center"/>
      </w:pPr>
      <w:r>
        <w:rPr>
          <w:rFonts w:ascii="Times New Roman" w:hAnsi="Times New Roman" w:cs="Times New Roman" w:eastAsia="Times New Roman"/>
          <w:b/>
          <w:i w:val="0"/>
          <w:sz w:val="24"/>
        </w:rPr>
        <w:t xml:space="preserve">Brother’s Name:  </w:t>
      </w:r>
      <w:r>
        <w:rPr>
          <w:rFonts w:ascii="Times New Roman" w:hAnsi="Times New Roman" w:cs="Times New Roman" w:eastAsia="Times New Roman"/>
          <w:b w:val="0"/>
          <w:i w:val="0"/>
          <w:sz w:val="24"/>
        </w:rPr>
        <w:t>Yash Chaudhary</w:t>
      </w:r>
    </w:p>
    <w:p>
      <w:pPr>
        <w:spacing w:after="60"/>
        <w:jc w:val="center"/>
      </w:pPr>
      <w:r>
        <w:rPr>
          <w:rFonts w:ascii="Times New Roman" w:hAnsi="Times New Roman" w:cs="Times New Roman" w:eastAsia="Times New Roman"/>
          <w:b/>
          <w:i w:val="0"/>
          <w:sz w:val="24"/>
        </w:rPr>
        <w:t xml:space="preserve">Degree:  </w:t>
      </w:r>
      <w:r>
        <w:rPr>
          <w:rFonts w:ascii="Times New Roman" w:hAnsi="Times New Roman" w:cs="Times New Roman" w:eastAsia="Times New Roman"/>
          <w:b w:val="0"/>
          <w:i w:val="0"/>
          <w:sz w:val="24"/>
        </w:rPr>
        <w:t>Master of Education (M.Ed.)</w:t>
      </w:r>
    </w:p>
    <w:p>
      <w:pPr>
        <w:spacing w:after="60"/>
        <w:jc w:val="center"/>
      </w:pPr>
      <w:r>
        <w:rPr>
          <w:rFonts w:ascii="Times New Roman" w:hAnsi="Times New Roman" w:cs="Times New Roman" w:eastAsia="Times New Roman"/>
          <w:b/>
          <w:i w:val="0"/>
          <w:sz w:val="24"/>
        </w:rPr>
        <w:t xml:space="preserve">Session:  </w:t>
      </w:r>
      <w:r>
        <w:rPr>
          <w:rFonts w:ascii="Times New Roman" w:hAnsi="Times New Roman" w:cs="Times New Roman" w:eastAsia="Times New Roman"/>
          <w:b w:val="0"/>
          <w:i w:val="0"/>
          <w:sz w:val="24"/>
        </w:rPr>
        <w:t>2024–2026</w:t>
      </w:r>
    </w:p>
    <w:p>
      <w:pPr>
        <w:spacing w:after="60"/>
        <w:jc w:val="center"/>
      </w:pPr>
      <w:r>
        <w:rPr>
          <w:rFonts w:ascii="Times New Roman" w:hAnsi="Times New Roman" w:cs="Times New Roman" w:eastAsia="Times New Roman"/>
          <w:b/>
          <w:i w:val="0"/>
          <w:sz w:val="24"/>
        </w:rPr>
        <w:t xml:space="preserve">Supervisor:  </w:t>
      </w:r>
      <w:r>
        <w:rPr>
          <w:rFonts w:ascii="Times New Roman" w:hAnsi="Times New Roman" w:cs="Times New Roman" w:eastAsia="Times New Roman"/>
          <w:b w:val="0"/>
          <w:i w:val="0"/>
          <w:sz w:val="24"/>
        </w:rPr>
        <w:t>Dr. Seema Sharma, Associate Professor</w:t>
      </w:r>
    </w:p>
    <w:p>
      <w:pPr>
        <w:spacing w:after="60"/>
        <w:jc w:val="center"/>
      </w:pPr>
      <w:r>
        <w:rPr>
          <w:rFonts w:ascii="Times New Roman" w:hAnsi="Times New Roman" w:cs="Times New Roman" w:eastAsia="Times New Roman"/>
          <w:b/>
          <w:i w:val="0"/>
          <w:sz w:val="24"/>
        </w:rPr>
        <w:t xml:space="preserve">Department:  </w:t>
      </w:r>
      <w:r>
        <w:rPr>
          <w:rFonts w:ascii="Times New Roman" w:hAnsi="Times New Roman" w:cs="Times New Roman" w:eastAsia="Times New Roman"/>
          <w:b w:val="0"/>
          <w:i w:val="0"/>
          <w:sz w:val="24"/>
        </w:rPr>
        <w:t>Department of Education, Meerut College, Meerut</w:t>
      </w:r>
    </w:p>
    <w:p>
      <w:pPr>
        <w:spacing w:after="60"/>
        <w:jc w:val="center"/>
      </w:pPr>
      <w:r>
        <w:rPr>
          <w:rFonts w:ascii="Times New Roman" w:hAnsi="Times New Roman" w:cs="Times New Roman" w:eastAsia="Times New Roman"/>
          <w:b/>
          <w:i w:val="0"/>
          <w:sz w:val="24"/>
        </w:rPr>
        <w:t xml:space="preserve">University:  </w:t>
      </w:r>
      <w:r>
        <w:rPr>
          <w:rFonts w:ascii="Times New Roman" w:hAnsi="Times New Roman" w:cs="Times New Roman" w:eastAsia="Times New Roman"/>
          <w:b w:val="0"/>
          <w:i w:val="0"/>
          <w:sz w:val="24"/>
        </w:rPr>
        <w:t>Chaudhary Charan Singh University, Meerut</w:t>
      </w:r>
    </w:p>
    <w:p/>
    <w:p>
      <w:pPr>
        <w:spacing w:before="80" w:after="80"/>
        <w:jc w:val="center"/>
      </w:pPr>
      <w:r>
        <w:rPr>
          <w:rFonts w:ascii="Times New Roman" w:hAnsi="Times New Roman" w:cs="Times New Roman" w:eastAsia="Times New Roman"/>
          <w:b w:val="0"/>
          <w:i w:val="0"/>
          <w:sz w:val="18"/>
        </w:rPr>
        <w:t>────────────────────────────────────────────────────────────</w:t>
      </w:r>
    </w:p>
    <w:p>
      <w:pPr>
        <w:spacing w:before="160" w:after="0" w:lineRule="auto" w:line="360"/>
        <w:jc w:val="center"/>
      </w:pPr>
      <w:r>
        <w:rPr>
          <w:rFonts w:ascii="Times New Roman" w:hAnsi="Times New Roman" w:cs="Times New Roman" w:eastAsia="Times New Roman"/>
          <w:b/>
          <w:i w:val="0"/>
          <w:color w:val="1A356E"/>
          <w:sz w:val="26"/>
        </w:rPr>
        <w:t>2024–2026</w:t>
      </w:r>
    </w:p>
    <w:p>
      <w:r>
        <w:br w:type="page"/>
      </w:r>
    </w:p>
    <w:p>
      <w:pPr>
        <w:spacing w:before="400" w:after="160" w:lineRule="auto" w:line="276"/>
        <w:jc w:val="center"/>
      </w:pPr>
      <w:r>
        <w:rPr>
          <w:rFonts w:ascii="Times New Roman" w:hAnsi="Times New Roman" w:cs="Times New Roman" w:eastAsia="Times New Roman"/>
          <w:b/>
          <w:i w:val="0"/>
          <w:color w:val="1A356E"/>
          <w:sz w:val="32"/>
        </w:rPr>
        <w:t>SUPERVISOR’S CERTIFICATE</w:t>
      </w:r>
    </w:p>
    <w:p>
      <w:pPr>
        <w:spacing w:before="0" w:after="120" w:lineRule="auto" w:line="360"/>
        <w:jc w:val="both"/>
      </w:pPr>
      <w:r>
        <w:rPr>
          <w:rFonts w:ascii="Times New Roman" w:hAnsi="Times New Roman" w:cs="Times New Roman" w:eastAsia="Times New Roman"/>
          <w:b w:val="0"/>
          <w:i w:val="0"/>
          <w:sz w:val="24"/>
        </w:rPr>
        <w:t>This is to certify that the dissertation entitled “A Comparative Study of the Vocational Interests of Boys and Girls Studying at Secondary Level” has been prepared by Vipul Chaudhary (Roll No. 230557023) under my direct supervision and guidance, in partial fulfilment of the requirements for the degree of Master of Education (M.Ed.) from Chaudhary Charan Singh University, Meerut, during the academic session 2024–2026.</w:t>
      </w:r>
    </w:p>
    <w:p/>
    <w:p>
      <w:pPr>
        <w:spacing w:before="0" w:after="120" w:lineRule="auto" w:line="360"/>
        <w:jc w:val="both"/>
      </w:pPr>
      <w:r>
        <w:rPr>
          <w:rFonts w:ascii="Times New Roman" w:hAnsi="Times New Roman" w:cs="Times New Roman" w:eastAsia="Times New Roman"/>
          <w:b w:val="0"/>
          <w:i w:val="0"/>
          <w:sz w:val="24"/>
        </w:rPr>
        <w:t>The work is original and has not been submitted, either in whole or in part, for the award of any degree or diploma to any other university or institution. To the best of my knowledge and belief, the dissertation fulfils all academic requirements prescribed by Chaudhary Charan Singh University for the award of the M.Ed. degree. I recommend it for submission and evaluation.</w:t>
      </w:r>
    </w:p>
    <w:p/>
    <w:p/>
    <w:p>
      <w:pPr>
        <w:spacing w:before="0" w:after="120" w:lineRule="auto" w:line="360"/>
        <w:jc w:val="both"/>
      </w:pPr>
      <w:r>
        <w:rPr>
          <w:rFonts w:ascii="Times New Roman" w:hAnsi="Times New Roman" w:cs="Times New Roman" w:eastAsia="Times New Roman"/>
          <w:b w:val="0"/>
          <w:i w:val="0"/>
          <w:sz w:val="24"/>
        </w:rPr>
        <w:t>Date: ____________________          Place: Meerut</w:t>
      </w:r>
    </w:p>
    <w:p/>
    <w:p/>
    <w:p>
      <w:pPr>
        <w:spacing w:before="80" w:after="80" w:lineRule="auto" w:line="360"/>
        <w:jc w:val="right"/>
      </w:pPr>
      <w:r>
        <w:rPr>
          <w:rFonts w:ascii="Times New Roman" w:hAnsi="Times New Roman" w:cs="Times New Roman" w:eastAsia="Times New Roman"/>
          <w:b/>
          <w:i w:val="0"/>
          <w:sz w:val="24"/>
        </w:rPr>
        <w:t>(Dr. Seema Sharma)</w:t>
        <w:br/>
        <w:t>Associate Professor</w:t>
        <w:br/>
        <w:t>Department of Education</w:t>
        <w:br/>
        <w:t>Meerut College, Meerut</w:t>
        <w:br/>
        <w:t>Chaudhary Charan Singh University, Meerut</w:t>
      </w:r>
    </w:p>
    <w:p>
      <w:r>
        <w:br w:type="page"/>
      </w:r>
    </w:p>
    <w:p>
      <w:pPr>
        <w:spacing w:before="400" w:after="160" w:lineRule="auto" w:line="276"/>
        <w:jc w:val="center"/>
      </w:pPr>
      <w:r>
        <w:rPr>
          <w:rFonts w:ascii="Times New Roman" w:hAnsi="Times New Roman" w:cs="Times New Roman" w:eastAsia="Times New Roman"/>
          <w:b/>
          <w:i w:val="0"/>
          <w:color w:val="1A356E"/>
          <w:sz w:val="32"/>
        </w:rPr>
        <w:t>DECLARATION BY THE RESEARCH SCHOLAR</w:t>
      </w:r>
    </w:p>
    <w:p>
      <w:pPr>
        <w:spacing w:before="0" w:after="120" w:lineRule="auto" w:line="360"/>
        <w:jc w:val="both"/>
      </w:pPr>
      <w:r>
        <w:rPr>
          <w:rFonts w:ascii="Times New Roman" w:hAnsi="Times New Roman" w:cs="Times New Roman" w:eastAsia="Times New Roman"/>
          <w:b w:val="0"/>
          <w:i w:val="0"/>
          <w:sz w:val="24"/>
        </w:rPr>
        <w:t>I, Vipul Chaudhary, Roll No. 230557023, student of M.Ed. (Session 2024–2026), Department of Education, Meerut College, Meerut, affiliated to Chaudhary Charan Singh University, Meerut, hereby solemnly declare that the dissertation entitled “A Comparative Study of the Vocational Interests of Boys and Girls Studying at Secondary Level” has been independently prepared by me under the supervision of Dr. Seema Sharma, Associate Professor, Department of Education, Meerut College.</w:t>
      </w:r>
    </w:p>
    <w:p/>
    <w:p>
      <w:pPr>
        <w:spacing w:before="0" w:after="120" w:lineRule="auto" w:line="360"/>
        <w:jc w:val="both"/>
      </w:pPr>
      <w:r>
        <w:rPr>
          <w:rFonts w:ascii="Times New Roman" w:hAnsi="Times New Roman" w:cs="Times New Roman" w:eastAsia="Times New Roman"/>
          <w:b w:val="0"/>
          <w:i w:val="0"/>
          <w:sz w:val="24"/>
        </w:rPr>
        <w:t>I further declare that:</w:t>
      </w:r>
    </w:p>
    <w:p>
      <w:pPr>
        <w:spacing w:before="0" w:after="80" w:lineRule="auto" w:line="360"/>
        <w:jc w:val="both"/>
      </w:pPr>
      <w:r>
        <w:rPr>
          <w:rFonts w:ascii="Times New Roman" w:hAnsi="Times New Roman" w:cs="Times New Roman" w:eastAsia="Times New Roman"/>
          <w:b w:val="0"/>
          <w:i w:val="0"/>
          <w:sz w:val="24"/>
        </w:rPr>
        <w:t>1.  This dissertation is an original piece of research work based on data collected personally from the field during the academic session 2024–2026.</w:t>
      </w:r>
    </w:p>
    <w:p>
      <w:pPr>
        <w:spacing w:before="0" w:after="80" w:lineRule="auto" w:line="360"/>
        <w:jc w:val="both"/>
      </w:pPr>
      <w:r>
        <w:rPr>
          <w:rFonts w:ascii="Times New Roman" w:hAnsi="Times New Roman" w:cs="Times New Roman" w:eastAsia="Times New Roman"/>
          <w:b w:val="0"/>
          <w:i w:val="0"/>
          <w:sz w:val="24"/>
        </w:rPr>
        <w:t>2.  This work has not been submitted, either in whole or in part, for the award of any other degree, diploma, or certificate to any university or institution.</w:t>
      </w:r>
    </w:p>
    <w:p>
      <w:pPr>
        <w:spacing w:before="0" w:after="80" w:lineRule="auto" w:line="360"/>
        <w:jc w:val="both"/>
      </w:pPr>
      <w:r>
        <w:rPr>
          <w:rFonts w:ascii="Times New Roman" w:hAnsi="Times New Roman" w:cs="Times New Roman" w:eastAsia="Times New Roman"/>
          <w:b w:val="0"/>
          <w:i w:val="0"/>
          <w:sz w:val="24"/>
        </w:rPr>
        <w:t>3.  All references, citations, and sources have been duly acknowledged in accordance with APA 7th Edition guidelines.</w:t>
      </w:r>
    </w:p>
    <w:p>
      <w:pPr>
        <w:spacing w:before="0" w:after="80" w:lineRule="auto" w:line="360"/>
        <w:jc w:val="both"/>
      </w:pPr>
      <w:r>
        <w:rPr>
          <w:rFonts w:ascii="Times New Roman" w:hAnsi="Times New Roman" w:cs="Times New Roman" w:eastAsia="Times New Roman"/>
          <w:b w:val="0"/>
          <w:i w:val="0"/>
          <w:sz w:val="24"/>
        </w:rPr>
        <w:t>4.  The data presented is authentic and was collected with the consent of the concerned school authorities and student participants.</w:t>
      </w:r>
    </w:p>
    <w:p>
      <w:pPr>
        <w:spacing w:before="0" w:after="80" w:lineRule="auto" w:line="360"/>
        <w:jc w:val="both"/>
      </w:pPr>
      <w:r>
        <w:rPr>
          <w:rFonts w:ascii="Times New Roman" w:hAnsi="Times New Roman" w:cs="Times New Roman" w:eastAsia="Times New Roman"/>
          <w:b w:val="0"/>
          <w:i w:val="0"/>
          <w:sz w:val="24"/>
        </w:rPr>
        <w:t>5.  I take full responsibility for the originality and authenticity of the content.</w:t>
      </w:r>
    </w:p>
    <w:p/>
    <w:p/>
    <w:p>
      <w:pPr>
        <w:spacing w:before="0" w:after="120" w:lineRule="auto" w:line="360"/>
        <w:jc w:val="both"/>
      </w:pPr>
      <w:r>
        <w:rPr>
          <w:rFonts w:ascii="Times New Roman" w:hAnsi="Times New Roman" w:cs="Times New Roman" w:eastAsia="Times New Roman"/>
          <w:b w:val="0"/>
          <w:i w:val="0"/>
          <w:sz w:val="24"/>
        </w:rPr>
        <w:t>Date: ____________________          Place: Meerut</w:t>
      </w:r>
    </w:p>
    <w:p/>
    <w:p/>
    <w:p>
      <w:pPr>
        <w:spacing w:before="80" w:after="80" w:lineRule="auto" w:line="360"/>
        <w:jc w:val="right"/>
      </w:pPr>
      <w:r>
        <w:rPr>
          <w:rFonts w:ascii="Times New Roman" w:hAnsi="Times New Roman" w:cs="Times New Roman" w:eastAsia="Times New Roman"/>
          <w:b/>
          <w:i w:val="0"/>
          <w:sz w:val="24"/>
        </w:rPr>
        <w:t>(Vipul Chaudhary)</w:t>
        <w:br/>
        <w:t>M.Ed. Research Scholar</w:t>
        <w:br/>
        <w:t>Roll No.: 230557023</w:t>
        <w:br/>
        <w:t>Department of Education</w:t>
        <w:br/>
        <w:t>Meerut College, Meerut</w:t>
      </w:r>
    </w:p>
    <w:p>
      <w:r>
        <w:br w:type="page"/>
      </w:r>
    </w:p>
    <w:p>
      <w:pPr>
        <w:spacing w:before="400" w:after="160" w:lineRule="auto" w:line="276"/>
        <w:jc w:val="center"/>
      </w:pPr>
      <w:r>
        <w:rPr>
          <w:rFonts w:ascii="Times New Roman" w:hAnsi="Times New Roman" w:cs="Times New Roman" w:eastAsia="Times New Roman"/>
          <w:b/>
          <w:i w:val="0"/>
          <w:color w:val="1A356E"/>
          <w:sz w:val="32"/>
        </w:rPr>
        <w:t>ACKNOWLEDGEMENT</w:t>
      </w:r>
    </w:p>
    <w:p>
      <w:pPr>
        <w:spacing w:before="0" w:after="240" w:lineRule="auto" w:line="360"/>
        <w:jc w:val="both"/>
      </w:pPr>
      <w:r>
        <w:rPr>
          <w:rFonts w:ascii="Times New Roman" w:hAnsi="Times New Roman" w:cs="Times New Roman" w:eastAsia="Times New Roman"/>
          <w:b w:val="0"/>
          <w:i/>
          <w:sz w:val="24"/>
        </w:rPr>
        <w:t>“Gratitude is not only the greatest of virtues, but the parent of all others.”</w:t>
        <w:br/>
        <w:t>— Cicero</w:t>
      </w:r>
    </w:p>
    <w:p>
      <w:pPr>
        <w:spacing w:before="0" w:after="120" w:lineRule="auto" w:line="360"/>
        <w:jc w:val="both"/>
      </w:pPr>
      <w:r>
        <w:rPr>
          <w:rFonts w:ascii="Times New Roman" w:hAnsi="Times New Roman" w:cs="Times New Roman" w:eastAsia="Times New Roman"/>
          <w:b w:val="0"/>
          <w:i w:val="0"/>
          <w:sz w:val="24"/>
        </w:rPr>
        <w:t>It is with a deeply humble and grateful heart that I pen down these words of acknowledgement, for behind every piece of research work stand countless individuals whose support, encouragement, and blessings make it possible.</w:t>
      </w:r>
    </w:p>
    <w:p>
      <w:pPr>
        <w:spacing w:before="0" w:after="120" w:lineRule="auto" w:line="360"/>
        <w:jc w:val="both"/>
      </w:pPr>
      <w:r>
        <w:rPr>
          <w:rFonts w:ascii="Times New Roman" w:hAnsi="Times New Roman" w:cs="Times New Roman" w:eastAsia="Times New Roman"/>
          <w:b w:val="0"/>
          <w:i w:val="0"/>
          <w:sz w:val="24"/>
        </w:rPr>
        <w:t>First and foremost, I bow before the Almighty God, whose infinite grace and divine blessings gave me the strength, clarity of thought, and perseverance to complete this dissertation. Every step of this academic journey has been guided by His invisible hand.</w:t>
      </w:r>
    </w:p>
    <w:p>
      <w:pPr>
        <w:spacing w:before="0" w:after="120" w:lineRule="auto" w:line="360"/>
        <w:jc w:val="both"/>
      </w:pPr>
      <w:r>
        <w:rPr>
          <w:rFonts w:ascii="Times New Roman" w:hAnsi="Times New Roman" w:cs="Times New Roman" w:eastAsia="Times New Roman"/>
          <w:b w:val="0"/>
          <w:i w:val="0"/>
          <w:sz w:val="24"/>
        </w:rPr>
        <w:t>I owe a profound debt of gratitude to my respected supervisor, Dr. Seema Sharma, Associate Professor, Department of Education, Meerut College, Meerut. Her scholarly guidance, constructive criticism, unwavering support, and patient mentorship have been the cornerstone of this dissertation. She not only guided me academically but also inspired me to think critically and approach research with integrity and dedication. Her encouraging words during moments of self-doubt gave me the confidence to move forward. I consider myself truly fortunate to have been her student.</w:t>
      </w:r>
    </w:p>
    <w:p>
      <w:pPr>
        <w:spacing w:before="0" w:after="120" w:lineRule="auto" w:line="360"/>
        <w:jc w:val="both"/>
      </w:pPr>
      <w:r>
        <w:rPr>
          <w:rFonts w:ascii="Times New Roman" w:hAnsi="Times New Roman" w:cs="Times New Roman" w:eastAsia="Times New Roman"/>
          <w:b w:val="0"/>
          <w:i w:val="0"/>
          <w:sz w:val="24"/>
        </w:rPr>
        <w:t>I extend my heartfelt thanks to the Head and faculty members of the Department of Education, Meerut College, Meerut, for their academic support and for providing all necessary facilities during the course of this research work.</w:t>
      </w:r>
    </w:p>
    <w:p>
      <w:pPr>
        <w:spacing w:before="0" w:after="120" w:lineRule="auto" w:line="360"/>
        <w:jc w:val="both"/>
      </w:pPr>
      <w:r>
        <w:rPr>
          <w:rFonts w:ascii="Times New Roman" w:hAnsi="Times New Roman" w:cs="Times New Roman" w:eastAsia="Times New Roman"/>
          <w:b w:val="0"/>
          <w:i w:val="0"/>
          <w:sz w:val="24"/>
        </w:rPr>
        <w:t>My deepest and most heartfelt gratitude goes to my beloved father, Shri Rajesh Kumar, whose silent sacrifices, relentless hard work, and unwavering belief in my education have been the greatest motivation of my life. He has always been my first teacher and my strongest pillar of strength. Every achievement I attain is a tribute to his dreams and efforts.</w:t>
      </w:r>
    </w:p>
    <w:p>
      <w:pPr>
        <w:spacing w:before="0" w:after="120" w:lineRule="auto" w:line="360"/>
        <w:jc w:val="both"/>
      </w:pPr>
      <w:r>
        <w:rPr>
          <w:rFonts w:ascii="Times New Roman" w:hAnsi="Times New Roman" w:cs="Times New Roman" w:eastAsia="Times New Roman"/>
          <w:b w:val="0"/>
          <w:i w:val="0"/>
          <w:sz w:val="24"/>
        </w:rPr>
        <w:t>Words fall short when I try to express my gratitude towards my mother, Smt. Asha Chaudhary, whose unconditional love, prayers, and endless blessings have been my greatest source of strength throughout this journey. Her warmth, patience, and constant encouragement made even the most difficult phases of this research bearable.</w:t>
      </w:r>
    </w:p>
    <w:p>
      <w:pPr>
        <w:spacing w:before="0" w:after="120" w:lineRule="auto" w:line="360"/>
        <w:jc w:val="both"/>
      </w:pPr>
      <w:r>
        <w:rPr>
          <w:rFonts w:ascii="Times New Roman" w:hAnsi="Times New Roman" w:cs="Times New Roman" w:eastAsia="Times New Roman"/>
          <w:b w:val="0"/>
          <w:i w:val="0"/>
          <w:sz w:val="24"/>
        </w:rPr>
        <w:t>I also wish to sincerely thank my dear brother, Yash Chaudhary, for his constant moral support, encouragement, and cheerful presence that lightened many stressful moments. His faith in my capabilities has always motivated me to push my limits.</w:t>
      </w:r>
    </w:p>
    <w:p>
      <w:pPr>
        <w:spacing w:before="0" w:after="120" w:lineRule="auto" w:line="360"/>
        <w:jc w:val="both"/>
      </w:pPr>
      <w:r>
        <w:rPr>
          <w:rFonts w:ascii="Times New Roman" w:hAnsi="Times New Roman" w:cs="Times New Roman" w:eastAsia="Times New Roman"/>
          <w:b w:val="0"/>
          <w:i w:val="0"/>
          <w:sz w:val="24"/>
        </w:rPr>
        <w:t>I am sincerely grateful to the Principals and Teachers of Shri Sanskrit Inter College, Meerut, and KP International School, Kila Parikshit Garh, Meerut, for granting permission to conduct this study and for their wholehearted cooperation. The students who willingly participated deserve special appreciation — their honest responses form the very foundation of this research.</w:t>
      </w:r>
    </w:p>
    <w:p>
      <w:pPr>
        <w:spacing w:before="0" w:after="120" w:lineRule="auto" w:line="360"/>
        <w:jc w:val="both"/>
      </w:pPr>
      <w:r>
        <w:rPr>
          <w:rFonts w:ascii="Times New Roman" w:hAnsi="Times New Roman" w:cs="Times New Roman" w:eastAsia="Times New Roman"/>
          <w:b w:val="0"/>
          <w:i w:val="0"/>
          <w:sz w:val="24"/>
        </w:rPr>
        <w:t>I also thank all my friends and classmates of the M.Ed. programme for their companionship, constructive discussions, and emotional support throughout this journey. All limitations and shortcomings in this work are entirely my own.</w:t>
      </w:r>
    </w:p>
    <w:p/>
    <w:p>
      <w:pPr>
        <w:spacing w:before="80" w:after="80" w:lineRule="auto" w:line="360"/>
        <w:jc w:val="right"/>
      </w:pPr>
      <w:r>
        <w:rPr>
          <w:rFonts w:ascii="Times New Roman" w:hAnsi="Times New Roman" w:cs="Times New Roman" w:eastAsia="Times New Roman"/>
          <w:b/>
          <w:i w:val="0"/>
          <w:sz w:val="24"/>
        </w:rPr>
        <w:t>(Vipul Chaudhary)</w:t>
        <w:br/>
        <w:t>Research Scholar, M.Ed. (2024–2026)</w:t>
        <w:br/>
        <w:t>Meerut, 2026</w:t>
      </w:r>
    </w:p>
    <w:p>
      <w:r>
        <w:br w:type="page"/>
      </w:r>
    </w:p>
    <w:p>
      <w:pPr>
        <w:spacing w:before="400" w:after="160" w:lineRule="auto" w:line="276"/>
        <w:jc w:val="center"/>
      </w:pPr>
      <w:r>
        <w:rPr>
          <w:rFonts w:ascii="Times New Roman" w:hAnsi="Times New Roman" w:cs="Times New Roman" w:eastAsia="Times New Roman"/>
          <w:b/>
          <w:i w:val="0"/>
          <w:color w:val="1A356E"/>
          <w:sz w:val="32"/>
        </w:rPr>
        <w:t>PREFACE</w:t>
      </w:r>
    </w:p>
    <w:p>
      <w:pPr>
        <w:spacing w:before="0" w:after="120" w:lineRule="auto" w:line="360"/>
        <w:jc w:val="both"/>
      </w:pPr>
      <w:r>
        <w:rPr>
          <w:rFonts w:ascii="Times New Roman" w:hAnsi="Times New Roman" w:cs="Times New Roman" w:eastAsia="Times New Roman"/>
          <w:b w:val="0"/>
          <w:i w:val="0"/>
          <w:sz w:val="24"/>
        </w:rPr>
        <w:t>The present dissertation entitled “A Comparative Study of the Vocational Interests of Boys and Girls Studying at Secondary Level” has been undertaken as a partial fulfilment of the requirements for the degree of Master of Education (M.Ed.) from Chaudhary Charan Singh University, Meerut, during the academic session 2024–2026.</w:t>
      </w:r>
    </w:p>
    <w:p>
      <w:pPr>
        <w:spacing w:before="0" w:after="120" w:lineRule="auto" w:line="360"/>
        <w:jc w:val="both"/>
      </w:pPr>
      <w:r>
        <w:rPr>
          <w:rFonts w:ascii="Times New Roman" w:hAnsi="Times New Roman" w:cs="Times New Roman" w:eastAsia="Times New Roman"/>
          <w:b w:val="0"/>
          <w:i w:val="0"/>
          <w:sz w:val="24"/>
        </w:rPr>
        <w:t>The secondary stage of education is widely acknowledged as one of the most psychologically significant phases in the life of an adolescent. It is during this formative period — roughly spanning the ages of 13 to 17 years — that young learners begin to develop a clearer sense of self, form lasting attitudes, and begin to contemplate their future vocational roles in society. Yet, despite the critical nature of this stage, formal vocational guidance in Indian secondary schools remains alarmingly inadequate. Many students enter higher education without any conscious understanding of their own vocational interests, often making career choices under parental pressure, social expectations, or sheer chance.</w:t>
      </w:r>
    </w:p>
    <w:p>
      <w:pPr>
        <w:spacing w:before="0" w:after="120" w:lineRule="auto" w:line="360"/>
        <w:jc w:val="both"/>
      </w:pPr>
      <w:r>
        <w:rPr>
          <w:rFonts w:ascii="Times New Roman" w:hAnsi="Times New Roman" w:cs="Times New Roman" w:eastAsia="Times New Roman"/>
          <w:b w:val="0"/>
          <w:i w:val="0"/>
          <w:sz w:val="24"/>
        </w:rPr>
        <w:t>It was this observed gap between the vocational guidance needs of students and the reality of our school system that inspired the present study. The researcher, having spent time interacting with students at both rural and urban schools in the Kila Parikshit Garh region of Meerut district, noticed strikingly different patterns in how boys and girls perceived their vocational futures. Boys often gravitated towards technical and executive fields, while girls exhibited greater inclinations towards social, artistic, and household-related vocations. This observation raised a pertinent question: Are these differences the product of genuine interest, or are they reflections of deeply embedded social conditioning?</w:t>
      </w:r>
    </w:p>
    <w:p>
      <w:pPr>
        <w:spacing w:before="0" w:after="120" w:lineRule="auto" w:line="360"/>
        <w:jc w:val="both"/>
      </w:pPr>
      <w:r>
        <w:rPr>
          <w:rFonts w:ascii="Times New Roman" w:hAnsi="Times New Roman" w:cs="Times New Roman" w:eastAsia="Times New Roman"/>
          <w:b w:val="0"/>
          <w:i w:val="0"/>
          <w:sz w:val="24"/>
        </w:rPr>
        <w:t>Attempting to answer this question through a systematic, empirical study became the central purpose of this dissertation. The study uses the S.P. Kulshrestha Vocational Interest Record — a well-standardised tool developed specifically for Indian secondary school students — to measure and compare the vocational interests of boys and girls across rural government and urban private schools.</w:t>
      </w:r>
    </w:p>
    <w:p>
      <w:pPr>
        <w:spacing w:before="0" w:after="120" w:lineRule="auto" w:line="360"/>
        <w:jc w:val="both"/>
      </w:pPr>
      <w:r>
        <w:rPr>
          <w:rFonts w:ascii="Times New Roman" w:hAnsi="Times New Roman" w:cs="Times New Roman" w:eastAsia="Times New Roman"/>
          <w:b w:val="0"/>
          <w:i w:val="0"/>
          <w:sz w:val="24"/>
        </w:rPr>
        <w:t>The study is structured across five major chapters. Chapter One provides a detailed introduction to the concept of vocational interest, its theoretical foundations, and the context of secondary education in India. Chapter Two presents a comprehensive review of related literature. Chapter Three describes the research methodology. Chapter Four is devoted to data analysis and interpretation, supported by statistical techniques and visual representations. Chapter Five summarises the findings, draws conclusions, and offers suggestions for educators, parents, counsellors, and future researchers.</w:t>
      </w:r>
    </w:p>
    <w:p>
      <w:pPr>
        <w:spacing w:before="0" w:after="120" w:lineRule="auto" w:line="360"/>
        <w:jc w:val="both"/>
      </w:pPr>
      <w:r>
        <w:rPr>
          <w:rFonts w:ascii="Times New Roman" w:hAnsi="Times New Roman" w:cs="Times New Roman" w:eastAsia="Times New Roman"/>
          <w:b w:val="0"/>
          <w:i w:val="0"/>
          <w:sz w:val="24"/>
        </w:rPr>
        <w:t>It is the researcher’s sincere hope that this dissertation will serve as a small but meaningful contribution to the growing body of educational research on vocational guidance and career counselling in India.</w:t>
      </w:r>
    </w:p>
    <w:p/>
    <w:p>
      <w:pPr>
        <w:spacing w:before="80" w:after="80" w:lineRule="auto" w:line="360"/>
        <w:jc w:val="right"/>
      </w:pPr>
      <w:r>
        <w:rPr>
          <w:rFonts w:ascii="Times New Roman" w:hAnsi="Times New Roman" w:cs="Times New Roman" w:eastAsia="Times New Roman"/>
          <w:b/>
          <w:i w:val="0"/>
          <w:sz w:val="24"/>
        </w:rPr>
        <w:t>(Vipul Chaudhary)</w:t>
        <w:br/>
        <w:t>Meerut, 2026</w:t>
      </w:r>
    </w:p>
    <w:p>
      <w:r>
        <w:br w:type="page"/>
      </w:r>
    </w:p>
    <w:p>
      <w:pPr>
        <w:spacing w:before="400" w:after="160" w:lineRule="auto" w:line="276"/>
        <w:jc w:val="center"/>
      </w:pPr>
      <w:r>
        <w:rPr>
          <w:rFonts w:ascii="Times New Roman" w:hAnsi="Times New Roman" w:cs="Times New Roman" w:eastAsia="Times New Roman"/>
          <w:b/>
          <w:i w:val="0"/>
          <w:color w:val="1A356E"/>
          <w:sz w:val="32"/>
        </w:rPr>
        <w:t>TABLE OF CONTENTS</w:t>
      </w:r>
    </w:p>
    <w:tbl>
      <w:tblPr>
        <w:tblStyle w:val="TableGrid"/>
        <w:tblW w:type="auto" w:w="0"/>
        <w:jc w:val="center"/>
        <w:tblLook w:firstColumn="1" w:firstRow="1" w:lastColumn="0" w:lastRow="0" w:noHBand="0" w:noVBand="1" w:val="04A0"/>
      </w:tblPr>
      <w:tblGrid>
        <w:gridCol w:w="4320"/>
        <w:gridCol w:w="4320"/>
      </w:tblGrid>
      <w:tr>
        <w:tc>
          <w:tcPr>
            <w:tcW w:type="dxa" w:w="8064"/>
            <w:shd w:val="clear" w:color="auto" w:fill="1a356e"/>
          </w:tcPr>
          <w:p>
            <w:pPr>
              <w:spacing w:before="40" w:after="40"/>
              <w:jc w:val="center"/>
            </w:pPr>
            <w:r>
              <w:rPr>
                <w:rFonts w:ascii="Times New Roman" w:hAnsi="Times New Roman" w:cs="Times New Roman" w:eastAsia="Times New Roman"/>
                <w:b/>
                <w:i w:val="0"/>
                <w:color w:val="FFFFFF"/>
                <w:sz w:val="20"/>
              </w:rPr>
              <w:t>Content</w:t>
            </w:r>
          </w:p>
        </w:tc>
        <w:tc>
          <w:tcPr>
            <w:tcW w:type="dxa" w:w="1008"/>
            <w:shd w:val="clear" w:color="auto" w:fill="1a356e"/>
          </w:tcPr>
          <w:p>
            <w:pPr>
              <w:spacing w:before="40" w:after="40"/>
              <w:jc w:val="center"/>
            </w:pPr>
            <w:r>
              <w:rPr>
                <w:rFonts w:ascii="Times New Roman" w:hAnsi="Times New Roman" w:cs="Times New Roman" w:eastAsia="Times New Roman"/>
                <w:b/>
                <w:i w:val="0"/>
                <w:color w:val="FFFFFF"/>
                <w:sz w:val="20"/>
              </w:rPr>
              <w:t>Page No.</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Supervisor’s Certificate</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i</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Declaration by Research Scholar</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ii</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Acknowledgement</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iii</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Preface</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v</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Table of Contents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vii</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List of Tables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ix</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List of Graphs and Charts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x</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CHAPTER 1: INTRODUCTION</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1</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1.1  Introduction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1</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1.2  Meaning and Concept of Vocational Interest</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2</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1.3  Definitions of Vocational Interest</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4</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1.4  Nine Areas of Vocational Interest (KVIR)</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6</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1.5  Importance of Vocational Interests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9</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1.6  Secondary Education in India</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11</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1.7  Adolescence and Career Choice</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13</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1.8  Gender Differences in Career Aspirations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15</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1.9  Rural and Urban Educational Context</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17</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1.10 Need and Significance of the Study</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19</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1.11 Statement of the Problem</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21</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1.12 Objectives of the Study</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21</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1.13 Hypotheses of the Study</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22</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1.14 Delimitations of the Study</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23</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1.15 Assumptions of the Study</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24</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1.16 Operational Definitions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24</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1.17 Organisation of the Study</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25</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CHAPTER 2: REVIEW OF RELATED LITERATURE</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26</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2.1  Introduction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26</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2.2  Indian Studies (10 Studies)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26</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2.3  Foreign Studies (5 Studies)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34</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2.4  Critical Review of Literature</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38</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2.5  Research Gap</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39</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2.6  Summary</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40</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CHAPTER 3: RESEARCH METHODOLOGY</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41</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3.1  Introduction</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41</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3.2  Research Method</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41</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3.3  Variables of the Study</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42</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3.4  Population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43</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3.5  Sample and Sampling Technique</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43</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3.6  Tool Used (KVIR)</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44</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3.7  Reliability and Validity</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46</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3.8  Procedure of Data Collection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47</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3.9  Statistical Techniques Used</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48</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3.10 Ethical Considerations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51</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CHAPTER 4: DATA ANALYSIS AND INTERPRETATION</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52</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4.1  Introduction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52</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4.2  Percentage Analysis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53</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4.3  Gender-wise Mean Score Comparison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60</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4.4  Rural vs. Urban Comparison</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67</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4.5  t-test Analysis and Hypothesis Testing</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73</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4.6  Major Observations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79</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CHAPTER 5: SUMMARY, FINDINGS, CONCLUSIONS &amp; SUGGESTIONS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81</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5.1  Summary of the Study</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81</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5.2  Major Findings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82</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5.3  Educational Implications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85</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5.4  Conclusions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86</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5.5  Suggestions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87</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5.6  Limitations of the Study</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90</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 xml:space="preserve">  5.7  Scope for Future Research</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91</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 xml:space="preserve">  5.8  Final Conclusion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91</w:t>
            </w:r>
          </w:p>
        </w:tc>
      </w:tr>
      <w:tr>
        <w:tc>
          <w:tcPr>
            <w:tcW w:type="dxa" w:w="8064"/>
            <w:shd w:val="clear" w:color="auto" w:fill="FFFFFF"/>
          </w:tcPr>
          <w:p>
            <w:pPr>
              <w:spacing w:before="20" w:after="20"/>
              <w:jc w:val="center"/>
            </w:pPr>
            <w:r>
              <w:rPr>
                <w:rFonts w:ascii="Times New Roman" w:hAnsi="Times New Roman" w:cs="Times New Roman" w:eastAsia="Times New Roman"/>
                <w:b w:val="0"/>
                <w:i w:val="0"/>
                <w:sz w:val="20"/>
              </w:rPr>
              <w:t>BIBLIOGRAPHY / REFERENCES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92</w:t>
            </w:r>
          </w:p>
        </w:tc>
      </w:tr>
      <w:tr>
        <w:tc>
          <w:tcPr>
            <w:tcW w:type="dxa" w:w="8064"/>
            <w:shd w:val="clear" w:color="auto" w:fill="EBF0FB"/>
          </w:tcPr>
          <w:p>
            <w:pPr>
              <w:spacing w:before="20" w:after="20"/>
              <w:jc w:val="center"/>
            </w:pPr>
            <w:r>
              <w:rPr>
                <w:rFonts w:ascii="Times New Roman" w:hAnsi="Times New Roman" w:cs="Times New Roman" w:eastAsia="Times New Roman"/>
                <w:b w:val="0"/>
                <w:i w:val="0"/>
                <w:sz w:val="20"/>
              </w:rPr>
              <w:t>APPENDICES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98</w:t>
            </w:r>
          </w:p>
        </w:tc>
      </w:tr>
    </w:tbl>
    <w:p/>
    <w:p>
      <w:r>
        <w:br w:type="page"/>
      </w:r>
    </w:p>
    <w:p>
      <w:pPr>
        <w:spacing w:before="400" w:after="160" w:lineRule="auto" w:line="276"/>
        <w:jc w:val="center"/>
      </w:pPr>
      <w:r>
        <w:rPr>
          <w:rFonts w:ascii="Times New Roman" w:hAnsi="Times New Roman" w:cs="Times New Roman" w:eastAsia="Times New Roman"/>
          <w:b/>
          <w:i w:val="0"/>
          <w:color w:val="1A356E"/>
          <w:sz w:val="32"/>
        </w:rPr>
        <w:t>LIST OF TABLES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1a356e"/>
          </w:tcPr>
          <w:p>
            <w:pPr>
              <w:spacing w:before="40" w:after="40"/>
              <w:jc w:val="center"/>
            </w:pPr>
            <w:r>
              <w:rPr>
                <w:rFonts w:ascii="Times New Roman" w:hAnsi="Times New Roman" w:cs="Times New Roman" w:eastAsia="Times New Roman"/>
                <w:b/>
                <w:i w:val="0"/>
                <w:color w:val="FFFFFF"/>
                <w:sz w:val="20"/>
              </w:rPr>
              <w:t>Table No.</w:t>
            </w:r>
          </w:p>
        </w:tc>
        <w:tc>
          <w:tcPr>
            <w:tcW w:type="dxa" w:w="7344"/>
            <w:shd w:val="clear" w:color="auto" w:fill="1a356e"/>
          </w:tcPr>
          <w:p>
            <w:pPr>
              <w:spacing w:before="40" w:after="40"/>
              <w:jc w:val="center"/>
            </w:pPr>
            <w:r>
              <w:rPr>
                <w:rFonts w:ascii="Times New Roman" w:hAnsi="Times New Roman" w:cs="Times New Roman" w:eastAsia="Times New Roman"/>
                <w:b/>
                <w:i w:val="0"/>
                <w:color w:val="FFFFFF"/>
                <w:sz w:val="20"/>
              </w:rPr>
              <w:t>Title</w:t>
            </w:r>
          </w:p>
        </w:tc>
        <w:tc>
          <w:tcPr>
            <w:tcW w:type="dxa" w:w="1008"/>
            <w:shd w:val="clear" w:color="auto" w:fill="1a356e"/>
          </w:tcPr>
          <w:p>
            <w:pPr>
              <w:spacing w:before="40" w:after="40"/>
              <w:jc w:val="center"/>
            </w:pPr>
            <w:r>
              <w:rPr>
                <w:rFonts w:ascii="Times New Roman" w:hAnsi="Times New Roman" w:cs="Times New Roman" w:eastAsia="Times New Roman"/>
                <w:b/>
                <w:i w:val="0"/>
                <w:color w:val="FFFFFF"/>
                <w:sz w:val="20"/>
              </w:rPr>
              <w:t>Page No.</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3.1</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Sample Distribution by School, Class, and Gender</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43</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4.1</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Distribution of Sample by School Type and Gender</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53</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4.2</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Raw Vocational Interest Scores – Rural Boys (N=15)</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54</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4.3</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Raw Vocational Interest Scores – Rural Girls (N=15)</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55</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4.4</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Raw Vocational Interest Scores – Urban Boys (N=15)</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56</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4.5</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Raw Vocational Interest Scores – Urban Girls (N=15)</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57</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4.6</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Dominant Vocational Interest – Rural Boys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58</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4.7</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Dominant Vocational Interest – Rural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59</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4.8</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Dominant Vocational Interest – Urban Boys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60</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4.9</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Dominant Vocational Interest – Urban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61</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4.10</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Mean Vocational Interest Scores: Boys vs. Girls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62</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4.11</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Standard Deviation of Scores: Boys vs.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64</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4.12</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Mean Scores: Rural Boys vs. Urban Boys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68</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4.13</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Mean Scores: Rural Girls vs. Urban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70</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4.14</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t-test: Technical Interest – Boys vs. Girls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74</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4.15</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t-test: Scientific Interest – Boys vs.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75</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4.16</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t-test: Social Interest – Boys vs. Girls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76</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4.17</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t-test: Artistic Interest – Boys vs.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77</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4.18</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t-test: Agricultural Interest – Rural vs. Urban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78</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4.19</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t-test: Overall Interest – Boys vs.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79</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4.20</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t-test: Overall Interest – Rural vs. Urban</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79</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4.21</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Consolidated Summary of All t-test Results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80</w:t>
            </w:r>
          </w:p>
        </w:tc>
      </w:tr>
    </w:tbl>
    <w:p/>
    <w:p>
      <w:r>
        <w:br w:type="page"/>
      </w:r>
    </w:p>
    <w:p>
      <w:pPr>
        <w:spacing w:before="400" w:after="160" w:lineRule="auto" w:line="276"/>
        <w:jc w:val="center"/>
      </w:pPr>
      <w:r>
        <w:rPr>
          <w:rFonts w:ascii="Times New Roman" w:hAnsi="Times New Roman" w:cs="Times New Roman" w:eastAsia="Times New Roman"/>
          <w:b/>
          <w:i w:val="0"/>
          <w:color w:val="1A356E"/>
          <w:sz w:val="32"/>
        </w:rPr>
        <w:t>LIST OF GRAPHS AND CHARTS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1a356e"/>
          </w:tcPr>
          <w:p>
            <w:pPr>
              <w:spacing w:before="40" w:after="40"/>
              <w:jc w:val="center"/>
            </w:pPr>
            <w:r>
              <w:rPr>
                <w:rFonts w:ascii="Times New Roman" w:hAnsi="Times New Roman" w:cs="Times New Roman" w:eastAsia="Times New Roman"/>
                <w:b/>
                <w:i w:val="0"/>
                <w:color w:val="FFFFFF"/>
                <w:sz w:val="20"/>
              </w:rPr>
              <w:t>Figure No.</w:t>
            </w:r>
          </w:p>
        </w:tc>
        <w:tc>
          <w:tcPr>
            <w:tcW w:type="dxa" w:w="7344"/>
            <w:shd w:val="clear" w:color="auto" w:fill="1a356e"/>
          </w:tcPr>
          <w:p>
            <w:pPr>
              <w:spacing w:before="40" w:after="40"/>
              <w:jc w:val="center"/>
            </w:pPr>
            <w:r>
              <w:rPr>
                <w:rFonts w:ascii="Times New Roman" w:hAnsi="Times New Roman" w:cs="Times New Roman" w:eastAsia="Times New Roman"/>
                <w:b/>
                <w:i w:val="0"/>
                <w:color w:val="FFFFFF"/>
                <w:sz w:val="20"/>
              </w:rPr>
              <w:t>Title</w:t>
            </w:r>
          </w:p>
        </w:tc>
        <w:tc>
          <w:tcPr>
            <w:tcW w:type="dxa" w:w="1008"/>
            <w:shd w:val="clear" w:color="auto" w:fill="1a356e"/>
          </w:tcPr>
          <w:p>
            <w:pPr>
              <w:spacing w:before="40" w:after="40"/>
              <w:jc w:val="center"/>
            </w:pPr>
            <w:r>
              <w:rPr>
                <w:rFonts w:ascii="Times New Roman" w:hAnsi="Times New Roman" w:cs="Times New Roman" w:eastAsia="Times New Roman"/>
                <w:b/>
                <w:i w:val="0"/>
                <w:color w:val="FFFFFF"/>
                <w:sz w:val="20"/>
              </w:rPr>
              <w:t>Page No.</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4.1</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Pie Chart: Dominant Vocational Interests of Rural Boys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58</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4.2</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Pie Chart: Dominant Vocational Interests of Rural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59</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4.3</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Pie Chart: Dominant Vocational Interests of Urban Boys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60</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4.4</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Pie Chart: Dominant Vocational Interests of Urban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61</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4.5</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Grouped Bar Graph: Mean Scores – Boys vs. Girls (All Areas)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63</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4.6</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Grouped Bar Graph: Standard Deviation – Boys vs. Girls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65</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4.7</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Four-Group Comparative Bar Graph: All Groups, All Areas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67</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4.8</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Grouped Bar Graph: Rural Boys vs. Urban Boys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69</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4.9</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Grouped Bar Graph: Rural Girls vs. Urban Girls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71</w:t>
            </w:r>
          </w:p>
        </w:tc>
      </w:tr>
      <w:tr>
        <w:tc>
          <w:tcPr>
            <w:tcW w:type="dxa" w:w="1152"/>
            <w:shd w:val="clear" w:color="auto" w:fill="FFFFFF"/>
          </w:tcPr>
          <w:p>
            <w:pPr>
              <w:spacing w:before="20" w:after="20"/>
              <w:jc w:val="center"/>
            </w:pPr>
            <w:r>
              <w:rPr>
                <w:rFonts w:ascii="Times New Roman" w:hAnsi="Times New Roman" w:cs="Times New Roman" w:eastAsia="Times New Roman"/>
                <w:b w:val="0"/>
                <w:i w:val="0"/>
                <w:sz w:val="20"/>
              </w:rPr>
              <w:t>4.10</w:t>
            </w:r>
          </w:p>
        </w:tc>
        <w:tc>
          <w:tcPr>
            <w:tcW w:type="dxa" w:w="7344"/>
            <w:shd w:val="clear" w:color="auto" w:fill="FFFFFF"/>
          </w:tcPr>
          <w:p>
            <w:pPr>
              <w:spacing w:before="20" w:after="20"/>
              <w:jc w:val="center"/>
            </w:pPr>
            <w:r>
              <w:rPr>
                <w:rFonts w:ascii="Times New Roman" w:hAnsi="Times New Roman" w:cs="Times New Roman" w:eastAsia="Times New Roman"/>
                <w:b w:val="0"/>
                <w:i w:val="0"/>
                <w:sz w:val="20"/>
              </w:rPr>
              <w:t>Line Graph: Interest Profiles of All Four Groups</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72</w:t>
            </w:r>
          </w:p>
        </w:tc>
      </w:tr>
      <w:tr>
        <w:tc>
          <w:tcPr>
            <w:tcW w:type="dxa" w:w="1152"/>
            <w:shd w:val="clear" w:color="auto" w:fill="EBF0FB"/>
          </w:tcPr>
          <w:p>
            <w:pPr>
              <w:spacing w:before="20" w:after="20"/>
              <w:jc w:val="center"/>
            </w:pPr>
            <w:r>
              <w:rPr>
                <w:rFonts w:ascii="Times New Roman" w:hAnsi="Times New Roman" w:cs="Times New Roman" w:eastAsia="Times New Roman"/>
                <w:b w:val="0"/>
                <w:i w:val="0"/>
                <w:sz w:val="20"/>
              </w:rPr>
              <w:t>4.11</w:t>
            </w:r>
          </w:p>
        </w:tc>
        <w:tc>
          <w:tcPr>
            <w:tcW w:type="dxa" w:w="7344"/>
            <w:shd w:val="clear" w:color="auto" w:fill="EBF0FB"/>
          </w:tcPr>
          <w:p>
            <w:pPr>
              <w:spacing w:before="20" w:after="20"/>
              <w:jc w:val="center"/>
            </w:pPr>
            <w:r>
              <w:rPr>
                <w:rFonts w:ascii="Times New Roman" w:hAnsi="Times New Roman" w:cs="Times New Roman" w:eastAsia="Times New Roman"/>
                <w:b w:val="0"/>
                <w:i w:val="0"/>
                <w:sz w:val="20"/>
              </w:rPr>
              <w:t>Bar Graph: Calculated t-values for All Seven Hypotheses</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80</w:t>
            </w:r>
          </w:p>
        </w:tc>
      </w:tr>
    </w:tbl>
    <w:p/>
    <w:p>
      <w:r>
        <w:br w:type="page"/>
      </w:r>
    </w:p>
    <w:p>
      <w:pPr>
        <w:spacing w:before="400" w:after="160" w:lineRule="auto" w:line="276"/>
        <w:jc w:val="center"/>
      </w:pPr>
      <w:r>
        <w:rPr>
          <w:rFonts w:ascii="Times New Roman" w:hAnsi="Times New Roman" w:cs="Times New Roman" w:eastAsia="Times New Roman"/>
          <w:b/>
          <w:i w:val="0"/>
          <w:color w:val="1A356E"/>
          <w:sz w:val="32"/>
        </w:rPr>
        <w:t>CHAPTER 1</w:t>
      </w:r>
    </w:p>
    <w:p>
      <w:pPr>
        <w:spacing w:before="400" w:after="160" w:lineRule="auto" w:line="276"/>
        <w:jc w:val="center"/>
      </w:pPr>
      <w:r>
        <w:rPr>
          <w:rFonts w:ascii="Times New Roman" w:hAnsi="Times New Roman" w:cs="Times New Roman" w:eastAsia="Times New Roman"/>
          <w:b/>
          <w:i w:val="0"/>
          <w:color w:val="1A356E"/>
          <w:sz w:val="32"/>
        </w:rPr>
        <w:t>INTRODUCTION</w:t>
      </w:r>
    </w:p>
    <w:p>
      <w:pPr>
        <w:spacing w:before="280" w:after="160" w:lineRule="auto" w:line="276"/>
        <w:jc w:val="left"/>
      </w:pPr>
      <w:r>
        <w:rPr>
          <w:rFonts w:ascii="Times New Roman" w:hAnsi="Times New Roman" w:cs="Times New Roman" w:eastAsia="Times New Roman"/>
          <w:b/>
          <w:i w:val="0"/>
          <w:color w:val="8B0000"/>
          <w:sz w:val="28"/>
        </w:rPr>
        <w:t>1.1  Introduction</w:t>
      </w:r>
    </w:p>
    <w:p>
      <w:pPr>
        <w:spacing w:before="0" w:after="120" w:lineRule="auto" w:line="360"/>
        <w:jc w:val="both"/>
      </w:pPr>
      <w:r>
        <w:rPr>
          <w:rFonts w:ascii="Times New Roman" w:hAnsi="Times New Roman" w:cs="Times New Roman" w:eastAsia="Times New Roman"/>
          <w:b w:val="0"/>
          <w:i w:val="0"/>
          <w:sz w:val="24"/>
        </w:rPr>
        <w:t>Education, in its truest and broadest sense, is not merely the transmission of knowledge from one generation to the next. It is, fundamentally, the process of preparing individuals to lead meaningful, productive, and fulfilling lives. One of the most vital dimensions of this preparation — and perhaps one of the most neglected aspects of formal schooling in India — is vocational guidance. Helping young individuals understand their own interests, aptitudes, and potential career pathways is as important as teaching them mathematics or science, yet it continues to occupy a peripheral place in the Indian school curriculum.</w:t>
      </w:r>
    </w:p>
    <w:p>
      <w:pPr>
        <w:spacing w:before="0" w:after="120" w:lineRule="auto" w:line="360"/>
        <w:jc w:val="both"/>
      </w:pPr>
      <w:r>
        <w:rPr>
          <w:rFonts w:ascii="Times New Roman" w:hAnsi="Times New Roman" w:cs="Times New Roman" w:eastAsia="Times New Roman"/>
          <w:b w:val="0"/>
          <w:i w:val="0"/>
          <w:sz w:val="24"/>
        </w:rPr>
        <w:t>The secondary stage of education occupies a uniquely sensitive position in the developmental arc of an individual’s life. It is during Classes IX and X — typically when students are between the ages of 13 and 17 — that the adolescent mind begins to seriously grapple with questions of identity and purpose. “Who am I?” and “What do I want to become?” are not merely philosophical musings during this stage; they are urgent, lived questions that shape choices about subjects, streams, career paths, and ultimately, life trajectories.</w:t>
      </w:r>
    </w:p>
    <w:p>
      <w:pPr>
        <w:spacing w:before="0" w:after="120" w:lineRule="auto" w:line="360"/>
        <w:jc w:val="both"/>
      </w:pPr>
      <w:r>
        <w:rPr>
          <w:rFonts w:ascii="Times New Roman" w:hAnsi="Times New Roman" w:cs="Times New Roman" w:eastAsia="Times New Roman"/>
          <w:b w:val="0"/>
          <w:i w:val="0"/>
          <w:sz w:val="24"/>
        </w:rPr>
        <w:t>The present study attempts to explore vocational interests among secondary school students in Meerut district, Uttar Pradesh, with a particular focus on the differences between boys and girls, and between students studying in rural government schools and urban private schools. By doing so, the study aims to contribute to the growing body of research on vocational guidance in the Indian educational context and to offer practical insights for teachers, parents, counsellors, and policymakers.</w:t>
      </w:r>
    </w:p>
    <w:p>
      <w:pPr>
        <w:spacing w:before="280" w:after="160" w:lineRule="auto" w:line="276"/>
        <w:jc w:val="left"/>
      </w:pPr>
      <w:r>
        <w:rPr>
          <w:rFonts w:ascii="Times New Roman" w:hAnsi="Times New Roman" w:cs="Times New Roman" w:eastAsia="Times New Roman"/>
          <w:b/>
          <w:i w:val="0"/>
          <w:color w:val="8B0000"/>
          <w:sz w:val="28"/>
        </w:rPr>
        <w:t>1.2  Meaning and Concept of Vocational Interest</w:t>
      </w:r>
    </w:p>
    <w:p>
      <w:pPr>
        <w:spacing w:before="0" w:after="120" w:lineRule="auto" w:line="360"/>
        <w:jc w:val="both"/>
      </w:pPr>
      <w:r>
        <w:rPr>
          <w:rFonts w:ascii="Times New Roman" w:hAnsi="Times New Roman" w:cs="Times New Roman" w:eastAsia="Times New Roman"/>
          <w:b w:val="0"/>
          <w:i w:val="0"/>
          <w:sz w:val="24"/>
        </w:rPr>
        <w:t>The term ‘vocational interest’ is derived from two Latin roots: vocatio, meaning a calling or occupation, and interesse, meaning to be between or to concern. In simple terms, vocational interest refers to a person’s preference for or attraction towards specific types of work, occupational activities, or career fields. However, this simple definition barely scratches the surface of a concept that is rich in psychological, sociological, and educational dimensions.</w:t>
      </w:r>
    </w:p>
    <w:p>
      <w:pPr>
        <w:spacing w:before="0" w:after="120" w:lineRule="auto" w:line="360"/>
        <w:jc w:val="both"/>
      </w:pPr>
      <w:r>
        <w:rPr>
          <w:rFonts w:ascii="Times New Roman" w:hAnsi="Times New Roman" w:cs="Times New Roman" w:eastAsia="Times New Roman"/>
          <w:b w:val="0"/>
          <w:i w:val="0"/>
          <w:sz w:val="24"/>
        </w:rPr>
        <w:t>From a psychological standpoint, vocational interests are understood as relatively stable patterns of likes and dislikes related to occupational activities. They are not the same as abilities or aptitudes — a student may be highly capable in mathematics but have little interest in engineering. Interests are what energise an individual’s occupational choices; they represent the subjective pull that draws a person towards certain kinds of work.</w:t>
      </w:r>
    </w:p>
    <w:p>
      <w:pPr>
        <w:spacing w:before="0" w:after="120" w:lineRule="auto" w:line="360"/>
        <w:jc w:val="both"/>
      </w:pPr>
      <w:r>
        <w:rPr>
          <w:rFonts w:ascii="Times New Roman" w:hAnsi="Times New Roman" w:cs="Times New Roman" w:eastAsia="Times New Roman"/>
          <w:b w:val="0"/>
          <w:i w:val="0"/>
          <w:sz w:val="24"/>
        </w:rPr>
        <w:t>Several key characteristics define the nature of vocational interests: (a) Stability — research consistently shows that vocational interests, once formed during adolescence, remain relatively stable over time (Super, 1953); (b) Individuality — while social and cultural forces shape interests, each individual develops a unique interest profile; (c) Measurability — unlike abstract psychological constructs, vocational interests can be reliably measured through standardised instruments; (d) Gender Differences — extensive research has documented consistent differences in the vocational interest profiles of males and females; and (e) Context Sensitivity — the specific interests a person develops are deeply influenced by his or her social and cultural context.</w:t>
      </w:r>
    </w:p>
    <w:p>
      <w:pPr>
        <w:spacing w:before="0" w:after="120" w:lineRule="auto" w:line="360"/>
        <w:jc w:val="both"/>
      </w:pPr>
      <w:r>
        <w:rPr>
          <w:rFonts w:ascii="Times New Roman" w:hAnsi="Times New Roman" w:cs="Times New Roman" w:eastAsia="Times New Roman"/>
          <w:b w:val="0"/>
          <w:i w:val="0"/>
          <w:sz w:val="24"/>
        </w:rPr>
        <w:t>In the Indian context, vocational interests take on additional layers of complexity. The caste system, though officially abolished, continues to influence occupational choices in many communities. Family occupation often becomes a default vocational identity for children. Gender roles remain strongly defined in many parts of rural India. And yet, with the expansion of education and media access, younger generations are increasingly exposed to a wider range of vocational possibilities.</w:t>
      </w:r>
    </w:p>
    <w:p>
      <w:pPr>
        <w:spacing w:before="280" w:after="160" w:lineRule="auto" w:line="276"/>
        <w:jc w:val="left"/>
      </w:pPr>
      <w:r>
        <w:rPr>
          <w:rFonts w:ascii="Times New Roman" w:hAnsi="Times New Roman" w:cs="Times New Roman" w:eastAsia="Times New Roman"/>
          <w:b/>
          <w:i w:val="0"/>
          <w:color w:val="8B0000"/>
          <w:sz w:val="28"/>
        </w:rPr>
        <w:t>1.3  Definitions of Vocational Interest</w:t>
      </w:r>
    </w:p>
    <w:p>
      <w:pPr>
        <w:spacing w:before="0" w:after="120" w:lineRule="auto" w:line="360"/>
        <w:jc w:val="both"/>
      </w:pPr>
      <w:r>
        <w:rPr>
          <w:rFonts w:ascii="Times New Roman" w:hAnsi="Times New Roman" w:cs="Times New Roman" w:eastAsia="Times New Roman"/>
          <w:b w:val="0"/>
          <w:i w:val="0"/>
          <w:sz w:val="24"/>
        </w:rPr>
        <w:t>Over the decades, educational psychologists and vocational counsellors have offered numerous definitions of vocational interest. Some of the most authoritative definitions are presented below:</w:t>
      </w:r>
    </w:p>
    <w:p>
      <w:pPr>
        <w:spacing w:before="0" w:after="100" w:lineRule="auto" w:line="360"/>
        <w:jc w:val="both"/>
      </w:pPr>
      <w:r>
        <w:rPr>
          <w:rFonts w:ascii="Times New Roman" w:hAnsi="Times New Roman" w:cs="Times New Roman" w:eastAsia="Times New Roman"/>
          <w:b/>
          <w:i w:val="0"/>
          <w:sz w:val="24"/>
        </w:rPr>
        <w:t>Super (1949):</w:t>
      </w:r>
      <w:r>
        <w:rPr>
          <w:rFonts w:ascii="Times New Roman" w:hAnsi="Times New Roman" w:cs="Times New Roman" w:eastAsia="Times New Roman"/>
          <w:b w:val="0"/>
          <w:i w:val="0"/>
          <w:sz w:val="24"/>
        </w:rPr>
        <w:t xml:space="preserve"> “The activities, objects, and types of persons that an individual finds attractive or repellent.” Super’s Career Development Theory positioned vocational interest as a dynamic, developmental phenomenon that evolves through distinct life stages.</w:t>
      </w:r>
    </w:p>
    <w:p>
      <w:pPr>
        <w:spacing w:before="0" w:after="100" w:lineRule="auto" w:line="360"/>
        <w:jc w:val="both"/>
      </w:pPr>
      <w:r>
        <w:rPr>
          <w:rFonts w:ascii="Times New Roman" w:hAnsi="Times New Roman" w:cs="Times New Roman" w:eastAsia="Times New Roman"/>
          <w:b/>
          <w:i w:val="0"/>
          <w:sz w:val="24"/>
        </w:rPr>
        <w:t>Holland (1966):</w:t>
      </w:r>
      <w:r>
        <w:rPr>
          <w:rFonts w:ascii="Times New Roman" w:hAnsi="Times New Roman" w:cs="Times New Roman" w:eastAsia="Times New Roman"/>
          <w:b w:val="0"/>
          <w:i w:val="0"/>
          <w:sz w:val="24"/>
        </w:rPr>
        <w:t xml:space="preserve"> “The activities, tasks, and environments that a person finds attractive and engaging.” Holland’s RIASEC model — Realistic, Investigative, Artistic, Social, Enterprising, and Conventional — remains the most widely used framework in modern vocational psychology.</w:t>
      </w:r>
    </w:p>
    <w:p>
      <w:pPr>
        <w:spacing w:before="0" w:after="100" w:lineRule="auto" w:line="360"/>
        <w:jc w:val="both"/>
      </w:pPr>
      <w:r>
        <w:rPr>
          <w:rFonts w:ascii="Times New Roman" w:hAnsi="Times New Roman" w:cs="Times New Roman" w:eastAsia="Times New Roman"/>
          <w:b/>
          <w:i w:val="0"/>
          <w:sz w:val="24"/>
        </w:rPr>
        <w:t>Strong (1943):</w:t>
      </w:r>
      <w:r>
        <w:rPr>
          <w:rFonts w:ascii="Times New Roman" w:hAnsi="Times New Roman" w:cs="Times New Roman" w:eastAsia="Times New Roman"/>
          <w:b w:val="0"/>
          <w:i w:val="0"/>
          <w:sz w:val="24"/>
        </w:rPr>
        <w:t xml:space="preserve"> “The tendency to become absorbed in certain activities to the exclusion of others.” Strong developed the Strong Vocational Interest Blank (SVIB), one of the earliest and most enduring interest inventories.</w:t>
      </w:r>
    </w:p>
    <w:p>
      <w:pPr>
        <w:spacing w:before="0" w:after="100" w:lineRule="auto" w:line="360"/>
        <w:jc w:val="both"/>
      </w:pPr>
      <w:r>
        <w:rPr>
          <w:rFonts w:ascii="Times New Roman" w:hAnsi="Times New Roman" w:cs="Times New Roman" w:eastAsia="Times New Roman"/>
          <w:b/>
          <w:i w:val="0"/>
          <w:sz w:val="24"/>
        </w:rPr>
        <w:t>Kulshrestha (1969):</w:t>
      </w:r>
      <w:r>
        <w:rPr>
          <w:rFonts w:ascii="Times New Roman" w:hAnsi="Times New Roman" w:cs="Times New Roman" w:eastAsia="Times New Roman"/>
          <w:b w:val="0"/>
          <w:i w:val="0"/>
          <w:sz w:val="24"/>
        </w:rPr>
        <w:t xml:space="preserve"> “The tendency or inclination of an individual towards certain types of vocational activities in which one engages readily and which one performs with greater ease, efficiency and satisfaction.” This definition, grounded in the Indian cultural and occupational reality, is adopted as the operational framework for the present study.</w:t>
      </w:r>
    </w:p>
    <w:p>
      <w:pPr>
        <w:spacing w:before="0" w:after="100" w:lineRule="auto" w:line="360"/>
        <w:jc w:val="both"/>
      </w:pPr>
      <w:r>
        <w:rPr>
          <w:rFonts w:ascii="Times New Roman" w:hAnsi="Times New Roman" w:cs="Times New Roman" w:eastAsia="Times New Roman"/>
          <w:b/>
          <w:i w:val="0"/>
          <w:sz w:val="24"/>
        </w:rPr>
        <w:t>Singh and Malhotra (1984):</w:t>
      </w:r>
      <w:r>
        <w:rPr>
          <w:rFonts w:ascii="Times New Roman" w:hAnsi="Times New Roman" w:cs="Times New Roman" w:eastAsia="Times New Roman"/>
          <w:b w:val="0"/>
          <w:i w:val="0"/>
          <w:sz w:val="24"/>
        </w:rPr>
        <w:t xml:space="preserve"> “A relatively stable disposition of the person to be attracted toward certain occupational activities and to be repelled by others, based on the individual’s experiences, values, and social conditioning.”</w:t>
      </w:r>
    </w:p>
    <w:p>
      <w:pPr>
        <w:spacing w:before="0" w:after="100" w:lineRule="auto" w:line="360"/>
        <w:jc w:val="both"/>
      </w:pPr>
      <w:r>
        <w:rPr>
          <w:rFonts w:ascii="Times New Roman" w:hAnsi="Times New Roman" w:cs="Times New Roman" w:eastAsia="Times New Roman"/>
          <w:b/>
          <w:i w:val="0"/>
          <w:sz w:val="24"/>
        </w:rPr>
        <w:t>Roe (1956):</w:t>
      </w:r>
      <w:r>
        <w:rPr>
          <w:rFonts w:ascii="Times New Roman" w:hAnsi="Times New Roman" w:cs="Times New Roman" w:eastAsia="Times New Roman"/>
          <w:b w:val="0"/>
          <w:i w:val="0"/>
          <w:sz w:val="24"/>
        </w:rPr>
        <w:t xml:space="preserve"> “The orientation of a person’s energy and attention towards particular classes of activities.” Roe linked occupational choice to the individual’s predominant need structure, drawing on Maslow’s hierarchy of needs.</w:t>
      </w:r>
    </w:p>
    <w:p>
      <w:pPr>
        <w:spacing w:before="280" w:after="160" w:lineRule="auto" w:line="276"/>
        <w:jc w:val="left"/>
      </w:pPr>
      <w:r>
        <w:rPr>
          <w:rFonts w:ascii="Times New Roman" w:hAnsi="Times New Roman" w:cs="Times New Roman" w:eastAsia="Times New Roman"/>
          <w:b/>
          <w:i w:val="0"/>
          <w:color w:val="8B0000"/>
          <w:sz w:val="28"/>
        </w:rPr>
        <w:t>1.4  Areas of Vocational Interest – S.P. Kulshrestha’s Classification</w:t>
      </w:r>
    </w:p>
    <w:p>
      <w:pPr>
        <w:spacing w:before="0" w:after="120" w:lineRule="auto" w:line="360"/>
        <w:jc w:val="both"/>
      </w:pPr>
      <w:r>
        <w:rPr>
          <w:rFonts w:ascii="Times New Roman" w:hAnsi="Times New Roman" w:cs="Times New Roman" w:eastAsia="Times New Roman"/>
          <w:b w:val="0"/>
          <w:i w:val="0"/>
          <w:sz w:val="24"/>
        </w:rPr>
        <w:t>The S.P. Kulshrestha Vocational Interest Record (KVIR) identifies and measures nine broad areas of vocational interest. Each area represents a distinct cluster of occupational activities relevant to the Indian secondary school student:</w:t>
      </w:r>
    </w:p>
    <w:p>
      <w:pPr>
        <w:spacing w:before="0" w:after="100" w:lineRule="auto" w:line="360"/>
        <w:jc w:val="both"/>
      </w:pPr>
      <w:r>
        <w:rPr>
          <w:rFonts w:ascii="Times New Roman" w:hAnsi="Times New Roman" w:cs="Times New Roman" w:eastAsia="Times New Roman"/>
          <w:b/>
          <w:i w:val="0"/>
          <w:sz w:val="24"/>
        </w:rPr>
        <w:t>1. Literary Interest:</w:t>
      </w:r>
      <w:r>
        <w:rPr>
          <w:rFonts w:ascii="Times New Roman" w:hAnsi="Times New Roman" w:cs="Times New Roman" w:eastAsia="Times New Roman"/>
          <w:b w:val="0"/>
          <w:i w:val="0"/>
          <w:sz w:val="24"/>
        </w:rPr>
        <w:t xml:space="preserve"> Encompasses a preference for activities involving reading, writing, language, and communication. Potential occupations include teaching, writing, editing, journalism, librarianship, law, and public administration.</w:t>
      </w:r>
    </w:p>
    <w:p>
      <w:pPr>
        <w:spacing w:before="0" w:after="100" w:lineRule="auto" w:line="360"/>
        <w:jc w:val="both"/>
      </w:pPr>
      <w:r>
        <w:rPr>
          <w:rFonts w:ascii="Times New Roman" w:hAnsi="Times New Roman" w:cs="Times New Roman" w:eastAsia="Times New Roman"/>
          <w:b/>
          <w:i w:val="0"/>
          <w:sz w:val="24"/>
        </w:rPr>
        <w:t>2. Scientific Interest:</w:t>
      </w:r>
      <w:r>
        <w:rPr>
          <w:rFonts w:ascii="Times New Roman" w:hAnsi="Times New Roman" w:cs="Times New Roman" w:eastAsia="Times New Roman"/>
          <w:b w:val="0"/>
          <w:i w:val="0"/>
          <w:sz w:val="24"/>
        </w:rPr>
        <w:t xml:space="preserve"> Refers to inclination towards inquiry, experimentation, analysis, and understanding of natural phenomena. Career pathways include medicine, research, engineering science, pharmacology, and environmental science.</w:t>
      </w:r>
    </w:p>
    <w:p>
      <w:pPr>
        <w:spacing w:before="0" w:after="100" w:lineRule="auto" w:line="360"/>
        <w:jc w:val="both"/>
      </w:pPr>
      <w:r>
        <w:rPr>
          <w:rFonts w:ascii="Times New Roman" w:hAnsi="Times New Roman" w:cs="Times New Roman" w:eastAsia="Times New Roman"/>
          <w:b/>
          <w:i w:val="0"/>
          <w:sz w:val="24"/>
        </w:rPr>
        <w:t>3. Technical Interest:</w:t>
      </w:r>
      <w:r>
        <w:rPr>
          <w:rFonts w:ascii="Times New Roman" w:hAnsi="Times New Roman" w:cs="Times New Roman" w:eastAsia="Times New Roman"/>
          <w:b w:val="0"/>
          <w:i w:val="0"/>
          <w:sz w:val="24"/>
        </w:rPr>
        <w:t xml:space="preserve"> Involves preference for working with machines, tools, mechanical systems, and technical processes. Vocations include engineering, carpentry, mechanics, electronics, and computer hardware. Research consistently shows higher technical interest among males.</w:t>
      </w:r>
    </w:p>
    <w:p>
      <w:pPr>
        <w:spacing w:before="0" w:after="100" w:lineRule="auto" w:line="360"/>
        <w:jc w:val="both"/>
      </w:pPr>
      <w:r>
        <w:rPr>
          <w:rFonts w:ascii="Times New Roman" w:hAnsi="Times New Roman" w:cs="Times New Roman" w:eastAsia="Times New Roman"/>
          <w:b/>
          <w:i w:val="0"/>
          <w:sz w:val="24"/>
        </w:rPr>
        <w:t>4. Artistic Interest:</w:t>
      </w:r>
      <w:r>
        <w:rPr>
          <w:rFonts w:ascii="Times New Roman" w:hAnsi="Times New Roman" w:cs="Times New Roman" w:eastAsia="Times New Roman"/>
          <w:b w:val="0"/>
          <w:i w:val="0"/>
          <w:sz w:val="24"/>
        </w:rPr>
        <w:t xml:space="preserve"> Refers to attraction towards creative expression through visual arts, music, dance, drama, and craft. Vocational pathways include fine arts, graphic design, fashion design, architecture, and performing arts.</w:t>
      </w:r>
    </w:p>
    <w:p>
      <w:pPr>
        <w:spacing w:before="0" w:after="100" w:lineRule="auto" w:line="360"/>
        <w:jc w:val="both"/>
      </w:pPr>
      <w:r>
        <w:rPr>
          <w:rFonts w:ascii="Times New Roman" w:hAnsi="Times New Roman" w:cs="Times New Roman" w:eastAsia="Times New Roman"/>
          <w:b/>
          <w:i w:val="0"/>
          <w:sz w:val="24"/>
        </w:rPr>
        <w:t>5. Commercial Interest:</w:t>
      </w:r>
      <w:r>
        <w:rPr>
          <w:rFonts w:ascii="Times New Roman" w:hAnsi="Times New Roman" w:cs="Times New Roman" w:eastAsia="Times New Roman"/>
          <w:b w:val="0"/>
          <w:i w:val="0"/>
          <w:sz w:val="24"/>
        </w:rPr>
        <w:t xml:space="preserve"> Reflects preference for business, trade, finance, accounting, and economic activities. Career options include commerce, banking, insurance, business management, marketing, and entrepreneurship.</w:t>
      </w:r>
    </w:p>
    <w:p>
      <w:pPr>
        <w:spacing w:before="0" w:after="100" w:lineRule="auto" w:line="360"/>
        <w:jc w:val="both"/>
      </w:pPr>
      <w:r>
        <w:rPr>
          <w:rFonts w:ascii="Times New Roman" w:hAnsi="Times New Roman" w:cs="Times New Roman" w:eastAsia="Times New Roman"/>
          <w:b/>
          <w:i w:val="0"/>
          <w:sz w:val="24"/>
        </w:rPr>
        <w:t>6. Executive Interest:</w:t>
      </w:r>
      <w:r>
        <w:rPr>
          <w:rFonts w:ascii="Times New Roman" w:hAnsi="Times New Roman" w:cs="Times New Roman" w:eastAsia="Times New Roman"/>
          <w:b w:val="0"/>
          <w:i w:val="0"/>
          <w:sz w:val="24"/>
        </w:rPr>
        <w:t xml:space="preserve"> Refers to inclination towards leadership, management, administration, and organisational decision-making. Relevant careers include civil services, corporate management, politics, military leadership, and educational administration.</w:t>
      </w:r>
    </w:p>
    <w:p>
      <w:pPr>
        <w:spacing w:before="0" w:after="100" w:lineRule="auto" w:line="360"/>
        <w:jc w:val="both"/>
      </w:pPr>
      <w:r>
        <w:rPr>
          <w:rFonts w:ascii="Times New Roman" w:hAnsi="Times New Roman" w:cs="Times New Roman" w:eastAsia="Times New Roman"/>
          <w:b/>
          <w:i w:val="0"/>
          <w:sz w:val="24"/>
        </w:rPr>
        <w:t>7. Agricultural Interest:</w:t>
      </w:r>
      <w:r>
        <w:rPr>
          <w:rFonts w:ascii="Times New Roman" w:hAnsi="Times New Roman" w:cs="Times New Roman" w:eastAsia="Times New Roman"/>
          <w:b w:val="0"/>
          <w:i w:val="0"/>
          <w:sz w:val="24"/>
        </w:rPr>
        <w:t xml:space="preserve"> Encompasses preference for farming, horticulture, animal husbandry, and related rural occupations. In India, where agriculture remains a primary occupation, this area holds special relevance for rural students.</w:t>
      </w:r>
    </w:p>
    <w:p>
      <w:pPr>
        <w:spacing w:before="0" w:after="100" w:lineRule="auto" w:line="360"/>
        <w:jc w:val="both"/>
      </w:pPr>
      <w:r>
        <w:rPr>
          <w:rFonts w:ascii="Times New Roman" w:hAnsi="Times New Roman" w:cs="Times New Roman" w:eastAsia="Times New Roman"/>
          <w:b/>
          <w:i w:val="0"/>
          <w:sz w:val="24"/>
        </w:rPr>
        <w:t>8. Household (Domestic) Interest:</w:t>
      </w:r>
      <w:r>
        <w:rPr>
          <w:rFonts w:ascii="Times New Roman" w:hAnsi="Times New Roman" w:cs="Times New Roman" w:eastAsia="Times New Roman"/>
          <w:b w:val="0"/>
          <w:i w:val="0"/>
          <w:sz w:val="24"/>
        </w:rPr>
        <w:t xml:space="preserve"> Refers to inclination towards domestic management, cooking, child-rearing, tailoring, and home-based activities. Beyond gender stereotypes, this area connects to nutrition, early childhood education, and hospitality careers.</w:t>
      </w:r>
    </w:p>
    <w:p>
      <w:pPr>
        <w:spacing w:before="0" w:after="100" w:lineRule="auto" w:line="360"/>
        <w:jc w:val="both"/>
      </w:pPr>
      <w:r>
        <w:rPr>
          <w:rFonts w:ascii="Times New Roman" w:hAnsi="Times New Roman" w:cs="Times New Roman" w:eastAsia="Times New Roman"/>
          <w:b/>
          <w:i w:val="0"/>
          <w:sz w:val="24"/>
        </w:rPr>
        <w:t>9. Social Interest:</w:t>
      </w:r>
      <w:r>
        <w:rPr>
          <w:rFonts w:ascii="Times New Roman" w:hAnsi="Times New Roman" w:cs="Times New Roman" w:eastAsia="Times New Roman"/>
          <w:b w:val="0"/>
          <w:i w:val="0"/>
          <w:sz w:val="24"/>
        </w:rPr>
        <w:t xml:space="preserve"> Involves preference for helping others, social service, community development, counselling, healthcare, and human welfare. Career pathways include social work, teaching, counselling, nursing, and community development.</w:t>
      </w:r>
    </w:p>
    <w:p>
      <w:pPr>
        <w:spacing w:before="280" w:after="160" w:lineRule="auto" w:line="276"/>
        <w:jc w:val="left"/>
      </w:pPr>
      <w:r>
        <w:rPr>
          <w:rFonts w:ascii="Times New Roman" w:hAnsi="Times New Roman" w:cs="Times New Roman" w:eastAsia="Times New Roman"/>
          <w:b/>
          <w:i w:val="0"/>
          <w:color w:val="8B0000"/>
          <w:sz w:val="28"/>
        </w:rPr>
        <w:t>1.5  Importance of Vocational Interests</w:t>
      </w:r>
    </w:p>
    <w:p>
      <w:pPr>
        <w:spacing w:before="0" w:after="120" w:lineRule="auto" w:line="360"/>
        <w:jc w:val="both"/>
      </w:pPr>
      <w:r>
        <w:rPr>
          <w:rFonts w:ascii="Times New Roman" w:hAnsi="Times New Roman" w:cs="Times New Roman" w:eastAsia="Times New Roman"/>
          <w:b w:val="0"/>
          <w:i w:val="0"/>
          <w:sz w:val="24"/>
        </w:rPr>
        <w:t>The importance of understanding and nurturing vocational interests in adolescent students can hardly be overstated. Research has established a robust relationship between interest congruence — the degree of match between a person’s interests and their occupation — and career satisfaction and performance (Super, 1953). When students are forced into paths that clash with their genuine interests, the psychological cost can be severe: anxiety, academic disengagement, depression, and a pervasive sense of purposelessness are common outcomes.</w:t>
      </w:r>
    </w:p>
    <w:p>
      <w:pPr>
        <w:spacing w:before="0" w:after="120" w:lineRule="auto" w:line="360"/>
        <w:jc w:val="both"/>
      </w:pPr>
      <w:r>
        <w:rPr>
          <w:rFonts w:ascii="Times New Roman" w:hAnsi="Times New Roman" w:cs="Times New Roman" w:eastAsia="Times New Roman"/>
          <w:b w:val="0"/>
          <w:i w:val="0"/>
          <w:sz w:val="24"/>
        </w:rPr>
        <w:t>At the secondary level, students in India are required to choose their academic stream — Science, Commerce, or Humanities — at Class XI. This decision, made at the age of 15–16, has long-term consequences. A stronger emphasis on vocational interest assessment could, over time, contribute to better alignment between individual talents and national occupational needs.</w:t>
      </w:r>
    </w:p>
    <w:p>
      <w:pPr>
        <w:spacing w:before="0" w:after="120" w:lineRule="auto" w:line="360"/>
        <w:jc w:val="both"/>
      </w:pPr>
      <w:r>
        <w:rPr>
          <w:rFonts w:ascii="Times New Roman" w:hAnsi="Times New Roman" w:cs="Times New Roman" w:eastAsia="Times New Roman"/>
          <w:b w:val="0"/>
          <w:i w:val="0"/>
          <w:sz w:val="24"/>
        </w:rPr>
        <w:t>Understanding vocational interests with a gender-sensitive lens can also help challenge stereotypical occupational assumptions. If girls are shown to have high scientific or executive interests, this finding can be used to actively encourage them towards science, technology, engineering, and management careers — areas traditionally dominated by males. At the systemic level, interest data informs curriculum design, resource allocation, and the planning of vocational education programmes under initiatives like the National Skill Development Mission.</w:t>
      </w:r>
    </w:p>
    <w:p>
      <w:pPr>
        <w:spacing w:before="280" w:after="160" w:lineRule="auto" w:line="276"/>
        <w:jc w:val="left"/>
      </w:pPr>
      <w:r>
        <w:rPr>
          <w:rFonts w:ascii="Times New Roman" w:hAnsi="Times New Roman" w:cs="Times New Roman" w:eastAsia="Times New Roman"/>
          <w:b/>
          <w:i w:val="0"/>
          <w:color w:val="8B0000"/>
          <w:sz w:val="28"/>
        </w:rPr>
        <w:t>1.6  Secondary Education in India</w:t>
      </w:r>
    </w:p>
    <w:p>
      <w:pPr>
        <w:spacing w:before="0" w:after="120" w:lineRule="auto" w:line="360"/>
        <w:jc w:val="both"/>
      </w:pPr>
      <w:r>
        <w:rPr>
          <w:rFonts w:ascii="Times New Roman" w:hAnsi="Times New Roman" w:cs="Times New Roman" w:eastAsia="Times New Roman"/>
          <w:b w:val="0"/>
          <w:i w:val="0"/>
          <w:sz w:val="24"/>
        </w:rPr>
        <w:t>Secondary education in India covers Classes IX and X, typically for students aged 14 to 16 years. The National Education Policy 2020 (NEP 2020) has introduced significant reforms, envisioning a 5+3+3+4 framework that emphasises vocational education, flexibility, and experiential learning. However, implementation remains uneven, particularly in rural areas.</w:t>
      </w:r>
    </w:p>
    <w:p>
      <w:pPr>
        <w:spacing w:before="0" w:after="120" w:lineRule="auto" w:line="360"/>
        <w:jc w:val="both"/>
      </w:pPr>
      <w:r>
        <w:rPr>
          <w:rFonts w:ascii="Times New Roman" w:hAnsi="Times New Roman" w:cs="Times New Roman" w:eastAsia="Times New Roman"/>
          <w:b w:val="0"/>
          <w:i w:val="0"/>
          <w:sz w:val="24"/>
        </w:rPr>
        <w:t>The secondary stage is dominated by the preparation for high-stakes board examinations conducted by UPMSP (U.P. Board) and CBSE. This examination-driven culture crowds out time for vocational guidance and career counselling. A vast disparity exists between rural government schools and urban private schools in terms of infrastructure, teacher quality, and career exposure. Urban CBSE schools typically offer better science facilities, computer labs, libraries, and extracurricular activities. Rural government schools frequently struggle with resource deficits and teacher shortages.</w:t>
      </w:r>
    </w:p>
    <w:p>
      <w:pPr>
        <w:spacing w:before="0" w:after="120" w:lineRule="auto" w:line="360"/>
        <w:jc w:val="both"/>
      </w:pPr>
      <w:r>
        <w:rPr>
          <w:rFonts w:ascii="Times New Roman" w:hAnsi="Times New Roman" w:cs="Times New Roman" w:eastAsia="Times New Roman"/>
          <w:b w:val="0"/>
          <w:i w:val="0"/>
          <w:sz w:val="24"/>
        </w:rPr>
        <w:t>The National Skill Development Mission and the Vocationalization of Secondary Education scheme have attempted to introduce vocational training within the secondary school framework. Under these initiatives, students in Classes IX to XII can opt for vocational subjects in areas like IT, agriculture, healthcare, and tourism. However, the reach and quality of these programmes remain limited, especially in rural government schools.</w:t>
      </w:r>
    </w:p>
    <w:p>
      <w:pPr>
        <w:spacing w:before="280" w:after="160" w:lineRule="auto" w:line="276"/>
        <w:jc w:val="left"/>
      </w:pPr>
      <w:r>
        <w:rPr>
          <w:rFonts w:ascii="Times New Roman" w:hAnsi="Times New Roman" w:cs="Times New Roman" w:eastAsia="Times New Roman"/>
          <w:b/>
          <w:i w:val="0"/>
          <w:color w:val="8B0000"/>
          <w:sz w:val="28"/>
        </w:rPr>
        <w:t>1.7  Adolescence and Career Choice</w:t>
      </w:r>
    </w:p>
    <w:p>
      <w:pPr>
        <w:spacing w:before="0" w:after="120" w:lineRule="auto" w:line="360"/>
        <w:jc w:val="both"/>
      </w:pPr>
      <w:r>
        <w:rPr>
          <w:rFonts w:ascii="Times New Roman" w:hAnsi="Times New Roman" w:cs="Times New Roman" w:eastAsia="Times New Roman"/>
          <w:b w:val="0"/>
          <w:i w:val="0"/>
          <w:sz w:val="24"/>
        </w:rPr>
        <w:t>Adolescence — the developmental stage spanning roughly from ages 12 to 18 — is universally recognised as a period of profound psychological, physical, and social transformation. In the educational context, it is the period during which career thinking moves from the realm of fantasy to the realm of realistic exploration. Erik Erikson’s (1968) theory of psychosocial development identifies the central developmental task of adolescence as the resolution of the ‘identity vs. role confusion’ crisis. Vocational identity — knowing what kind of work one wants to do — is one of the most important components of this broader identity achievement.</w:t>
      </w:r>
    </w:p>
    <w:p>
      <w:pPr>
        <w:spacing w:before="0" w:after="120" w:lineRule="auto" w:line="360"/>
        <w:jc w:val="both"/>
      </w:pPr>
      <w:r>
        <w:rPr>
          <w:rFonts w:ascii="Times New Roman" w:hAnsi="Times New Roman" w:cs="Times New Roman" w:eastAsia="Times New Roman"/>
          <w:b w:val="0"/>
          <w:i w:val="0"/>
          <w:sz w:val="24"/>
        </w:rPr>
        <w:t>Donald Super’s Career Development Theory provides perhaps the most comprehensive framework for understanding adolescent career development. Super proposed that individuals pass through five life stages: Growth, Exploration, Establishment, Maintenance, and Decline. The secondary school years fall squarely within the Exploration Stage (ages 15–24), during which young people actively explore different vocational options and gradually crystallise their vocational identities. Most Class IX and X students are at the tentative sub-stage, where career thinking is exploratory rather than committed.</w:t>
      </w:r>
    </w:p>
    <w:p>
      <w:pPr>
        <w:spacing w:before="0" w:after="120" w:lineRule="auto" w:line="360"/>
        <w:jc w:val="both"/>
      </w:pPr>
      <w:r>
        <w:rPr>
          <w:rFonts w:ascii="Times New Roman" w:hAnsi="Times New Roman" w:cs="Times New Roman" w:eastAsia="Times New Roman"/>
          <w:b w:val="0"/>
          <w:i w:val="0"/>
          <w:sz w:val="24"/>
        </w:rPr>
        <w:t>Gottfredson’s (1981) Theory of Circumscription and Compromise shows that adolescents progressively narrow occupational aspirations by eliminating options that are incongruent with their gender-role self-concept and social prestige level — often long before they have had any real exposure to those fields. In the Indian context, these developmental processes are shaped by additional cultural forces: family expectations, community norms, economic constraints, and social aspirations all play powerful roles in shaping the vocational thinking of adolescents.</w:t>
      </w:r>
    </w:p>
    <w:p>
      <w:pPr>
        <w:spacing w:before="280" w:after="160" w:lineRule="auto" w:line="276"/>
        <w:jc w:val="left"/>
      </w:pPr>
      <w:r>
        <w:rPr>
          <w:rFonts w:ascii="Times New Roman" w:hAnsi="Times New Roman" w:cs="Times New Roman" w:eastAsia="Times New Roman"/>
          <w:b/>
          <w:i w:val="0"/>
          <w:color w:val="8B0000"/>
          <w:sz w:val="28"/>
        </w:rPr>
        <w:t>1.8  Gender Differences in Career Aspirations</w:t>
      </w:r>
    </w:p>
    <w:p>
      <w:pPr>
        <w:spacing w:before="0" w:after="120" w:lineRule="auto" w:line="360"/>
        <w:jc w:val="both"/>
      </w:pPr>
      <w:r>
        <w:rPr>
          <w:rFonts w:ascii="Times New Roman" w:hAnsi="Times New Roman" w:cs="Times New Roman" w:eastAsia="Times New Roman"/>
          <w:b w:val="0"/>
          <w:i w:val="0"/>
          <w:sz w:val="24"/>
        </w:rPr>
        <w:t>One of the most consistently documented findings in vocational psychology is the existence of significant gender differences in vocational interests. Globally, males consistently show higher interests in Realistic (technical) and Investigative (scientific) domains, while females show higher interests in Social, Artistic, and Conventional domains (Holland, 1966; Lippa, 1998; Su et al., 2009). This ‘People-Things’ dimension of interest differentiation has been replicated across dozens of countries and hundreds of studies.</w:t>
      </w:r>
    </w:p>
    <w:p>
      <w:pPr>
        <w:spacing w:before="0" w:after="120" w:lineRule="auto" w:line="360"/>
        <w:jc w:val="both"/>
      </w:pPr>
      <w:r>
        <w:rPr>
          <w:rFonts w:ascii="Times New Roman" w:hAnsi="Times New Roman" w:cs="Times New Roman" w:eastAsia="Times New Roman"/>
          <w:b w:val="0"/>
          <w:i w:val="0"/>
          <w:sz w:val="24"/>
        </w:rPr>
        <w:t>Indian research confirms boys’ dominance in technical, scientific, and executive interests, and girls’ dominance in social, artistic, and household interests (Thakur and Saini, 1980; Bhatnagar, 1993; Yadav and Sharma, 2012). However, these differences are not universal. Urban girls, particularly those from higher socioeconomic backgrounds and supportive school environments, increasingly show high scientific and executive interests.</w:t>
      </w:r>
    </w:p>
    <w:p>
      <w:pPr>
        <w:spacing w:before="0" w:after="120" w:lineRule="auto" w:line="360"/>
        <w:jc w:val="both"/>
      </w:pPr>
      <w:r>
        <w:rPr>
          <w:rFonts w:ascii="Times New Roman" w:hAnsi="Times New Roman" w:cs="Times New Roman" w:eastAsia="Times New Roman"/>
          <w:b w:val="0"/>
          <w:i w:val="0"/>
          <w:sz w:val="24"/>
        </w:rPr>
        <w:t>A central debate concerns whether observed gender differences reflect genuine intrinsic preferences or are primarily the product of socialisation, cultural conditioning, and structural barriers. There is evidence supporting both positions. Regardless of the ultimate source of these differences, their practical implications for vocational guidance are clear: counsellors must not reinforce stereotypical occupational choices, while also acknowledging that genuine gender differences in interests do exist and deserve respect.</w:t>
      </w:r>
    </w:p>
    <w:p>
      <w:pPr>
        <w:spacing w:before="280" w:after="160" w:lineRule="auto" w:line="276"/>
        <w:jc w:val="left"/>
      </w:pPr>
      <w:r>
        <w:rPr>
          <w:rFonts w:ascii="Times New Roman" w:hAnsi="Times New Roman" w:cs="Times New Roman" w:eastAsia="Times New Roman"/>
          <w:b/>
          <w:i w:val="0"/>
          <w:color w:val="8B0000"/>
          <w:sz w:val="28"/>
        </w:rPr>
        <w:t>1.9  Rural and Urban Educational Context</w:t>
      </w:r>
    </w:p>
    <w:p>
      <w:pPr>
        <w:spacing w:before="0" w:after="120" w:lineRule="auto" w:line="360"/>
        <w:jc w:val="both"/>
      </w:pPr>
      <w:r>
        <w:rPr>
          <w:rFonts w:ascii="Times New Roman" w:hAnsi="Times New Roman" w:cs="Times New Roman" w:eastAsia="Times New Roman"/>
          <w:b w:val="0"/>
          <w:i w:val="0"/>
          <w:sz w:val="24"/>
        </w:rPr>
        <w:t>The rural-urban divide in Indian education is one of the most significant structural features of the country’s educational landscape. Urban schools — particularly private schools affiliated to CBSE — typically have modern infrastructure, well-qualified teachers, computer labs, libraries, sports facilities, and a structured co-curricular programme. Rural government schools, by contrast, frequently operate with inadequate facilities, multi-grade teaching, and a lack of vocational exposure activities.</w:t>
      </w:r>
    </w:p>
    <w:p>
      <w:pPr>
        <w:spacing w:before="0" w:after="120" w:lineRule="auto" w:line="360"/>
        <w:jc w:val="both"/>
      </w:pPr>
      <w:r>
        <w:rPr>
          <w:rFonts w:ascii="Times New Roman" w:hAnsi="Times New Roman" w:cs="Times New Roman" w:eastAsia="Times New Roman"/>
          <w:b w:val="0"/>
          <w:i w:val="0"/>
          <w:sz w:val="24"/>
        </w:rPr>
        <w:t>Urban students, on average, come from higher socioeconomic backgrounds, which translates into greater educational investment, more parental awareness of career possibilities, and wider career horizons. Rural students, particularly those whose parents are engaged in farming or manual labour, often face the dual pressure of economic constraints and limited vocational imagination. In Meerut district, where the present study is situated, the Kila Parikshit Garh area represents a semi-urban zone where traditional rural influences and growing urban aspirations coexist.</w:t>
      </w:r>
    </w:p>
    <w:p>
      <w:pPr>
        <w:spacing w:before="280" w:after="160" w:lineRule="auto" w:line="276"/>
        <w:jc w:val="left"/>
      </w:pPr>
      <w:r>
        <w:rPr>
          <w:rFonts w:ascii="Times New Roman" w:hAnsi="Times New Roman" w:cs="Times New Roman" w:eastAsia="Times New Roman"/>
          <w:b/>
          <w:i w:val="0"/>
          <w:color w:val="8B0000"/>
          <w:sz w:val="28"/>
        </w:rPr>
        <w:t>1.10  Need and Significance of the Study</w:t>
      </w:r>
    </w:p>
    <w:p>
      <w:pPr>
        <w:spacing w:before="0" w:after="120" w:lineRule="auto" w:line="360"/>
        <w:jc w:val="both"/>
      </w:pPr>
      <w:r>
        <w:rPr>
          <w:rFonts w:ascii="Times New Roman" w:hAnsi="Times New Roman" w:cs="Times New Roman" w:eastAsia="Times New Roman"/>
          <w:b w:val="0"/>
          <w:i w:val="0"/>
          <w:sz w:val="24"/>
        </w:rPr>
        <w:t>The present study is significant for the following reasons:</w:t>
      </w:r>
    </w:p>
    <w:p>
      <w:pPr>
        <w:spacing w:before="0" w:after="80" w:lineRule="auto" w:line="360"/>
        <w:jc w:val="both"/>
      </w:pPr>
      <w:r>
        <w:rPr>
          <w:rFonts w:ascii="Times New Roman" w:hAnsi="Times New Roman" w:cs="Times New Roman" w:eastAsia="Times New Roman"/>
          <w:b w:val="0"/>
          <w:i w:val="0"/>
          <w:sz w:val="24"/>
        </w:rPr>
        <w:t>1.  Secondary school students are at a critical vocational crossroads. Without adequate guidance, career choices are made under social pressure rather than personal fit.</w:t>
      </w:r>
    </w:p>
    <w:p>
      <w:pPr>
        <w:spacing w:before="0" w:after="80" w:lineRule="auto" w:line="360"/>
        <w:jc w:val="both"/>
      </w:pPr>
      <w:r>
        <w:rPr>
          <w:rFonts w:ascii="Times New Roman" w:hAnsi="Times New Roman" w:cs="Times New Roman" w:eastAsia="Times New Roman"/>
          <w:b w:val="0"/>
          <w:i w:val="0"/>
          <w:sz w:val="24"/>
        </w:rPr>
        <w:t>2.  Gender-differentiated vocational interests continue to perpetuate occupational segregation. Locally relevant empirical data is needed to design targeted guidance interventions in Meerut district schools.</w:t>
      </w:r>
    </w:p>
    <w:p>
      <w:pPr>
        <w:spacing w:before="0" w:after="80" w:lineRule="auto" w:line="360"/>
        <w:jc w:val="both"/>
      </w:pPr>
      <w:r>
        <w:rPr>
          <w:rFonts w:ascii="Times New Roman" w:hAnsi="Times New Roman" w:cs="Times New Roman" w:eastAsia="Times New Roman"/>
          <w:b w:val="0"/>
          <w:i w:val="0"/>
          <w:sz w:val="24"/>
        </w:rPr>
        <w:t>3.  There is a distinct shortage of district-level vocational interest studies from western Uttar Pradesh. The present study addresses this geographical gap.</w:t>
      </w:r>
    </w:p>
    <w:p>
      <w:pPr>
        <w:spacing w:before="0" w:after="80" w:lineRule="auto" w:line="360"/>
        <w:jc w:val="both"/>
      </w:pPr>
      <w:r>
        <w:rPr>
          <w:rFonts w:ascii="Times New Roman" w:hAnsi="Times New Roman" w:cs="Times New Roman" w:eastAsia="Times New Roman"/>
          <w:b w:val="0"/>
          <w:i w:val="0"/>
          <w:sz w:val="24"/>
        </w:rPr>
        <w:t>4.  Rural-urban comparison data is essential for context-sensitive vocational education programme design under NEP 2020.</w:t>
      </w:r>
    </w:p>
    <w:p>
      <w:pPr>
        <w:spacing w:before="0" w:after="80" w:lineRule="auto" w:line="360"/>
        <w:jc w:val="both"/>
      </w:pPr>
      <w:r>
        <w:rPr>
          <w:rFonts w:ascii="Times New Roman" w:hAnsi="Times New Roman" w:cs="Times New Roman" w:eastAsia="Times New Roman"/>
          <w:b w:val="0"/>
          <w:i w:val="0"/>
          <w:sz w:val="24"/>
        </w:rPr>
        <w:t>5.  Guidance counsellors, teachers, and school administrators in Meerut district need locally grounded data to plan and implement meaningful vocational guidance programmes.</w:t>
      </w:r>
    </w:p>
    <w:p>
      <w:pPr>
        <w:spacing w:before="0" w:after="80" w:lineRule="auto" w:line="360"/>
        <w:jc w:val="both"/>
      </w:pPr>
      <w:r>
        <w:rPr>
          <w:rFonts w:ascii="Times New Roman" w:hAnsi="Times New Roman" w:cs="Times New Roman" w:eastAsia="Times New Roman"/>
          <w:b w:val="0"/>
          <w:i w:val="0"/>
          <w:sz w:val="24"/>
        </w:rPr>
        <w:t>6.  The study provides a baseline dataset for future longitudinal research on vocational interest development in the Meerut region.</w:t>
      </w:r>
    </w:p>
    <w:p>
      <w:pPr>
        <w:spacing w:before="280" w:after="160" w:lineRule="auto" w:line="276"/>
        <w:jc w:val="left"/>
      </w:pPr>
      <w:r>
        <w:rPr>
          <w:rFonts w:ascii="Times New Roman" w:hAnsi="Times New Roman" w:cs="Times New Roman" w:eastAsia="Times New Roman"/>
          <w:b/>
          <w:i w:val="0"/>
          <w:color w:val="8B0000"/>
          <w:sz w:val="28"/>
        </w:rPr>
        <w:t>1.11  Statement of the Problem</w:t>
      </w:r>
    </w:p>
    <w:p>
      <w:pPr>
        <w:spacing w:before="0" w:after="120" w:lineRule="auto" w:line="360"/>
        <w:jc w:val="both"/>
      </w:pPr>
      <w:r>
        <w:rPr>
          <w:rFonts w:ascii="Times New Roman" w:hAnsi="Times New Roman" w:cs="Times New Roman" w:eastAsia="Times New Roman"/>
          <w:b w:val="0"/>
          <w:i w:val="0"/>
          <w:sz w:val="24"/>
        </w:rPr>
        <w:t>The present study is stated as follows:</w:t>
      </w:r>
    </w:p>
    <w:p>
      <w:pPr>
        <w:spacing w:before="0" w:after="100" w:lineRule="auto" w:line="360"/>
        <w:jc w:val="both"/>
      </w:pPr>
      <w:r>
        <w:rPr>
          <w:rFonts w:ascii="Times New Roman" w:hAnsi="Times New Roman" w:cs="Times New Roman" w:eastAsia="Times New Roman"/>
          <w:b/>
          <w:i w:val="0"/>
          <w:sz w:val="24"/>
        </w:rPr>
        <w:t>“A Comparative Study of the Vocational Interests of Boys and Girls Studying at Secondary Level”</w:t>
      </w:r>
      <w:r>
        <w:rPr>
          <w:rFonts w:ascii="Times New Roman" w:hAnsi="Times New Roman" w:cs="Times New Roman" w:eastAsia="Times New Roman"/>
          <w:b w:val="0"/>
          <w:i w:val="0"/>
          <w:sz w:val="24"/>
        </w:rPr>
        <w:t xml:space="preserve"> — with special reference to students of Class IX (Shri Sanskrit Inter College, Meerut) and Class X (KP International School, Kila Parikshit Garh, Meerut), using the S.P. Kulshrestha Vocational Interest Record.</w:t>
      </w:r>
    </w:p>
    <w:p>
      <w:pPr>
        <w:spacing w:before="280" w:after="160" w:lineRule="auto" w:line="276"/>
        <w:jc w:val="left"/>
      </w:pPr>
      <w:r>
        <w:rPr>
          <w:rFonts w:ascii="Times New Roman" w:hAnsi="Times New Roman" w:cs="Times New Roman" w:eastAsia="Times New Roman"/>
          <w:b/>
          <w:i w:val="0"/>
          <w:color w:val="8B0000"/>
          <w:sz w:val="28"/>
        </w:rPr>
        <w:t>1.12  Objectives of the Study</w:t>
      </w:r>
    </w:p>
    <w:p>
      <w:pPr>
        <w:spacing w:before="0" w:after="80" w:lineRule="auto" w:line="360"/>
        <w:jc w:val="both"/>
      </w:pPr>
      <w:r>
        <w:rPr>
          <w:rFonts w:ascii="Times New Roman" w:hAnsi="Times New Roman" w:cs="Times New Roman" w:eastAsia="Times New Roman"/>
          <w:b w:val="0"/>
          <w:i w:val="0"/>
          <w:sz w:val="24"/>
        </w:rPr>
        <w:t>1.  To identify and compare the dominant vocational interests of boys and girls at the secondary level.</w:t>
      </w:r>
    </w:p>
    <w:p>
      <w:pPr>
        <w:spacing w:before="0" w:after="80" w:lineRule="auto" w:line="360"/>
        <w:jc w:val="both"/>
      </w:pPr>
      <w:r>
        <w:rPr>
          <w:rFonts w:ascii="Times New Roman" w:hAnsi="Times New Roman" w:cs="Times New Roman" w:eastAsia="Times New Roman"/>
          <w:b w:val="0"/>
          <w:i w:val="0"/>
          <w:sz w:val="24"/>
        </w:rPr>
        <w:t>2.  To compare the vocational interest profiles of students from a rural government school with those from an urban private school.</w:t>
      </w:r>
    </w:p>
    <w:p>
      <w:pPr>
        <w:spacing w:before="0" w:after="80" w:lineRule="auto" w:line="360"/>
        <w:jc w:val="both"/>
      </w:pPr>
      <w:r>
        <w:rPr>
          <w:rFonts w:ascii="Times New Roman" w:hAnsi="Times New Roman" w:cs="Times New Roman" w:eastAsia="Times New Roman"/>
          <w:b w:val="0"/>
          <w:i w:val="0"/>
          <w:sz w:val="24"/>
        </w:rPr>
        <w:t>3.  To identify the dominant vocational interest areas for each of the four groups: rural boys, rural girls, urban boys, and urban girls.</w:t>
      </w:r>
    </w:p>
    <w:p>
      <w:pPr>
        <w:spacing w:before="0" w:after="80" w:lineRule="auto" w:line="360"/>
        <w:jc w:val="both"/>
      </w:pPr>
      <w:r>
        <w:rPr>
          <w:rFonts w:ascii="Times New Roman" w:hAnsi="Times New Roman" w:cs="Times New Roman" w:eastAsia="Times New Roman"/>
          <w:b w:val="0"/>
          <w:i w:val="0"/>
          <w:sz w:val="24"/>
        </w:rPr>
        <w:t>4.  To test for statistically significant differences in technical and scientific vocational interest scores between boys and girls.</w:t>
      </w:r>
    </w:p>
    <w:p>
      <w:pPr>
        <w:spacing w:before="0" w:after="80" w:lineRule="auto" w:line="360"/>
        <w:jc w:val="both"/>
      </w:pPr>
      <w:r>
        <w:rPr>
          <w:rFonts w:ascii="Times New Roman" w:hAnsi="Times New Roman" w:cs="Times New Roman" w:eastAsia="Times New Roman"/>
          <w:b w:val="0"/>
          <w:i w:val="0"/>
          <w:sz w:val="24"/>
        </w:rPr>
        <w:t>5.  To test for statistically significant differences in social and artistic vocational interest scores between boys and girls.</w:t>
      </w:r>
    </w:p>
    <w:p>
      <w:pPr>
        <w:spacing w:before="0" w:after="80" w:lineRule="auto" w:line="360"/>
        <w:jc w:val="both"/>
      </w:pPr>
      <w:r>
        <w:rPr>
          <w:rFonts w:ascii="Times New Roman" w:hAnsi="Times New Roman" w:cs="Times New Roman" w:eastAsia="Times New Roman"/>
          <w:b w:val="0"/>
          <w:i w:val="0"/>
          <w:sz w:val="24"/>
        </w:rPr>
        <w:t>6.  To examine whether significant differences exist in agricultural vocational interest between rural and urban students.</w:t>
      </w:r>
    </w:p>
    <w:p>
      <w:pPr>
        <w:spacing w:before="0" w:after="80" w:lineRule="auto" w:line="360"/>
        <w:jc w:val="both"/>
      </w:pPr>
      <w:r>
        <w:rPr>
          <w:rFonts w:ascii="Times New Roman" w:hAnsi="Times New Roman" w:cs="Times New Roman" w:eastAsia="Times New Roman"/>
          <w:b w:val="0"/>
          <w:i w:val="0"/>
          <w:sz w:val="24"/>
        </w:rPr>
        <w:t>7.  To offer practical suggestions for improving vocational guidance in secondary schools.</w:t>
      </w:r>
    </w:p>
    <w:p>
      <w:pPr>
        <w:spacing w:before="280" w:after="160" w:lineRule="auto" w:line="276"/>
        <w:jc w:val="left"/>
      </w:pPr>
      <w:r>
        <w:rPr>
          <w:rFonts w:ascii="Times New Roman" w:hAnsi="Times New Roman" w:cs="Times New Roman" w:eastAsia="Times New Roman"/>
          <w:b/>
          <w:i w:val="0"/>
          <w:color w:val="8B0000"/>
          <w:sz w:val="28"/>
        </w:rPr>
        <w:t>1.13  Hypotheses of the Study</w:t>
      </w:r>
    </w:p>
    <w:p>
      <w:pPr>
        <w:spacing w:before="0" w:after="120" w:lineRule="auto" w:line="360"/>
        <w:jc w:val="both"/>
      </w:pPr>
      <w:r>
        <w:rPr>
          <w:rFonts w:ascii="Times New Roman" w:hAnsi="Times New Roman" w:cs="Times New Roman" w:eastAsia="Times New Roman"/>
          <w:b w:val="0"/>
          <w:i w:val="0"/>
          <w:sz w:val="24"/>
        </w:rPr>
        <w:t>The following seven null hypotheses were formulated and tested at the 0.05 level of significance (two-tailed t-test):</w:t>
      </w:r>
    </w:p>
    <w:p>
      <w:pPr>
        <w:spacing w:before="0" w:after="80" w:lineRule="auto" w:line="360"/>
        <w:jc w:val="both"/>
      </w:pPr>
      <w:r>
        <w:rPr>
          <w:rFonts w:ascii="Times New Roman" w:hAnsi="Times New Roman" w:cs="Times New Roman" w:eastAsia="Times New Roman"/>
          <w:b w:val="0"/>
          <w:i/>
          <w:sz w:val="24"/>
        </w:rPr>
        <w:t>H₀₁: There is no significant difference in the mean technical vocational interest scores of boys and girls at the secondary level.</w:t>
      </w:r>
    </w:p>
    <w:p>
      <w:pPr>
        <w:spacing w:before="0" w:after="80" w:lineRule="auto" w:line="360"/>
        <w:jc w:val="both"/>
      </w:pPr>
      <w:r>
        <w:rPr>
          <w:rFonts w:ascii="Times New Roman" w:hAnsi="Times New Roman" w:cs="Times New Roman" w:eastAsia="Times New Roman"/>
          <w:b w:val="0"/>
          <w:i/>
          <w:sz w:val="24"/>
        </w:rPr>
        <w:t>H₀₂: There is no significant difference in the mean scientific vocational interest scores of boys and girls at the secondary level.</w:t>
      </w:r>
    </w:p>
    <w:p>
      <w:pPr>
        <w:spacing w:before="0" w:after="80" w:lineRule="auto" w:line="360"/>
        <w:jc w:val="both"/>
      </w:pPr>
      <w:r>
        <w:rPr>
          <w:rFonts w:ascii="Times New Roman" w:hAnsi="Times New Roman" w:cs="Times New Roman" w:eastAsia="Times New Roman"/>
          <w:b w:val="0"/>
          <w:i/>
          <w:sz w:val="24"/>
        </w:rPr>
        <w:t>H₀₃: There is no significant difference in the mean social vocational interest scores of boys and girls at the secondary level.</w:t>
      </w:r>
    </w:p>
    <w:p>
      <w:pPr>
        <w:spacing w:before="0" w:after="80" w:lineRule="auto" w:line="360"/>
        <w:jc w:val="both"/>
      </w:pPr>
      <w:r>
        <w:rPr>
          <w:rFonts w:ascii="Times New Roman" w:hAnsi="Times New Roman" w:cs="Times New Roman" w:eastAsia="Times New Roman"/>
          <w:b w:val="0"/>
          <w:i/>
          <w:sz w:val="24"/>
        </w:rPr>
        <w:t>H₀₄: There is no significant difference in the mean artistic vocational interest scores of boys and girls at the secondary level.</w:t>
      </w:r>
    </w:p>
    <w:p>
      <w:pPr>
        <w:spacing w:before="0" w:after="80" w:lineRule="auto" w:line="360"/>
        <w:jc w:val="both"/>
      </w:pPr>
      <w:r>
        <w:rPr>
          <w:rFonts w:ascii="Times New Roman" w:hAnsi="Times New Roman" w:cs="Times New Roman" w:eastAsia="Times New Roman"/>
          <w:b w:val="0"/>
          <w:i/>
          <w:sz w:val="24"/>
        </w:rPr>
        <w:t>H₀₅: There is no significant difference in the mean agricultural vocational interest scores of rural and urban students at the secondary level.</w:t>
      </w:r>
    </w:p>
    <w:p>
      <w:pPr>
        <w:spacing w:before="0" w:after="80" w:lineRule="auto" w:line="360"/>
        <w:jc w:val="both"/>
      </w:pPr>
      <w:r>
        <w:rPr>
          <w:rFonts w:ascii="Times New Roman" w:hAnsi="Times New Roman" w:cs="Times New Roman" w:eastAsia="Times New Roman"/>
          <w:b w:val="0"/>
          <w:i/>
          <w:sz w:val="24"/>
        </w:rPr>
        <w:t>H₀₆: There is no significant difference in the overall mean vocational interest scores of boys and girls at the secondary level.</w:t>
      </w:r>
    </w:p>
    <w:p>
      <w:pPr>
        <w:spacing w:before="0" w:after="80" w:lineRule="auto" w:line="360"/>
        <w:jc w:val="both"/>
      </w:pPr>
      <w:r>
        <w:rPr>
          <w:rFonts w:ascii="Times New Roman" w:hAnsi="Times New Roman" w:cs="Times New Roman" w:eastAsia="Times New Roman"/>
          <w:b w:val="0"/>
          <w:i/>
          <w:sz w:val="24"/>
        </w:rPr>
        <w:t>H₀₇: There is no significant difference in the overall mean vocational interest scores of rural and urban students at the secondary level.</w:t>
      </w:r>
    </w:p>
    <w:p>
      <w:pPr>
        <w:spacing w:before="280" w:after="160" w:lineRule="auto" w:line="276"/>
        <w:jc w:val="left"/>
      </w:pPr>
      <w:r>
        <w:rPr>
          <w:rFonts w:ascii="Times New Roman" w:hAnsi="Times New Roman" w:cs="Times New Roman" w:eastAsia="Times New Roman"/>
          <w:b/>
          <w:i w:val="0"/>
          <w:color w:val="8B0000"/>
          <w:sz w:val="28"/>
        </w:rPr>
        <w:t>1.14  Delimitations of the Study</w:t>
      </w:r>
    </w:p>
    <w:p>
      <w:pPr>
        <w:pStyle w:val="ListBullet"/>
        <w:spacing w:after="80"/>
      </w:pPr>
      <w:r>
        <w:rPr>
          <w:rFonts w:ascii="Times New Roman" w:hAnsi="Times New Roman" w:cs="Times New Roman" w:eastAsia="Times New Roman"/>
          <w:b w:val="0"/>
          <w:i w:val="0"/>
          <w:sz w:val="24"/>
        </w:rPr>
        <w:t>The study is geographically confined to the Kila Parikshit Garh area of Meerut district, Uttar Pradesh.</w:t>
      </w:r>
    </w:p>
    <w:p>
      <w:pPr>
        <w:pStyle w:val="ListBullet"/>
        <w:spacing w:after="80"/>
      </w:pPr>
      <w:r>
        <w:rPr>
          <w:rFonts w:ascii="Times New Roman" w:hAnsi="Times New Roman" w:cs="Times New Roman" w:eastAsia="Times New Roman"/>
          <w:b w:val="0"/>
          <w:i w:val="0"/>
          <w:sz w:val="24"/>
        </w:rPr>
        <w:t>The sample is limited to 60 students drawn from only two schools.</w:t>
      </w:r>
    </w:p>
    <w:p>
      <w:pPr>
        <w:pStyle w:val="ListBullet"/>
        <w:spacing w:after="80"/>
      </w:pPr>
      <w:r>
        <w:rPr>
          <w:rFonts w:ascii="Times New Roman" w:hAnsi="Times New Roman" w:cs="Times New Roman" w:eastAsia="Times New Roman"/>
          <w:b w:val="0"/>
          <w:i w:val="0"/>
          <w:sz w:val="24"/>
        </w:rPr>
        <w:t>The study covers Classes IX and X only.</w:t>
      </w:r>
    </w:p>
    <w:p>
      <w:pPr>
        <w:pStyle w:val="ListBullet"/>
        <w:spacing w:after="80"/>
      </w:pPr>
      <w:r>
        <w:rPr>
          <w:rFonts w:ascii="Times New Roman" w:hAnsi="Times New Roman" w:cs="Times New Roman" w:eastAsia="Times New Roman"/>
          <w:b w:val="0"/>
          <w:i w:val="0"/>
          <w:sz w:val="24"/>
        </w:rPr>
        <w:t>Only one measurement tool — the S.P. Kulshrestha Vocational Interest Record — has been used.</w:t>
      </w:r>
    </w:p>
    <w:p>
      <w:pPr>
        <w:pStyle w:val="ListBullet"/>
        <w:spacing w:after="80"/>
      </w:pPr>
      <w:r>
        <w:rPr>
          <w:rFonts w:ascii="Times New Roman" w:hAnsi="Times New Roman" w:cs="Times New Roman" w:eastAsia="Times New Roman"/>
          <w:b w:val="0"/>
          <w:i w:val="0"/>
          <w:sz w:val="24"/>
        </w:rPr>
        <w:t>Data collection was limited to September 2025.</w:t>
      </w:r>
    </w:p>
    <w:p>
      <w:pPr>
        <w:pStyle w:val="ListBullet"/>
        <w:spacing w:after="80"/>
      </w:pPr>
      <w:r>
        <w:rPr>
          <w:rFonts w:ascii="Times New Roman" w:hAnsi="Times New Roman" w:cs="Times New Roman" w:eastAsia="Times New Roman"/>
          <w:b w:val="0"/>
          <w:i w:val="0"/>
          <w:sz w:val="24"/>
        </w:rPr>
        <w:t>Socioeconomic status, parental education, and media exposure were not controlled as variables.</w:t>
      </w:r>
    </w:p>
    <w:p>
      <w:pPr>
        <w:spacing w:before="280" w:after="160" w:lineRule="auto" w:line="276"/>
        <w:jc w:val="left"/>
      </w:pPr>
      <w:r>
        <w:rPr>
          <w:rFonts w:ascii="Times New Roman" w:hAnsi="Times New Roman" w:cs="Times New Roman" w:eastAsia="Times New Roman"/>
          <w:b/>
          <w:i w:val="0"/>
          <w:color w:val="8B0000"/>
          <w:sz w:val="28"/>
        </w:rPr>
        <w:t>1.15  Assumptions of the Study</w:t>
      </w:r>
    </w:p>
    <w:p>
      <w:pPr>
        <w:pStyle w:val="ListBullet"/>
        <w:spacing w:after="80"/>
      </w:pPr>
      <w:r>
        <w:rPr>
          <w:rFonts w:ascii="Times New Roman" w:hAnsi="Times New Roman" w:cs="Times New Roman" w:eastAsia="Times New Roman"/>
          <w:b w:val="0"/>
          <w:i w:val="0"/>
          <w:sz w:val="24"/>
        </w:rPr>
        <w:t>All participants responded to the KVIR honestly and without social desirability bias.</w:t>
      </w:r>
    </w:p>
    <w:p>
      <w:pPr>
        <w:pStyle w:val="ListBullet"/>
        <w:spacing w:after="80"/>
      </w:pPr>
      <w:r>
        <w:rPr>
          <w:rFonts w:ascii="Times New Roman" w:hAnsi="Times New Roman" w:cs="Times New Roman" w:eastAsia="Times New Roman"/>
          <w:b w:val="0"/>
          <w:i w:val="0"/>
          <w:sz w:val="24"/>
        </w:rPr>
        <w:t>The KVIR is a valid and reliable instrument for measuring vocational interests in the study population.</w:t>
      </w:r>
    </w:p>
    <w:p>
      <w:pPr>
        <w:pStyle w:val="ListBullet"/>
        <w:spacing w:after="80"/>
      </w:pPr>
      <w:r>
        <w:rPr>
          <w:rFonts w:ascii="Times New Roman" w:hAnsi="Times New Roman" w:cs="Times New Roman" w:eastAsia="Times New Roman"/>
          <w:b w:val="0"/>
          <w:i w:val="0"/>
          <w:sz w:val="24"/>
        </w:rPr>
        <w:t>The selected schools and classes are broadly representative of rural government and urban private secondary schools in Meerut district.</w:t>
      </w:r>
    </w:p>
    <w:p>
      <w:pPr>
        <w:pStyle w:val="ListBullet"/>
        <w:spacing w:after="80"/>
      </w:pPr>
      <w:r>
        <w:rPr>
          <w:rFonts w:ascii="Times New Roman" w:hAnsi="Times New Roman" w:cs="Times New Roman" w:eastAsia="Times New Roman"/>
          <w:b w:val="0"/>
          <w:i w:val="0"/>
          <w:sz w:val="24"/>
        </w:rPr>
        <w:t>The researcher’s presence during administration did not significantly influence students’ responses.</w:t>
      </w:r>
    </w:p>
    <w:p>
      <w:pPr>
        <w:spacing w:before="280" w:after="160" w:lineRule="auto" w:line="276"/>
        <w:jc w:val="left"/>
      </w:pPr>
      <w:r>
        <w:rPr>
          <w:rFonts w:ascii="Times New Roman" w:hAnsi="Times New Roman" w:cs="Times New Roman" w:eastAsia="Times New Roman"/>
          <w:b/>
          <w:i w:val="0"/>
          <w:color w:val="8B0000"/>
          <w:sz w:val="28"/>
        </w:rPr>
        <w:t>1.16  Operational Definitions</w:t>
      </w:r>
    </w:p>
    <w:p>
      <w:pPr>
        <w:spacing w:before="0" w:after="100" w:lineRule="auto" w:line="360"/>
        <w:jc w:val="both"/>
      </w:pPr>
      <w:r>
        <w:rPr>
          <w:rFonts w:ascii="Times New Roman" w:hAnsi="Times New Roman" w:cs="Times New Roman" w:eastAsia="Times New Roman"/>
          <w:b/>
          <w:i w:val="0"/>
          <w:sz w:val="24"/>
        </w:rPr>
        <w:t>Vocational Interest:</w:t>
      </w:r>
      <w:r>
        <w:rPr>
          <w:rFonts w:ascii="Times New Roman" w:hAnsi="Times New Roman" w:cs="Times New Roman" w:eastAsia="Times New Roman"/>
          <w:b w:val="0"/>
          <w:i w:val="0"/>
          <w:sz w:val="24"/>
        </w:rPr>
        <w:t xml:space="preserve"> The score obtained by a student on each of the nine sub-scales of the S.P. Kulshrestha Vocational Interest Record (KVIR). Higher scores indicate stronger interest in that area.</w:t>
      </w:r>
    </w:p>
    <w:p>
      <w:pPr>
        <w:spacing w:before="0" w:after="100" w:lineRule="auto" w:line="360"/>
        <w:jc w:val="both"/>
      </w:pPr>
      <w:r>
        <w:rPr>
          <w:rFonts w:ascii="Times New Roman" w:hAnsi="Times New Roman" w:cs="Times New Roman" w:eastAsia="Times New Roman"/>
          <w:b/>
          <w:i w:val="0"/>
          <w:sz w:val="24"/>
        </w:rPr>
        <w:t>Secondary Level Students:</w:t>
      </w:r>
      <w:r>
        <w:rPr>
          <w:rFonts w:ascii="Times New Roman" w:hAnsi="Times New Roman" w:cs="Times New Roman" w:eastAsia="Times New Roman"/>
          <w:b w:val="0"/>
          <w:i w:val="0"/>
          <w:sz w:val="24"/>
        </w:rPr>
        <w:t xml:space="preserve"> Students enrolled in Classes IX and X, aged approximately 13–17 years, in government or private schools affiliated to U.P. Board or CBSE.</w:t>
      </w:r>
    </w:p>
    <w:p>
      <w:pPr>
        <w:spacing w:before="0" w:after="100" w:lineRule="auto" w:line="360"/>
        <w:jc w:val="both"/>
      </w:pPr>
      <w:r>
        <w:rPr>
          <w:rFonts w:ascii="Times New Roman" w:hAnsi="Times New Roman" w:cs="Times New Roman" w:eastAsia="Times New Roman"/>
          <w:b/>
          <w:i w:val="0"/>
          <w:sz w:val="24"/>
        </w:rPr>
        <w:t>Rural School:</w:t>
      </w:r>
      <w:r>
        <w:rPr>
          <w:rFonts w:ascii="Times New Roman" w:hAnsi="Times New Roman" w:cs="Times New Roman" w:eastAsia="Times New Roman"/>
          <w:b w:val="0"/>
          <w:i w:val="0"/>
          <w:sz w:val="24"/>
        </w:rPr>
        <w:t xml:space="preserve"> Shri Sanskrit Inter College, Meerut — a government-aided school affiliated to U.P. Board, located in a rural/semi-urban setting.</w:t>
      </w:r>
    </w:p>
    <w:p>
      <w:pPr>
        <w:spacing w:before="0" w:after="100" w:lineRule="auto" w:line="360"/>
        <w:jc w:val="both"/>
      </w:pPr>
      <w:r>
        <w:rPr>
          <w:rFonts w:ascii="Times New Roman" w:hAnsi="Times New Roman" w:cs="Times New Roman" w:eastAsia="Times New Roman"/>
          <w:b/>
          <w:i w:val="0"/>
          <w:sz w:val="24"/>
        </w:rPr>
        <w:t>Urban School:</w:t>
      </w:r>
      <w:r>
        <w:rPr>
          <w:rFonts w:ascii="Times New Roman" w:hAnsi="Times New Roman" w:cs="Times New Roman" w:eastAsia="Times New Roman"/>
          <w:b w:val="0"/>
          <w:i w:val="0"/>
          <w:sz w:val="24"/>
        </w:rPr>
        <w:t xml:space="preserve"> KP International School, Kila Parikshit Garh — a privately managed, CBSE-affiliated school located in an urban setting.</w:t>
      </w:r>
    </w:p>
    <w:p>
      <w:pPr>
        <w:spacing w:before="0" w:after="100" w:lineRule="auto" w:line="360"/>
        <w:jc w:val="both"/>
      </w:pPr>
      <w:r>
        <w:rPr>
          <w:rFonts w:ascii="Times New Roman" w:hAnsi="Times New Roman" w:cs="Times New Roman" w:eastAsia="Times New Roman"/>
          <w:b/>
          <w:i w:val="0"/>
          <w:sz w:val="24"/>
        </w:rPr>
        <w:t>Boys and Girls:</w:t>
      </w:r>
      <w:r>
        <w:rPr>
          <w:rFonts w:ascii="Times New Roman" w:hAnsi="Times New Roman" w:cs="Times New Roman" w:eastAsia="Times New Roman"/>
          <w:b w:val="0"/>
          <w:i w:val="0"/>
          <w:sz w:val="24"/>
        </w:rPr>
        <w:t xml:space="preserve"> Male and female students respectively, as registered in the school records.</w:t>
      </w:r>
    </w:p>
    <w:p>
      <w:pPr>
        <w:spacing w:before="280" w:after="160" w:lineRule="auto" w:line="276"/>
        <w:jc w:val="left"/>
      </w:pPr>
      <w:r>
        <w:rPr>
          <w:rFonts w:ascii="Times New Roman" w:hAnsi="Times New Roman" w:cs="Times New Roman" w:eastAsia="Times New Roman"/>
          <w:b/>
          <w:i w:val="0"/>
          <w:color w:val="8B0000"/>
          <w:sz w:val="28"/>
        </w:rPr>
        <w:t>1.17  Organisation of the Study</w:t>
      </w:r>
    </w:p>
    <w:p>
      <w:pPr>
        <w:spacing w:before="0" w:after="120" w:lineRule="auto" w:line="360"/>
        <w:jc w:val="both"/>
      </w:pPr>
      <w:r>
        <w:rPr>
          <w:rFonts w:ascii="Times New Roman" w:hAnsi="Times New Roman" w:cs="Times New Roman" w:eastAsia="Times New Roman"/>
          <w:b w:val="0"/>
          <w:i w:val="0"/>
          <w:sz w:val="24"/>
        </w:rPr>
        <w:t>The dissertation is organised into five chapters. Chapter 1 (Introduction) provides the conceptual and contextual background of the study. Chapter 2 (Review of Related Literature) reviews fifteen relevant studies. Chapter 3 (Research Methodology) describes the research design, sample, tool, and data collection procedure. Chapter 4 (Data Analysis and Interpretation) presents the statistical findings with tables and charts. Chapter 5 (Summary, Findings, Conclusions and Suggestions) synthesises the study’s outcomes and offers practical recommendations. The dissertation concludes with a Bibliography and Appendices.</w:t>
      </w:r>
    </w:p>
    <w:p>
      <w:r>
        <w:br w:type="page"/>
      </w:r>
    </w:p>
    <w:p>
      <w:pPr>
        <w:spacing w:before="400" w:after="160" w:lineRule="auto" w:line="276"/>
        <w:jc w:val="center"/>
      </w:pPr>
      <w:r>
        <w:rPr>
          <w:rFonts w:ascii="Times New Roman" w:hAnsi="Times New Roman" w:cs="Times New Roman" w:eastAsia="Times New Roman"/>
          <w:b/>
          <w:i w:val="0"/>
          <w:color w:val="1A356E"/>
          <w:sz w:val="32"/>
        </w:rPr>
        <w:t>CHAPTER 2</w:t>
      </w:r>
    </w:p>
    <w:p>
      <w:pPr>
        <w:spacing w:before="400" w:after="160" w:lineRule="auto" w:line="276"/>
        <w:jc w:val="center"/>
      </w:pPr>
      <w:r>
        <w:rPr>
          <w:rFonts w:ascii="Times New Roman" w:hAnsi="Times New Roman" w:cs="Times New Roman" w:eastAsia="Times New Roman"/>
          <w:b/>
          <w:i w:val="0"/>
          <w:color w:val="1A356E"/>
          <w:sz w:val="32"/>
        </w:rPr>
        <w:t>REVIEW OF RELATED LITERATURE</w:t>
      </w:r>
    </w:p>
    <w:p>
      <w:pPr>
        <w:spacing w:before="280" w:after="160" w:lineRule="auto" w:line="276"/>
        <w:jc w:val="left"/>
      </w:pPr>
      <w:r>
        <w:rPr>
          <w:rFonts w:ascii="Times New Roman" w:hAnsi="Times New Roman" w:cs="Times New Roman" w:eastAsia="Times New Roman"/>
          <w:b/>
          <w:i w:val="0"/>
          <w:color w:val="8B0000"/>
          <w:sz w:val="28"/>
        </w:rPr>
        <w:t>2.1  Introduction</w:t>
      </w:r>
    </w:p>
    <w:p>
      <w:pPr>
        <w:spacing w:before="0" w:after="120" w:lineRule="auto" w:line="360"/>
        <w:jc w:val="both"/>
      </w:pPr>
      <w:r>
        <w:rPr>
          <w:rFonts w:ascii="Times New Roman" w:hAnsi="Times New Roman" w:cs="Times New Roman" w:eastAsia="Times New Roman"/>
          <w:b w:val="0"/>
          <w:i w:val="0"/>
          <w:sz w:val="24"/>
        </w:rPr>
        <w:t>A thorough and systematic review of related literature is an indispensable component of any scholarly research. It situates the current study within the broader landscape of existing knowledge, helps identify methodological approaches that have proven effective, and reveals the gaps in existing knowledge that the present study seeks to address. As Best and Kahn (2010) noted, “A review of related literature enables the researcher to define the frontiers of his field and thereby contribute to its development.”</w:t>
      </w:r>
    </w:p>
    <w:p>
      <w:pPr>
        <w:spacing w:before="0" w:after="120" w:lineRule="auto" w:line="360"/>
        <w:jc w:val="both"/>
      </w:pPr>
      <w:r>
        <w:rPr>
          <w:rFonts w:ascii="Times New Roman" w:hAnsi="Times New Roman" w:cs="Times New Roman" w:eastAsia="Times New Roman"/>
          <w:b w:val="0"/>
          <w:i w:val="0"/>
          <w:sz w:val="24"/>
        </w:rPr>
        <w:t>The present chapter reviews fifteen studies — ten from the Indian context and five from foreign countries — that are directly or indirectly relevant to the themes of vocational interests, gender differences in career aspirations, and rural-urban comparisons in educational settings. Each study is reviewed with reference to its author(s), year, objectives, methodology, sample, and findings.</w:t>
      </w:r>
    </w:p>
    <w:p>
      <w:pPr>
        <w:spacing w:before="280" w:after="160" w:lineRule="auto" w:line="276"/>
        <w:jc w:val="left"/>
      </w:pPr>
      <w:r>
        <w:rPr>
          <w:rFonts w:ascii="Times New Roman" w:hAnsi="Times New Roman" w:cs="Times New Roman" w:eastAsia="Times New Roman"/>
          <w:b/>
          <w:i w:val="0"/>
          <w:color w:val="8B0000"/>
          <w:sz w:val="28"/>
        </w:rPr>
        <w:t>2.2  Indian Studies</w:t>
      </w:r>
    </w:p>
    <w:p>
      <w:pPr>
        <w:spacing w:before="200" w:after="160" w:lineRule="auto" w:line="276"/>
        <w:jc w:val="left"/>
      </w:pPr>
      <w:r>
        <w:rPr>
          <w:rFonts w:ascii="Times New Roman" w:hAnsi="Times New Roman" w:cs="Times New Roman" w:eastAsia="Times New Roman"/>
          <w:b/>
          <w:i w:val="0"/>
          <w:sz w:val="26"/>
        </w:rPr>
        <w:t>Study 1: Thakur and Saini (1980) – Himachal Pradesh</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compare vocational interest patterns of male and female students at the secondary level and examine the influence of school location.</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Descriptive Survey using KVIR.</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400 secondary school students (200 boys, 200 girls) from Shimla and Kangra districts.</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Boys consistently showed higher technical and agricultural interests; girls showed significantly higher social, household, and artistic interests. Urban students showed broader interest profiles. Differences attributed to differential socialisation. The difference in technical interest was significant at the 0.01 level.</w:t>
      </w:r>
    </w:p>
    <w:p>
      <w:pPr>
        <w:spacing w:before="200" w:after="160" w:lineRule="auto" w:line="276"/>
        <w:jc w:val="left"/>
      </w:pPr>
      <w:r>
        <w:rPr>
          <w:rFonts w:ascii="Times New Roman" w:hAnsi="Times New Roman" w:cs="Times New Roman" w:eastAsia="Times New Roman"/>
          <w:b/>
          <w:i w:val="0"/>
          <w:sz w:val="26"/>
        </w:rPr>
        <w:t>Study 2: Bhatnagar (1993) – Rajasthan</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assess gender differences in vocational interests among adolescents.</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Descriptive Survey using KVIR.</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320 students (160 boys, 160 girls) from Class IX–X in Jaipur and rural Rajasthan.</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Boys dominant in technical, scientific, and executive areas. Girls dominant in social, household, and artistic areas. Gender differences more pronounced in Rajasthan due to stronger patriarchal norms. Literary and commercial interests showed only marginal gender differences.</w:t>
      </w:r>
    </w:p>
    <w:p>
      <w:pPr>
        <w:spacing w:before="200" w:after="160" w:lineRule="auto" w:line="276"/>
        <w:jc w:val="left"/>
      </w:pPr>
      <w:r>
        <w:rPr>
          <w:rFonts w:ascii="Times New Roman" w:hAnsi="Times New Roman" w:cs="Times New Roman" w:eastAsia="Times New Roman"/>
          <w:b/>
          <w:i w:val="0"/>
          <w:sz w:val="26"/>
        </w:rPr>
        <w:t>Study 3: Sharma and Mishra (2001) – Uttar Pradesh</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examine the relationship between vocational interests and academic achievement, and compare interests across gender and school type.</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Correlational and comparative design using KVIR and school records.</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280 students from Lucknow and Faizabad districts of Uttar Pradesh.</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Positive and significant correlation between interest-stream alignment and academic performance. Boys dominated scientific and technical interests; girls dominated social and household areas. Urban students showed higher scientific and commercial interests.</w:t>
      </w:r>
    </w:p>
    <w:p>
      <w:pPr>
        <w:spacing w:before="200" w:after="160" w:lineRule="auto" w:line="276"/>
        <w:jc w:val="left"/>
      </w:pPr>
      <w:r>
        <w:rPr>
          <w:rFonts w:ascii="Times New Roman" w:hAnsi="Times New Roman" w:cs="Times New Roman" w:eastAsia="Times New Roman"/>
          <w:b/>
          <w:i w:val="0"/>
          <w:sz w:val="26"/>
        </w:rPr>
        <w:t>Study 4: Verma and Gupta (2004) – Madhya Pradesh</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compare vocational interests of rural and urban adolescents.</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Descriptive Survey; KVIR and a socioeconomic status scale.</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360 students (180 rural, 180 urban) from secondary schools in Madhya Pradesh.</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Urban adolescents showed significantly higher scientific, commercial, and executive interests. Rural adolescents showed significantly higher agricultural interest. Socioeconomic status partially mediated location effects.</w:t>
      </w:r>
    </w:p>
    <w:p>
      <w:pPr>
        <w:spacing w:before="200" w:after="160" w:lineRule="auto" w:line="276"/>
        <w:jc w:val="left"/>
      </w:pPr>
      <w:r>
        <w:rPr>
          <w:rFonts w:ascii="Times New Roman" w:hAnsi="Times New Roman" w:cs="Times New Roman" w:eastAsia="Times New Roman"/>
          <w:b/>
          <w:i w:val="0"/>
          <w:sz w:val="26"/>
        </w:rPr>
        <w:t>Study 5: Srivastava (2007) – Varanasi, U.P.</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study the influence of parental occupation on vocational interest patterns.</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Survey method; structured interview alongside KVIR.</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200 secondary school students from Varanasi.</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Strong positive correlation between parental occupation and agricultural/ technical interest in male students. Family occupational background acts as a primary socialising agent, particularly in rural areas. Formal schooling progressively diversifies students’ interest profiles.</w:t>
      </w:r>
    </w:p>
    <w:p>
      <w:pPr>
        <w:spacing w:before="200" w:after="160" w:lineRule="auto" w:line="276"/>
        <w:jc w:val="left"/>
      </w:pPr>
      <w:r>
        <w:rPr>
          <w:rFonts w:ascii="Times New Roman" w:hAnsi="Times New Roman" w:cs="Times New Roman" w:eastAsia="Times New Roman"/>
          <w:b/>
          <w:i w:val="0"/>
          <w:sz w:val="26"/>
        </w:rPr>
        <w:t>Study 6: Kaur and Singh (2009) – Punjab</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assess vocational interests and career maturity among senior secondary students.</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Descriptive Survey; KVIR and Career Maturity Inventory (CMI).</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350 students from government and private schools in Amritsar and Ludhiana.</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Boys higher in technical and executive areas; girls higher in social and household areas. Girls showed significantly higher career maturity than boys. Private school students showed more diverse profiles than government school students.</w:t>
      </w:r>
    </w:p>
    <w:p>
      <w:pPr>
        <w:spacing w:before="200" w:after="160" w:lineRule="auto" w:line="276"/>
        <w:jc w:val="left"/>
      </w:pPr>
      <w:r>
        <w:rPr>
          <w:rFonts w:ascii="Times New Roman" w:hAnsi="Times New Roman" w:cs="Times New Roman" w:eastAsia="Times New Roman"/>
          <w:b/>
          <w:i w:val="0"/>
          <w:sz w:val="26"/>
        </w:rPr>
        <w:t>Study 7: Yadav and Sharma (2012) – Rajasthan</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study vocational interests in relation to gender and locality.</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Survey method with t-test and ANOVA; KVIR.</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400 students (200 boys, 200 girls; 200 rural, 200 urban) from Rajasthan.</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Significant gender differences in technical (boys higher), social, artistic, household (girls higher). Significant location differences in agricultural (rural higher) and commercial (urban higher) interests. Interaction effect significant for household interest – rural girls scored highest of all groups.</w:t>
      </w:r>
    </w:p>
    <w:p>
      <w:pPr>
        <w:spacing w:before="200" w:after="160" w:lineRule="auto" w:line="276"/>
        <w:jc w:val="left"/>
      </w:pPr>
      <w:r>
        <w:rPr>
          <w:rFonts w:ascii="Times New Roman" w:hAnsi="Times New Roman" w:cs="Times New Roman" w:eastAsia="Times New Roman"/>
          <w:b/>
          <w:i w:val="0"/>
          <w:sz w:val="26"/>
        </w:rPr>
        <w:t>Study 8: Gupta and Choudhary (2016) – Jaipur</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compare vocational interest patterns of girls in government and private secondary schools.</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Survey method; KVIR.</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300 girls (150 from government schools, 150 from private schools).</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Government school girls showed higher household, social, and agricultural interests. Private school girls showed higher scientific, commercial, and executive interests. School environment significantly shapes girls’ vocational horizons.</w:t>
      </w:r>
    </w:p>
    <w:p>
      <w:pPr>
        <w:spacing w:before="200" w:after="160" w:lineRule="auto" w:line="276"/>
        <w:jc w:val="left"/>
      </w:pPr>
      <w:r>
        <w:rPr>
          <w:rFonts w:ascii="Times New Roman" w:hAnsi="Times New Roman" w:cs="Times New Roman" w:eastAsia="Times New Roman"/>
          <w:b/>
          <w:i w:val="0"/>
          <w:sz w:val="26"/>
        </w:rPr>
        <w:t>Study 9: Mishra and Tripathi (2018) – Allahabad, U.P.</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compare vocational interests and occupational aspirations of rural and urban secondary school students in U.P.</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Descriptive Survey; KVIR and structured interview.</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240 students (4 groups: 60 rural boys, 60 rural girls, 60 urban boys, 60 urban girls) from Allahabad.</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Rural boys highest in agricultural and technical interests; urban boys highest in scientific and executive. Rural girls highest in household and social; urban girls most diverse with higher scientific and commercial interests. Disconnect noted between rural girls’ aspirations and measured interest categories.</w:t>
      </w:r>
    </w:p>
    <w:p>
      <w:pPr>
        <w:spacing w:before="200" w:after="160" w:lineRule="auto" w:line="276"/>
        <w:jc w:val="left"/>
      </w:pPr>
      <w:r>
        <w:rPr>
          <w:rFonts w:ascii="Times New Roman" w:hAnsi="Times New Roman" w:cs="Times New Roman" w:eastAsia="Times New Roman"/>
          <w:b/>
          <w:i w:val="0"/>
          <w:sz w:val="26"/>
        </w:rPr>
        <w:t>Study 10: Pandey and Gautam (2021) – Western U.P.</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assess post-pandemic vocational interest shifts among secondary school students.</w:t>
      </w:r>
    </w:p>
    <w:p>
      <w:pPr>
        <w:spacing w:before="0" w:after="100" w:lineRule="auto" w:line="360"/>
        <w:jc w:val="both"/>
      </w:pPr>
      <w:r>
        <w:rPr>
          <w:rFonts w:ascii="Times New Roman" w:hAnsi="Times New Roman" w:cs="Times New Roman" w:eastAsia="Times New Roman"/>
          <w:b/>
          <w:i w:val="0"/>
          <w:sz w:val="24"/>
        </w:rPr>
        <w:t>Method:</w:t>
      </w:r>
      <w:r>
        <w:rPr>
          <w:rFonts w:ascii="Times New Roman" w:hAnsi="Times New Roman" w:cs="Times New Roman" w:eastAsia="Times New Roman"/>
          <w:b w:val="0"/>
          <w:i w:val="0"/>
          <w:sz w:val="24"/>
        </w:rPr>
        <w:t xml:space="preserve"> Survey method; KVIR and a digital exposure questionnaire.</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180 students from government and private schools in Meerut and Ghaziabad.</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Technical and commercial interests increased significantly post-pandemic due to digital exposure. Scientific interest rose sharply among private school girls. Agricultural interest declined in rural areas. The pandemic broadened the vocational imagination of secondary students in western U.P.</w:t>
      </w:r>
    </w:p>
    <w:p>
      <w:pPr>
        <w:spacing w:before="280" w:after="160" w:lineRule="auto" w:line="276"/>
        <w:jc w:val="left"/>
      </w:pPr>
      <w:r>
        <w:rPr>
          <w:rFonts w:ascii="Times New Roman" w:hAnsi="Times New Roman" w:cs="Times New Roman" w:eastAsia="Times New Roman"/>
          <w:b/>
          <w:i w:val="0"/>
          <w:color w:val="8B0000"/>
          <w:sz w:val="28"/>
        </w:rPr>
        <w:t>2.3  Foreign Studies</w:t>
      </w:r>
    </w:p>
    <w:p>
      <w:pPr>
        <w:spacing w:before="200" w:after="160" w:lineRule="auto" w:line="276"/>
        <w:jc w:val="left"/>
      </w:pPr>
      <w:r>
        <w:rPr>
          <w:rFonts w:ascii="Times New Roman" w:hAnsi="Times New Roman" w:cs="Times New Roman" w:eastAsia="Times New Roman"/>
          <w:b/>
          <w:i w:val="0"/>
          <w:sz w:val="26"/>
        </w:rPr>
        <w:t>Study 11: Holland (1966) – United States</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develop a comprehensive theory of vocational choice based on personality types and model environments.</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Over 12,000 US high school and college students across multiple samples.</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Validated the famous RIASEC typology. Males scored higher on Realistic (technical/physical) types; females scored higher on Social and Conventional types. Congruence between personality type and work environment is the key predictor of vocational satisfaction and stability.</w:t>
      </w:r>
    </w:p>
    <w:p>
      <w:pPr>
        <w:spacing w:before="200" w:after="160" w:lineRule="auto" w:line="276"/>
        <w:jc w:val="left"/>
      </w:pPr>
      <w:r>
        <w:rPr>
          <w:rFonts w:ascii="Times New Roman" w:hAnsi="Times New Roman" w:cs="Times New Roman" w:eastAsia="Times New Roman"/>
          <w:b/>
          <w:i w:val="0"/>
          <w:sz w:val="26"/>
        </w:rPr>
        <w:t>Study 12: Lippa (1998) – United States</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investigate the role of gender in determining vocational interests and to examine the People-Things dimension.</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640 undergraduate students (320 male, 320 female).</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Demonstrated that the ‘People-Things’ dimension is the single most powerful axis differentiating male and female vocational interests. Males prefer thing-oriented occupations; females prefer people-oriented occupations. This dimension accounted for the vast majority of gender differences in interest scores.</w:t>
      </w:r>
    </w:p>
    <w:p>
      <w:pPr>
        <w:spacing w:before="200" w:after="160" w:lineRule="auto" w:line="276"/>
        <w:jc w:val="left"/>
      </w:pPr>
      <w:r>
        <w:rPr>
          <w:rFonts w:ascii="Times New Roman" w:hAnsi="Times New Roman" w:cs="Times New Roman" w:eastAsia="Times New Roman"/>
          <w:b/>
          <w:i w:val="0"/>
          <w:sz w:val="26"/>
        </w:rPr>
        <w:t>Study 13: Su, Rounds and Armstrong (2009) – USA</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conduct a meta-analysis quantifying the magnitude and consistency of gender differences in vocational interests.</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Meta-analysis of 503 samples involving over 500,000 participants.</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Large and consistent gender differences confirmed. Effect size for Realistic (technical) domain: d = 0.84 (large). Differences largely consistent across cultural contexts. Gender differences in vocational interests are among the most robust and replicable findings in personality psychology.</w:t>
      </w:r>
    </w:p>
    <w:p>
      <w:pPr>
        <w:spacing w:before="200" w:after="160" w:lineRule="auto" w:line="276"/>
        <w:jc w:val="left"/>
      </w:pPr>
      <w:r>
        <w:rPr>
          <w:rFonts w:ascii="Times New Roman" w:hAnsi="Times New Roman" w:cs="Times New Roman" w:eastAsia="Times New Roman"/>
          <w:b/>
          <w:i w:val="0"/>
          <w:sz w:val="26"/>
        </w:rPr>
        <w:t>Study 14: Watson and McMahon (2005) – South Africa</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review research on career development in children and adolescents from a learning perspective.</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Systematic review of studies from South Africa, Australia, UK, and USA.</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Gender-stereotyped occupational aspirations emerge very early in childhood and become entrenched by adolescence. Exposure to diverse role models is one of the most effective interventions for broadening children’s vocational horizons.</w:t>
      </w:r>
    </w:p>
    <w:p>
      <w:pPr>
        <w:spacing w:before="200" w:after="160" w:lineRule="auto" w:line="276"/>
        <w:jc w:val="left"/>
      </w:pPr>
      <w:r>
        <w:rPr>
          <w:rFonts w:ascii="Times New Roman" w:hAnsi="Times New Roman" w:cs="Times New Roman" w:eastAsia="Times New Roman"/>
          <w:b/>
          <w:i w:val="0"/>
          <w:sz w:val="26"/>
        </w:rPr>
        <w:t>Study 15: Tracey and Robbins (2006) – United States</w:t>
      </w:r>
    </w:p>
    <w:p>
      <w:pPr>
        <w:spacing w:before="0" w:after="100" w:lineRule="auto" w:line="360"/>
        <w:jc w:val="both"/>
      </w:pPr>
      <w:r>
        <w:rPr>
          <w:rFonts w:ascii="Times New Roman" w:hAnsi="Times New Roman" w:cs="Times New Roman" w:eastAsia="Times New Roman"/>
          <w:b/>
          <w:i w:val="0"/>
          <w:sz w:val="24"/>
        </w:rPr>
        <w:t>Objectives:</w:t>
      </w:r>
      <w:r>
        <w:rPr>
          <w:rFonts w:ascii="Times New Roman" w:hAnsi="Times New Roman" w:cs="Times New Roman" w:eastAsia="Times New Roman"/>
          <w:b w:val="0"/>
          <w:i w:val="0"/>
          <w:sz w:val="24"/>
        </w:rPr>
        <w:t xml:space="preserve"> To examine whether interest-major congruence predicts college success.</w:t>
      </w:r>
    </w:p>
    <w:p>
      <w:pPr>
        <w:spacing w:before="0" w:after="100" w:lineRule="auto" w:line="360"/>
        <w:jc w:val="both"/>
      </w:pPr>
      <w:r>
        <w:rPr>
          <w:rFonts w:ascii="Times New Roman" w:hAnsi="Times New Roman" w:cs="Times New Roman" w:eastAsia="Times New Roman"/>
          <w:b/>
          <w:i w:val="0"/>
          <w:sz w:val="24"/>
        </w:rPr>
        <w:t>Sample:</w:t>
      </w:r>
      <w:r>
        <w:rPr>
          <w:rFonts w:ascii="Times New Roman" w:hAnsi="Times New Roman" w:cs="Times New Roman" w:eastAsia="Times New Roman"/>
          <w:b w:val="0"/>
          <w:i w:val="0"/>
          <w:sz w:val="24"/>
        </w:rPr>
        <w:t xml:space="preserve"> 1,183 students tracked over five years.</w:t>
      </w:r>
    </w:p>
    <w:p>
      <w:pPr>
        <w:spacing w:before="0" w:after="100" w:lineRule="auto" w:line="360"/>
        <w:jc w:val="both"/>
      </w:pPr>
      <w:r>
        <w:rPr>
          <w:rFonts w:ascii="Times New Roman" w:hAnsi="Times New Roman" w:cs="Times New Roman" w:eastAsia="Times New Roman"/>
          <w:b/>
          <w:i w:val="0"/>
          <w:sz w:val="24"/>
        </w:rPr>
        <w:t>Findings:</w:t>
      </w:r>
      <w:r>
        <w:rPr>
          <w:rFonts w:ascii="Times New Roman" w:hAnsi="Times New Roman" w:cs="Times New Roman" w:eastAsia="Times New Roman"/>
          <w:b w:val="0"/>
          <w:i w:val="0"/>
          <w:sz w:val="24"/>
        </w:rPr>
        <w:t xml:space="preserve"> Students with high congruence between interests and college major showed higher academic persistence, GPAs, and field satisfaction. Interest crystallisation during the secondary school years is a key developmental task that schools must actively facilitate.</w:t>
      </w:r>
    </w:p>
    <w:p>
      <w:pPr>
        <w:spacing w:before="280" w:after="160" w:lineRule="auto" w:line="276"/>
        <w:jc w:val="left"/>
      </w:pPr>
      <w:r>
        <w:rPr>
          <w:rFonts w:ascii="Times New Roman" w:hAnsi="Times New Roman" w:cs="Times New Roman" w:eastAsia="Times New Roman"/>
          <w:b/>
          <w:i w:val="0"/>
          <w:color w:val="8B0000"/>
          <w:sz w:val="28"/>
        </w:rPr>
        <w:t>2.4  Critical Review of Literature</w:t>
      </w:r>
    </w:p>
    <w:p>
      <w:pPr>
        <w:spacing w:before="0" w:after="120" w:lineRule="auto" w:line="360"/>
        <w:jc w:val="both"/>
      </w:pPr>
      <w:r>
        <w:rPr>
          <w:rFonts w:ascii="Times New Roman" w:hAnsi="Times New Roman" w:cs="Times New Roman" w:eastAsia="Times New Roman"/>
          <w:b w:val="0"/>
          <w:i w:val="0"/>
          <w:sz w:val="24"/>
        </w:rPr>
        <w:t>A careful examination of the fifteen studies reviewed above reveals several important patterns. First, the consistency of gender differences is remarkable: across all fifteen studies — Indian and foreign — males show higher technical and scientific interests, while females show higher social, artistic, and household interests. This pattern holds across different cultural contexts, measurement tools, sample sizes, and time periods spanning more than five decades.</w:t>
      </w:r>
    </w:p>
    <w:p>
      <w:pPr>
        <w:spacing w:before="0" w:after="120" w:lineRule="auto" w:line="360"/>
        <w:jc w:val="both"/>
      </w:pPr>
      <w:r>
        <w:rPr>
          <w:rFonts w:ascii="Times New Roman" w:hAnsi="Times New Roman" w:cs="Times New Roman" w:eastAsia="Times New Roman"/>
          <w:b w:val="0"/>
          <w:i w:val="0"/>
          <w:sz w:val="24"/>
        </w:rPr>
        <w:t>Second, rural-urban differences in vocational interests are consistent though somewhat more variable than gender effects. Rural students show higher agricultural and household interests, while urban students show higher scientific, commercial, and executive interests. Third, school type and school environment play a significant role in shaping vocational interests, particularly for girls (Gupta and Choudhary, 2016; Kaur and Singh, 2009). Private schools provide a more conducive environment for developing diverse and gender-atypical vocational interests.</w:t>
      </w:r>
    </w:p>
    <w:p>
      <w:pPr>
        <w:spacing w:before="0" w:after="120" w:lineRule="auto" w:line="360"/>
        <w:jc w:val="both"/>
      </w:pPr>
      <w:r>
        <w:rPr>
          <w:rFonts w:ascii="Times New Roman" w:hAnsi="Times New Roman" w:cs="Times New Roman" w:eastAsia="Times New Roman"/>
          <w:b w:val="0"/>
          <w:i w:val="0"/>
          <w:sz w:val="24"/>
        </w:rPr>
        <w:t>Several methodological limitations were observed in the reviewed studies: many Indian studies use small, non-representative samples; most are cross-sectional designs; few studies examine the interaction effects between gender and school type simultaneously; and most rely on a single measurement tool.</w:t>
      </w:r>
    </w:p>
    <w:p>
      <w:pPr>
        <w:spacing w:before="280" w:after="160" w:lineRule="auto" w:line="276"/>
        <w:jc w:val="left"/>
      </w:pPr>
      <w:r>
        <w:rPr>
          <w:rFonts w:ascii="Times New Roman" w:hAnsi="Times New Roman" w:cs="Times New Roman" w:eastAsia="Times New Roman"/>
          <w:b/>
          <w:i w:val="0"/>
          <w:color w:val="8B0000"/>
          <w:sz w:val="28"/>
        </w:rPr>
        <w:t>2.5  Research Gap</w:t>
      </w:r>
    </w:p>
    <w:p>
      <w:pPr>
        <w:spacing w:before="0" w:after="80" w:lineRule="auto" w:line="360"/>
        <w:jc w:val="both"/>
      </w:pPr>
      <w:r>
        <w:rPr>
          <w:rFonts w:ascii="Times New Roman" w:hAnsi="Times New Roman" w:cs="Times New Roman" w:eastAsia="Times New Roman"/>
          <w:b w:val="0"/>
          <w:i w:val="0"/>
          <w:sz w:val="24"/>
        </w:rPr>
        <w:t>1.  Geographical Gap: Very few studies have been conducted specifically in western Uttar Pradesh or the Meerut district. Existing UP literature is largely from Lucknow, Varanasi, and Allahabad.</w:t>
      </w:r>
    </w:p>
    <w:p>
      <w:pPr>
        <w:spacing w:before="0" w:after="80" w:lineRule="auto" w:line="360"/>
        <w:jc w:val="both"/>
      </w:pPr>
      <w:r>
        <w:rPr>
          <w:rFonts w:ascii="Times New Roman" w:hAnsi="Times New Roman" w:cs="Times New Roman" w:eastAsia="Times New Roman"/>
          <w:b w:val="0"/>
          <w:i w:val="0"/>
          <w:sz w:val="24"/>
        </w:rPr>
        <w:t>2.  Simultaneous 2×2 Analysis: While many studies examine gender OR rural-urban differences, very few conduct a simultaneous comparative analysis across all four groups (rural boys, rural girls, urban boys, urban girls) within a single study.</w:t>
      </w:r>
    </w:p>
    <w:p>
      <w:pPr>
        <w:spacing w:before="0" w:after="80" w:lineRule="auto" w:line="360"/>
        <w:jc w:val="both"/>
      </w:pPr>
      <w:r>
        <w:rPr>
          <w:rFonts w:ascii="Times New Roman" w:hAnsi="Times New Roman" w:cs="Times New Roman" w:eastAsia="Times New Roman"/>
          <w:b w:val="0"/>
          <w:i w:val="0"/>
          <w:sz w:val="24"/>
        </w:rPr>
        <w:t>3.  Post-NEP 2020 Context: Most Indian studies pre-date the National Education Policy 2020. Research contextualising findings within NEP 2020 is lacking.</w:t>
      </w:r>
    </w:p>
    <w:p>
      <w:pPr>
        <w:spacing w:before="0" w:after="80" w:lineRule="auto" w:line="360"/>
        <w:jc w:val="both"/>
      </w:pPr>
      <w:r>
        <w:rPr>
          <w:rFonts w:ascii="Times New Roman" w:hAnsi="Times New Roman" w:cs="Times New Roman" w:eastAsia="Times New Roman"/>
          <w:b w:val="0"/>
          <w:i w:val="0"/>
          <w:sz w:val="24"/>
        </w:rPr>
        <w:t>4.  CBSE vs. U.P. Board Comparison: No study specifically compares U.P. Board government school students with CBSE private school students — a real and important bifurcation in the Indian secondary education system.</w:t>
      </w:r>
    </w:p>
    <w:p>
      <w:pPr>
        <w:spacing w:before="0" w:after="80" w:lineRule="auto" w:line="360"/>
        <w:jc w:val="both"/>
      </w:pPr>
      <w:r>
        <w:rPr>
          <w:rFonts w:ascii="Times New Roman" w:hAnsi="Times New Roman" w:cs="Times New Roman" w:eastAsia="Times New Roman"/>
          <w:b w:val="0"/>
          <w:i w:val="0"/>
          <w:sz w:val="24"/>
        </w:rPr>
        <w:t>5.  Local Policy Relevance: Guidance counsellors, teachers, and policymakers in Meerut district need locally relevant data. The present study directly addresses this need.</w:t>
      </w:r>
    </w:p>
    <w:p>
      <w:pPr>
        <w:spacing w:before="280" w:after="160" w:lineRule="auto" w:line="276"/>
        <w:jc w:val="left"/>
      </w:pPr>
      <w:r>
        <w:rPr>
          <w:rFonts w:ascii="Times New Roman" w:hAnsi="Times New Roman" w:cs="Times New Roman" w:eastAsia="Times New Roman"/>
          <w:b/>
          <w:i w:val="0"/>
          <w:color w:val="8B0000"/>
          <w:sz w:val="28"/>
        </w:rPr>
        <w:t>2.6  Summary</w:t>
      </w:r>
    </w:p>
    <w:p>
      <w:pPr>
        <w:spacing w:before="0" w:after="120" w:lineRule="auto" w:line="360"/>
        <w:jc w:val="both"/>
      </w:pPr>
      <w:r>
        <w:rPr>
          <w:rFonts w:ascii="Times New Roman" w:hAnsi="Times New Roman" w:cs="Times New Roman" w:eastAsia="Times New Roman"/>
          <w:b w:val="0"/>
          <w:i w:val="0"/>
          <w:sz w:val="24"/>
        </w:rPr>
        <w:t>The present chapter reviewed fifteen studies on vocational interests, gender differences, and rural-urban comparisons. The review confirmed that gender and location-based differences in vocational interests are robust and consistent across Indian and international contexts. The critical analysis identified five specific research gaps — all of which are directly addressed by the present study. The next chapter describes the research methodology adopted to conduct this comparative investigation in the specific context of Meerut district, Uttar Pradesh.</w:t>
      </w:r>
    </w:p>
    <w:p>
      <w:r>
        <w:br w:type="page"/>
      </w:r>
    </w:p>
    <w:p>
      <w:pPr>
        <w:spacing w:before="400" w:after="160" w:lineRule="auto" w:line="276"/>
        <w:jc w:val="center"/>
      </w:pPr>
      <w:r>
        <w:rPr>
          <w:rFonts w:ascii="Times New Roman" w:hAnsi="Times New Roman" w:cs="Times New Roman" w:eastAsia="Times New Roman"/>
          <w:b/>
          <w:i w:val="0"/>
          <w:color w:val="1A356E"/>
          <w:sz w:val="32"/>
        </w:rPr>
        <w:t>CHAPTER 3</w:t>
      </w:r>
    </w:p>
    <w:p>
      <w:pPr>
        <w:spacing w:before="400" w:after="160" w:lineRule="auto" w:line="276"/>
        <w:jc w:val="center"/>
      </w:pPr>
      <w:r>
        <w:rPr>
          <w:rFonts w:ascii="Times New Roman" w:hAnsi="Times New Roman" w:cs="Times New Roman" w:eastAsia="Times New Roman"/>
          <w:b/>
          <w:i w:val="0"/>
          <w:color w:val="1A356E"/>
          <w:sz w:val="32"/>
        </w:rPr>
        <w:t>RESEARCH METHODOLOGY</w:t>
      </w:r>
    </w:p>
    <w:p>
      <w:pPr>
        <w:spacing w:before="280" w:after="160" w:lineRule="auto" w:line="276"/>
        <w:jc w:val="left"/>
      </w:pPr>
      <w:r>
        <w:rPr>
          <w:rFonts w:ascii="Times New Roman" w:hAnsi="Times New Roman" w:cs="Times New Roman" w:eastAsia="Times New Roman"/>
          <w:b/>
          <w:i w:val="0"/>
          <w:color w:val="8B0000"/>
          <w:sz w:val="28"/>
        </w:rPr>
        <w:t>3.1  Introduction</w:t>
      </w:r>
    </w:p>
    <w:p>
      <w:pPr>
        <w:spacing w:before="0" w:after="120" w:lineRule="auto" w:line="360"/>
        <w:jc w:val="both"/>
      </w:pPr>
      <w:r>
        <w:rPr>
          <w:rFonts w:ascii="Times New Roman" w:hAnsi="Times New Roman" w:cs="Times New Roman" w:eastAsia="Times New Roman"/>
          <w:b w:val="0"/>
          <w:i w:val="0"/>
          <w:sz w:val="24"/>
        </w:rPr>
        <w:t>Research methodology is the systematic framework that guides the entire process of scientific inquiry. As Kothari (2004) observed, “Research methodology is a way to systematically solve the research problem, and it may be understood as a science of studying how research is done scientifically.” A rigorous and transparent methodology is the backbone of credible research; it allows the reader to evaluate the validity and reliability of the findings and to potentially replicate the study in other contexts.</w:t>
      </w:r>
    </w:p>
    <w:p>
      <w:pPr>
        <w:spacing w:before="0" w:after="120" w:lineRule="auto" w:line="360"/>
        <w:jc w:val="both"/>
      </w:pPr>
      <w:r>
        <w:rPr>
          <w:rFonts w:ascii="Times New Roman" w:hAnsi="Times New Roman" w:cs="Times New Roman" w:eastAsia="Times New Roman"/>
          <w:b w:val="0"/>
          <w:i w:val="0"/>
          <w:sz w:val="24"/>
        </w:rPr>
        <w:t>This chapter provides a detailed account of the research method, variables, population, sample and sampling technique, the research tool used, its reliability and validity, the procedure of data collection, the statistical techniques employed, and the ethical principles observed throughout the research process.</w:t>
      </w:r>
    </w:p>
    <w:p>
      <w:pPr>
        <w:spacing w:before="280" w:after="160" w:lineRule="auto" w:line="276"/>
        <w:jc w:val="left"/>
      </w:pPr>
      <w:r>
        <w:rPr>
          <w:rFonts w:ascii="Times New Roman" w:hAnsi="Times New Roman" w:cs="Times New Roman" w:eastAsia="Times New Roman"/>
          <w:b/>
          <w:i w:val="0"/>
          <w:color w:val="8B0000"/>
          <w:sz w:val="28"/>
        </w:rPr>
        <w:t>3.2  Research Method</w:t>
      </w:r>
    </w:p>
    <w:p>
      <w:pPr>
        <w:spacing w:before="0" w:after="120" w:lineRule="auto" w:line="360"/>
        <w:jc w:val="both"/>
      </w:pPr>
      <w:r>
        <w:rPr>
          <w:rFonts w:ascii="Times New Roman" w:hAnsi="Times New Roman" w:cs="Times New Roman" w:eastAsia="Times New Roman"/>
          <w:b w:val="0"/>
          <w:i w:val="0"/>
          <w:sz w:val="24"/>
        </w:rPr>
        <w:t>The present study employs the Descriptive Survey Method with a Comparative Design. This method was chosen because: (a) it is the most appropriate approach for describing and comparing existing characteristics without manipulating variables; (b) it allows data collection from a moderately large sample using a standardised instrument in a practical timeframe; (c) it is the standard method in vocational interest research in India and internationally (Thakur and Saini, 1980; Verma and Gupta, 2004; Yadav and Sharma, 2012), ensuring comparability with existing literature.</w:t>
      </w:r>
    </w:p>
    <w:p>
      <w:pPr>
        <w:spacing w:before="0" w:after="120" w:lineRule="auto" w:line="360"/>
        <w:jc w:val="both"/>
      </w:pPr>
      <w:r>
        <w:rPr>
          <w:rFonts w:ascii="Times New Roman" w:hAnsi="Times New Roman" w:cs="Times New Roman" w:eastAsia="Times New Roman"/>
          <w:b w:val="0"/>
          <w:i w:val="0"/>
          <w:sz w:val="24"/>
        </w:rPr>
        <w:t>The specific design is a two-factor comparative survey, wherein the researcher systematically compares the vocational interest scores of different groups (boys vs. girls; rural vs. urban) using standardised statistical procedures.</w:t>
      </w:r>
    </w:p>
    <w:p>
      <w:pPr>
        <w:spacing w:before="280" w:after="160" w:lineRule="auto" w:line="276"/>
        <w:jc w:val="left"/>
      </w:pPr>
      <w:r>
        <w:rPr>
          <w:rFonts w:ascii="Times New Roman" w:hAnsi="Times New Roman" w:cs="Times New Roman" w:eastAsia="Times New Roman"/>
          <w:b/>
          <w:i w:val="0"/>
          <w:color w:val="8B0000"/>
          <w:sz w:val="28"/>
        </w:rPr>
        <w:t>3.3  Variables of the Study</w:t>
      </w:r>
    </w:p>
    <w:p>
      <w:pPr>
        <w:spacing w:before="0" w:after="100" w:lineRule="auto" w:line="360"/>
        <w:jc w:val="both"/>
      </w:pPr>
      <w:r>
        <w:rPr>
          <w:rFonts w:ascii="Times New Roman" w:hAnsi="Times New Roman" w:cs="Times New Roman" w:eastAsia="Times New Roman"/>
          <w:b/>
          <w:i w:val="0"/>
          <w:sz w:val="24"/>
        </w:rPr>
        <w:t xml:space="preserve">Independent Variables: </w:t>
      </w:r>
      <w:r>
        <w:rPr>
          <w:rFonts w:ascii="Times New Roman" w:hAnsi="Times New Roman" w:cs="Times New Roman" w:eastAsia="Times New Roman"/>
          <w:b w:val="0"/>
          <w:i w:val="0"/>
          <w:sz w:val="24"/>
        </w:rPr>
        <w:t>(1) Gender — Boys and Girls; (2) School Type/Locality — Rural Government and Urban Private.</w:t>
      </w:r>
    </w:p>
    <w:p>
      <w:pPr>
        <w:spacing w:before="0" w:after="100" w:lineRule="auto" w:line="360"/>
        <w:jc w:val="both"/>
      </w:pPr>
      <w:r>
        <w:rPr>
          <w:rFonts w:ascii="Times New Roman" w:hAnsi="Times New Roman" w:cs="Times New Roman" w:eastAsia="Times New Roman"/>
          <w:b/>
          <w:i w:val="0"/>
          <w:sz w:val="24"/>
        </w:rPr>
        <w:t xml:space="preserve">Dependent Variable: </w:t>
      </w:r>
      <w:r>
        <w:rPr>
          <w:rFonts w:ascii="Times New Roman" w:hAnsi="Times New Roman" w:cs="Times New Roman" w:eastAsia="Times New Roman"/>
          <w:b w:val="0"/>
          <w:i w:val="0"/>
          <w:sz w:val="24"/>
        </w:rPr>
        <w:t>Vocational Interest Scores on each of the nine areas of the S.P. Kulshrestha Vocational Interest Record (KVIR): Literary, Scientific, Technical, Artistic, Commercial, Executive, Agricultural, Household, and Social.</w:t>
      </w:r>
    </w:p>
    <w:p>
      <w:pPr>
        <w:spacing w:before="0" w:after="100" w:lineRule="auto" w:line="360"/>
        <w:jc w:val="both"/>
      </w:pPr>
      <w:r>
        <w:rPr>
          <w:rFonts w:ascii="Times New Roman" w:hAnsi="Times New Roman" w:cs="Times New Roman" w:eastAsia="Times New Roman"/>
          <w:b/>
          <w:i w:val="0"/>
          <w:sz w:val="24"/>
        </w:rPr>
        <w:t xml:space="preserve">Control Variables: </w:t>
      </w:r>
      <w:r>
        <w:rPr>
          <w:rFonts w:ascii="Times New Roman" w:hAnsi="Times New Roman" w:cs="Times New Roman" w:eastAsia="Times New Roman"/>
          <w:b w:val="0"/>
          <w:i w:val="0"/>
          <w:sz w:val="24"/>
        </w:rPr>
        <w:t>Age range (approximately 13–17 years), educational level (Classes IX–X), and geographical location (Meerut district).</w:t>
      </w:r>
    </w:p>
    <w:p>
      <w:pPr>
        <w:spacing w:before="280" w:after="160" w:lineRule="auto" w:line="276"/>
        <w:jc w:val="left"/>
      </w:pPr>
      <w:r>
        <w:rPr>
          <w:rFonts w:ascii="Times New Roman" w:hAnsi="Times New Roman" w:cs="Times New Roman" w:eastAsia="Times New Roman"/>
          <w:b/>
          <w:i w:val="0"/>
          <w:color w:val="8B0000"/>
          <w:sz w:val="28"/>
        </w:rPr>
        <w:t>3.4  Population</w:t>
      </w:r>
    </w:p>
    <w:p>
      <w:pPr>
        <w:spacing w:before="0" w:after="120" w:lineRule="auto" w:line="360"/>
        <w:jc w:val="both"/>
      </w:pPr>
      <w:r>
        <w:rPr>
          <w:rFonts w:ascii="Times New Roman" w:hAnsi="Times New Roman" w:cs="Times New Roman" w:eastAsia="Times New Roman"/>
          <w:b w:val="0"/>
          <w:i w:val="0"/>
          <w:sz w:val="24"/>
        </w:rPr>
        <w:t>The target population for the present study consists of all students studying in Classes IX and X in secondary schools in the Kila Parikshit Garh area of Meerut district, Uttar Pradesh, during the academic session 2025–26.</w:t>
      </w:r>
    </w:p>
    <w:p>
      <w:pPr>
        <w:spacing w:before="0" w:after="120" w:lineRule="auto" w:line="360"/>
        <w:jc w:val="both"/>
      </w:pPr>
      <w:r>
        <w:rPr>
          <w:rFonts w:ascii="Times New Roman" w:hAnsi="Times New Roman" w:cs="Times New Roman" w:eastAsia="Times New Roman"/>
          <w:b w:val="0"/>
          <w:i w:val="0"/>
          <w:sz w:val="24"/>
        </w:rPr>
        <w:t>The accessible population comprises the students of two schools selected for the study: (1) Students enrolled in Class IX at Shri Sanskrit Inter College, Meerut (a rural, government-aided, U.P. Board affiliated school); and (2) Students enrolled in Class X at KP International School, Kila Parikshit Garh (an urban, privately managed, CBSE-affiliated school).</w:t>
      </w:r>
    </w:p>
    <w:p>
      <w:pPr>
        <w:spacing w:before="280" w:after="160" w:lineRule="auto" w:line="276"/>
        <w:jc w:val="left"/>
      </w:pPr>
      <w:r>
        <w:rPr>
          <w:rFonts w:ascii="Times New Roman" w:hAnsi="Times New Roman" w:cs="Times New Roman" w:eastAsia="Times New Roman"/>
          <w:b/>
          <w:i w:val="0"/>
          <w:color w:val="8B0000"/>
          <w:sz w:val="28"/>
        </w:rPr>
        <w:t>3.5  Sample and Sampling Technique</w:t>
      </w:r>
    </w:p>
    <w:p>
      <w:pPr>
        <w:spacing w:before="200" w:after="160" w:lineRule="auto" w:line="276"/>
        <w:jc w:val="left"/>
      </w:pPr>
      <w:r>
        <w:rPr>
          <w:rFonts w:ascii="Times New Roman" w:hAnsi="Times New Roman" w:cs="Times New Roman" w:eastAsia="Times New Roman"/>
          <w:b/>
          <w:i w:val="0"/>
          <w:sz w:val="26"/>
        </w:rPr>
        <w:t>3.5.1  Sampling Technique</w:t>
      </w:r>
    </w:p>
    <w:p>
      <w:pPr>
        <w:spacing w:before="0" w:after="120" w:lineRule="auto" w:line="360"/>
        <w:jc w:val="both"/>
      </w:pPr>
      <w:r>
        <w:rPr>
          <w:rFonts w:ascii="Times New Roman" w:hAnsi="Times New Roman" w:cs="Times New Roman" w:eastAsia="Times New Roman"/>
          <w:b w:val="0"/>
          <w:i w:val="0"/>
          <w:sz w:val="24"/>
        </w:rPr>
        <w:t>The Simple Random Sampling Method was employed. Random sampling ensures that every member of the accessible population has an equal probability of being selected, minimising sampling bias and enhancing the representativeness of the sample.</w:t>
      </w:r>
    </w:p>
    <w:p>
      <w:pPr>
        <w:spacing w:before="0" w:after="120" w:lineRule="auto" w:line="360"/>
        <w:jc w:val="both"/>
      </w:pPr>
      <w:r>
        <w:rPr>
          <w:rFonts w:ascii="Times New Roman" w:hAnsi="Times New Roman" w:cs="Times New Roman" w:eastAsia="Times New Roman"/>
          <w:b w:val="0"/>
          <w:i w:val="0"/>
          <w:sz w:val="24"/>
        </w:rPr>
        <w:t>In practice, class lists (rosters) of eligible students in the target classes were obtained from the respective class teachers. Students were assigned sequential numbers, and using a table of random numbers, the required number of students was selected from each gender in each school. Selected students were then informed about the study and their participation was confirmed.</w:t>
      </w:r>
    </w:p>
    <w:p>
      <w:pPr>
        <w:spacing w:before="200" w:after="160" w:lineRule="auto" w:line="276"/>
        <w:jc w:val="left"/>
      </w:pPr>
      <w:r>
        <w:rPr>
          <w:rFonts w:ascii="Times New Roman" w:hAnsi="Times New Roman" w:cs="Times New Roman" w:eastAsia="Times New Roman"/>
          <w:b/>
          <w:i w:val="0"/>
          <w:sz w:val="26"/>
        </w:rPr>
        <w:t>3.5.2  Sample Size and Composition</w:t>
      </w:r>
    </w:p>
    <w:p>
      <w:pPr>
        <w:spacing w:before="0" w:after="120" w:lineRule="auto" w:line="360"/>
        <w:jc w:val="both"/>
      </w:pPr>
      <w:r>
        <w:rPr>
          <w:rFonts w:ascii="Times New Roman" w:hAnsi="Times New Roman" w:cs="Times New Roman" w:eastAsia="Times New Roman"/>
          <w:b w:val="0"/>
          <w:i w:val="0"/>
          <w:sz w:val="24"/>
        </w:rPr>
        <w:t>The total sample consists of 60 students, distributed as follows: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168"/>
            <w:shd w:val="clear" w:color="auto" w:fill="1a356e"/>
          </w:tcPr>
          <w:p>
            <w:pPr>
              <w:spacing w:before="40" w:after="40"/>
              <w:jc w:val="center"/>
            </w:pPr>
            <w:r>
              <w:rPr>
                <w:rFonts w:ascii="Times New Roman" w:hAnsi="Times New Roman" w:cs="Times New Roman" w:eastAsia="Times New Roman"/>
                <w:b/>
                <w:i w:val="0"/>
                <w:color w:val="FFFFFF"/>
                <w:sz w:val="20"/>
              </w:rPr>
              <w:t>School</w:t>
            </w:r>
          </w:p>
        </w:tc>
        <w:tc>
          <w:tcPr>
            <w:tcW w:type="dxa" w:w="1296"/>
            <w:shd w:val="clear" w:color="auto" w:fill="1a356e"/>
          </w:tcPr>
          <w:p>
            <w:pPr>
              <w:spacing w:before="40" w:after="40"/>
              <w:jc w:val="center"/>
            </w:pPr>
            <w:r>
              <w:rPr>
                <w:rFonts w:ascii="Times New Roman" w:hAnsi="Times New Roman" w:cs="Times New Roman" w:eastAsia="Times New Roman"/>
                <w:b/>
                <w:i w:val="0"/>
                <w:color w:val="FFFFFF"/>
                <w:sz w:val="20"/>
              </w:rPr>
              <w:t>Type</w:t>
            </w:r>
          </w:p>
        </w:tc>
        <w:tc>
          <w:tcPr>
            <w:tcW w:type="dxa" w:w="1296"/>
            <w:shd w:val="clear" w:color="auto" w:fill="1a356e"/>
          </w:tcPr>
          <w:p>
            <w:pPr>
              <w:spacing w:before="40" w:after="40"/>
              <w:jc w:val="center"/>
            </w:pPr>
            <w:r>
              <w:rPr>
                <w:rFonts w:ascii="Times New Roman" w:hAnsi="Times New Roman" w:cs="Times New Roman" w:eastAsia="Times New Roman"/>
                <w:b/>
                <w:i w:val="0"/>
                <w:color w:val="FFFFFF"/>
                <w:sz w:val="20"/>
              </w:rPr>
              <w:t>Board</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Class</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Boys</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Girls</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Total</w:t>
            </w:r>
          </w:p>
        </w:tc>
      </w:tr>
      <w:tr>
        <w:tc>
          <w:tcPr>
            <w:tcW w:type="dxa" w:w="3168"/>
            <w:shd w:val="clear" w:color="auto" w:fill="EBF0FB"/>
          </w:tcPr>
          <w:p>
            <w:pPr>
              <w:spacing w:before="20" w:after="20"/>
              <w:jc w:val="center"/>
            </w:pPr>
            <w:r>
              <w:rPr>
                <w:rFonts w:ascii="Times New Roman" w:hAnsi="Times New Roman" w:cs="Times New Roman" w:eastAsia="Times New Roman"/>
                <w:b w:val="0"/>
                <w:i w:val="0"/>
                <w:sz w:val="20"/>
              </w:rPr>
              <w:t>Shri Sanskrit Inter College, Meerut</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Rural, Govt.</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U.P. Board</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IX</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30</w:t>
            </w:r>
          </w:p>
        </w:tc>
      </w:tr>
      <w:tr>
        <w:tc>
          <w:tcPr>
            <w:tcW w:type="dxa" w:w="3168"/>
            <w:shd w:val="clear" w:color="auto" w:fill="FFFFFF"/>
          </w:tcPr>
          <w:p>
            <w:pPr>
              <w:spacing w:before="20" w:after="20"/>
              <w:jc w:val="center"/>
            </w:pPr>
            <w:r>
              <w:rPr>
                <w:rFonts w:ascii="Times New Roman" w:hAnsi="Times New Roman" w:cs="Times New Roman" w:eastAsia="Times New Roman"/>
                <w:b w:val="0"/>
                <w:i w:val="0"/>
                <w:sz w:val="20"/>
              </w:rPr>
              <w:t>KP International School, Kila Parikshit Garh</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Urban, Private</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CBSE</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X</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15</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15</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30</w:t>
            </w:r>
          </w:p>
        </w:tc>
      </w:tr>
      <w:tr>
        <w:tc>
          <w:tcPr>
            <w:tcW w:type="dxa" w:w="3168"/>
            <w:shd w:val="clear" w:color="auto" w:fill="EBF0FB"/>
          </w:tcPr>
          <w:p>
            <w:pPr>
              <w:spacing w:before="20" w:after="20"/>
              <w:jc w:val="center"/>
            </w:pPr>
            <w:r>
              <w:rPr>
                <w:rFonts w:ascii="Times New Roman" w:hAnsi="Times New Roman" w:cs="Times New Roman" w:eastAsia="Times New Roman"/>
                <w:b w:val="0"/>
                <w:i w:val="0"/>
                <w:sz w:val="20"/>
              </w:rPr>
              <w:t>TOTAL</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60</w:t>
            </w:r>
          </w:p>
        </w:tc>
      </w:tr>
    </w:tbl>
    <w:p/>
    <w:p>
      <w:pPr>
        <w:spacing w:before="0" w:after="120" w:lineRule="auto" w:line="360"/>
        <w:jc w:val="both"/>
      </w:pPr>
      <w:r>
        <w:rPr>
          <w:rFonts w:ascii="Times New Roman" w:hAnsi="Times New Roman" w:cs="Times New Roman" w:eastAsia="Times New Roman"/>
          <w:b w:val="0"/>
          <w:i w:val="0"/>
          <w:sz w:val="24"/>
        </w:rPr>
        <w:t>This distribution ensures equal representation of boys and girls within each school type and equal representation of the two school types overall, facilitating clean gender-wise and school-type-wise comparisons.</w:t>
      </w:r>
    </w:p>
    <w:p>
      <w:pPr>
        <w:spacing w:before="280" w:after="160" w:lineRule="auto" w:line="276"/>
        <w:jc w:val="left"/>
      </w:pPr>
      <w:r>
        <w:rPr>
          <w:rFonts w:ascii="Times New Roman" w:hAnsi="Times New Roman" w:cs="Times New Roman" w:eastAsia="Times New Roman"/>
          <w:b/>
          <w:i w:val="0"/>
          <w:color w:val="8B0000"/>
          <w:sz w:val="28"/>
        </w:rPr>
        <w:t>3.6  Tool Used</w:t>
      </w:r>
    </w:p>
    <w:p>
      <w:pPr>
        <w:spacing w:before="0" w:after="100" w:lineRule="auto" w:line="360"/>
        <w:jc w:val="both"/>
      </w:pPr>
      <w:r>
        <w:rPr>
          <w:rFonts w:ascii="Times New Roman" w:hAnsi="Times New Roman" w:cs="Times New Roman" w:eastAsia="Times New Roman"/>
          <w:b/>
          <w:i w:val="0"/>
          <w:sz w:val="24"/>
        </w:rPr>
        <w:t xml:space="preserve">Name of the Tool: </w:t>
      </w:r>
      <w:r>
        <w:rPr>
          <w:rFonts w:ascii="Times New Roman" w:hAnsi="Times New Roman" w:cs="Times New Roman" w:eastAsia="Times New Roman"/>
          <w:b w:val="0"/>
          <w:i w:val="0"/>
          <w:sz w:val="24"/>
        </w:rPr>
        <w:t>S.P. Kulshrestha Vocational Interest Record (KVIR)</w:t>
      </w:r>
    </w:p>
    <w:p>
      <w:pPr>
        <w:spacing w:before="0" w:after="100" w:lineRule="auto" w:line="360"/>
        <w:jc w:val="both"/>
      </w:pPr>
      <w:r>
        <w:rPr>
          <w:rFonts w:ascii="Times New Roman" w:hAnsi="Times New Roman" w:cs="Times New Roman" w:eastAsia="Times New Roman"/>
          <w:b/>
          <w:i w:val="0"/>
          <w:sz w:val="24"/>
        </w:rPr>
        <w:t xml:space="preserve">Author: </w:t>
      </w:r>
      <w:r>
        <w:rPr>
          <w:rFonts w:ascii="Times New Roman" w:hAnsi="Times New Roman" w:cs="Times New Roman" w:eastAsia="Times New Roman"/>
          <w:b w:val="0"/>
          <w:i w:val="0"/>
          <w:sz w:val="24"/>
        </w:rPr>
        <w:t>Dr. S.P. Kulshrestha</w:t>
      </w:r>
    </w:p>
    <w:p>
      <w:pPr>
        <w:spacing w:before="0" w:after="100" w:lineRule="auto" w:line="360"/>
        <w:jc w:val="both"/>
      </w:pPr>
      <w:r>
        <w:rPr>
          <w:rFonts w:ascii="Times New Roman" w:hAnsi="Times New Roman" w:cs="Times New Roman" w:eastAsia="Times New Roman"/>
          <w:b/>
          <w:i w:val="0"/>
          <w:sz w:val="24"/>
        </w:rPr>
        <w:t xml:space="preserve">Year of Publication: </w:t>
      </w:r>
      <w:r>
        <w:rPr>
          <w:rFonts w:ascii="Times New Roman" w:hAnsi="Times New Roman" w:cs="Times New Roman" w:eastAsia="Times New Roman"/>
          <w:b w:val="0"/>
          <w:i w:val="0"/>
          <w:sz w:val="24"/>
        </w:rPr>
        <w:t>1969 (Revised and Standardised)</w:t>
      </w:r>
    </w:p>
    <w:p>
      <w:pPr>
        <w:spacing w:before="0" w:after="100" w:lineRule="auto" w:line="360"/>
        <w:jc w:val="both"/>
      </w:pPr>
      <w:r>
        <w:rPr>
          <w:rFonts w:ascii="Times New Roman" w:hAnsi="Times New Roman" w:cs="Times New Roman" w:eastAsia="Times New Roman"/>
          <w:b/>
          <w:i w:val="0"/>
          <w:sz w:val="24"/>
        </w:rPr>
        <w:t xml:space="preserve">Publisher: </w:t>
      </w:r>
      <w:r>
        <w:rPr>
          <w:rFonts w:ascii="Times New Roman" w:hAnsi="Times New Roman" w:cs="Times New Roman" w:eastAsia="Times New Roman"/>
          <w:b w:val="0"/>
          <w:i w:val="0"/>
          <w:sz w:val="24"/>
        </w:rPr>
        <w:t>National Psychological Corporation, Agra, India</w:t>
      </w:r>
    </w:p>
    <w:p>
      <w:pPr>
        <w:spacing w:before="0" w:after="120" w:lineRule="auto" w:line="360"/>
        <w:jc w:val="both"/>
      </w:pPr>
      <w:r>
        <w:rPr>
          <w:rFonts w:ascii="Times New Roman" w:hAnsi="Times New Roman" w:cs="Times New Roman" w:eastAsia="Times New Roman"/>
          <w:b w:val="0"/>
          <w:i w:val="0"/>
          <w:sz w:val="24"/>
        </w:rPr>
        <w:t>The KVIR was selected because: (1) it is specifically designed and standardised for Indian secondary school students aged 13–18 years, making it culturally and developmentally appropriate; (2) it covers nine vocational interest areas comprehensively representing the range of occupational fields relevant to the Indian context; (3) it has well-established reliability and validity; (4) it has been extensively used in Indian vocational interest research, enabling comparability with existing literature; and (5) it is available in Hindi, making it accessible to students in both schools.</w:t>
      </w:r>
    </w:p>
    <w:p>
      <w:pPr>
        <w:spacing w:before="0" w:after="120" w:lineRule="auto" w:line="360"/>
        <w:jc w:val="both"/>
      </w:pPr>
      <w:r>
        <w:rPr>
          <w:rFonts w:ascii="Times New Roman" w:hAnsi="Times New Roman" w:cs="Times New Roman" w:eastAsia="Times New Roman"/>
          <w:b w:val="0"/>
          <w:i w:val="0"/>
          <w:sz w:val="24"/>
        </w:rPr>
        <w:t>The KVIR contains 180 items distributed equally across the nine vocational interest areas, with 20 items per area. Each item describes a specific activity or task. The respondent indicates preference using a three-point response format: Like (L) = 2 points, Neutral (N) = 1 point, Dislike (D) = 0 points. The maximum possible score for any area is 40 and the minimum is 0. Higher scores indicate stronger vocational interest in that area.</w:t>
      </w:r>
    </w:p>
    <w:p>
      <w:pPr>
        <w:spacing w:before="280" w:after="160" w:lineRule="auto" w:line="276"/>
        <w:jc w:val="left"/>
      </w:pPr>
      <w:r>
        <w:rPr>
          <w:rFonts w:ascii="Times New Roman" w:hAnsi="Times New Roman" w:cs="Times New Roman" w:eastAsia="Times New Roman"/>
          <w:b/>
          <w:i w:val="0"/>
          <w:color w:val="8B0000"/>
          <w:sz w:val="28"/>
        </w:rPr>
        <w:t>3.7  Reliability and Validity of the Tool</w:t>
      </w:r>
    </w:p>
    <w:p>
      <w:pPr>
        <w:spacing w:before="0" w:after="100" w:lineRule="auto" w:line="360"/>
        <w:jc w:val="both"/>
      </w:pPr>
      <w:r>
        <w:rPr>
          <w:rFonts w:ascii="Times New Roman" w:hAnsi="Times New Roman" w:cs="Times New Roman" w:eastAsia="Times New Roman"/>
          <w:b/>
          <w:i w:val="0"/>
          <w:sz w:val="24"/>
        </w:rPr>
        <w:t xml:space="preserve">Test-Retest Reliability: </w:t>
      </w:r>
      <w:r>
        <w:rPr>
          <w:rFonts w:ascii="Times New Roman" w:hAnsi="Times New Roman" w:cs="Times New Roman" w:eastAsia="Times New Roman"/>
          <w:b w:val="0"/>
          <w:i w:val="0"/>
          <w:sz w:val="24"/>
        </w:rPr>
        <w:t>Kulshrestha (1969) reported reliability coefficients ranging from 0.76 to 0.89 over a two-week interval, with most areas above 0.80, indicating high temporal stability.</w:t>
      </w:r>
    </w:p>
    <w:p>
      <w:pPr>
        <w:spacing w:before="0" w:after="100" w:lineRule="auto" w:line="360"/>
        <w:jc w:val="both"/>
      </w:pPr>
      <w:r>
        <w:rPr>
          <w:rFonts w:ascii="Times New Roman" w:hAnsi="Times New Roman" w:cs="Times New Roman" w:eastAsia="Times New Roman"/>
          <w:b/>
          <w:i w:val="0"/>
          <w:sz w:val="24"/>
        </w:rPr>
        <w:t xml:space="preserve">Split-Half Reliability: </w:t>
      </w:r>
      <w:r>
        <w:rPr>
          <w:rFonts w:ascii="Times New Roman" w:hAnsi="Times New Roman" w:cs="Times New Roman" w:eastAsia="Times New Roman"/>
          <w:b w:val="0"/>
          <w:i w:val="0"/>
          <w:sz w:val="24"/>
        </w:rPr>
        <w:t>Corrected split-half reliability (Spearman-Brown formula) = 0.82, confirming strong internal consistency.</w:t>
      </w:r>
    </w:p>
    <w:p>
      <w:pPr>
        <w:spacing w:before="0" w:after="100" w:lineRule="auto" w:line="360"/>
        <w:jc w:val="both"/>
      </w:pPr>
      <w:r>
        <w:rPr>
          <w:rFonts w:ascii="Times New Roman" w:hAnsi="Times New Roman" w:cs="Times New Roman" w:eastAsia="Times New Roman"/>
          <w:b/>
          <w:i w:val="0"/>
          <w:sz w:val="24"/>
        </w:rPr>
        <w:t xml:space="preserve">Content Validity: </w:t>
      </w:r>
      <w:r>
        <w:rPr>
          <w:rFonts w:ascii="Times New Roman" w:hAnsi="Times New Roman" w:cs="Times New Roman" w:eastAsia="Times New Roman"/>
          <w:b w:val="0"/>
          <w:i w:val="0"/>
          <w:sz w:val="24"/>
        </w:rPr>
        <w:t>Established through expert review by a panel of educational psychologists and career guidance specialists.</w:t>
      </w:r>
    </w:p>
    <w:p>
      <w:pPr>
        <w:spacing w:before="0" w:after="100" w:lineRule="auto" w:line="360"/>
        <w:jc w:val="both"/>
      </w:pPr>
      <w:r>
        <w:rPr>
          <w:rFonts w:ascii="Times New Roman" w:hAnsi="Times New Roman" w:cs="Times New Roman" w:eastAsia="Times New Roman"/>
          <w:b/>
          <w:i w:val="0"/>
          <w:sz w:val="24"/>
        </w:rPr>
        <w:t xml:space="preserve">Construct Validity: </w:t>
      </w:r>
      <w:r>
        <w:rPr>
          <w:rFonts w:ascii="Times New Roman" w:hAnsi="Times New Roman" w:cs="Times New Roman" w:eastAsia="Times New Roman"/>
          <w:b w:val="0"/>
          <w:i w:val="0"/>
          <w:sz w:val="24"/>
        </w:rPr>
        <w:t>Factor analytic studies confirmed a nine-factor structure corresponding to the nine interest areas.</w:t>
      </w:r>
    </w:p>
    <w:p>
      <w:pPr>
        <w:spacing w:before="0" w:after="100" w:lineRule="auto" w:line="360"/>
        <w:jc w:val="both"/>
      </w:pPr>
      <w:r>
        <w:rPr>
          <w:rFonts w:ascii="Times New Roman" w:hAnsi="Times New Roman" w:cs="Times New Roman" w:eastAsia="Times New Roman"/>
          <w:b/>
          <w:i w:val="0"/>
          <w:sz w:val="24"/>
        </w:rPr>
        <w:t xml:space="preserve">Criterion-Related Validity: </w:t>
      </w:r>
      <w:r>
        <w:rPr>
          <w:rFonts w:ascii="Times New Roman" w:hAnsi="Times New Roman" w:cs="Times New Roman" w:eastAsia="Times New Roman"/>
          <w:b w:val="0"/>
          <w:i w:val="0"/>
          <w:sz w:val="24"/>
        </w:rPr>
        <w:t>Concurrent validity study found correlations of r = 0.68 to 0.78 between KVIR scores and related aptitude test sub-scales and teachers’ interest ratings.</w:t>
      </w:r>
    </w:p>
    <w:p>
      <w:pPr>
        <w:spacing w:before="280" w:after="160" w:lineRule="auto" w:line="276"/>
        <w:jc w:val="left"/>
      </w:pPr>
      <w:r>
        <w:rPr>
          <w:rFonts w:ascii="Times New Roman" w:hAnsi="Times New Roman" w:cs="Times New Roman" w:eastAsia="Times New Roman"/>
          <w:b/>
          <w:i w:val="0"/>
          <w:color w:val="8B0000"/>
          <w:sz w:val="28"/>
        </w:rPr>
        <w:t>3.8  Procedure of Data Collection</w:t>
      </w:r>
    </w:p>
    <w:p>
      <w:pPr>
        <w:spacing w:before="200" w:after="160" w:lineRule="auto" w:line="276"/>
        <w:jc w:val="left"/>
      </w:pPr>
      <w:r>
        <w:rPr>
          <w:rFonts w:ascii="Times New Roman" w:hAnsi="Times New Roman" w:cs="Times New Roman" w:eastAsia="Times New Roman"/>
          <w:b/>
          <w:i w:val="0"/>
          <w:sz w:val="26"/>
        </w:rPr>
        <w:t>3.8.1  Preliminary Preparation</w:t>
      </w:r>
    </w:p>
    <w:p>
      <w:pPr>
        <w:spacing w:before="0" w:after="120" w:lineRule="auto" w:line="360"/>
        <w:jc w:val="both"/>
      </w:pPr>
      <w:r>
        <w:rPr>
          <w:rFonts w:ascii="Times New Roman" w:hAnsi="Times New Roman" w:cs="Times New Roman" w:eastAsia="Times New Roman"/>
          <w:b w:val="0"/>
          <w:i w:val="0"/>
          <w:sz w:val="24"/>
        </w:rPr>
        <w:t>Before proceeding to data collection, the researcher thoroughly reviewed the relevant literature, procured the KVIR from the National Psychological Corporation, Agra, familiarised herself with the manual and scoring procedures, and obtained approval from the dissertation supervisor, Dr. Seema Sharma.</w:t>
      </w:r>
    </w:p>
    <w:p>
      <w:pPr>
        <w:spacing w:before="200" w:after="160" w:lineRule="auto" w:line="276"/>
        <w:jc w:val="left"/>
      </w:pPr>
      <w:r>
        <w:rPr>
          <w:rFonts w:ascii="Times New Roman" w:hAnsi="Times New Roman" w:cs="Times New Roman" w:eastAsia="Times New Roman"/>
          <w:b/>
          <w:i w:val="0"/>
          <w:sz w:val="26"/>
        </w:rPr>
        <w:t>3.8.2  Visiting the Schools and Obtaining Permission</w:t>
      </w:r>
    </w:p>
    <w:p>
      <w:pPr>
        <w:spacing w:before="0" w:after="120" w:lineRule="auto" w:line="360"/>
        <w:jc w:val="both"/>
      </w:pPr>
      <w:r>
        <w:rPr>
          <w:rFonts w:ascii="Times New Roman" w:hAnsi="Times New Roman" w:cs="Times New Roman" w:eastAsia="Times New Roman"/>
          <w:b w:val="0"/>
          <w:i w:val="0"/>
          <w:sz w:val="24"/>
        </w:rPr>
        <w:t>Shri Sanskrit Inter College, Meerut (Rural School): The researcher visited this school in the first week of September 2025. After meeting the Principal and explaining the purpose of the research study, a formal application for permission was submitted. The Principal was extremely supportive and granted permission for the study to be conducted with Class IX students. He also facilitated the researcher’s meeting with the Class IX form teacher, who provided the class roster and helped schedule the data collection session.</w:t>
      </w:r>
    </w:p>
    <w:p>
      <w:pPr>
        <w:spacing w:before="0" w:after="120" w:lineRule="auto" w:line="360"/>
        <w:jc w:val="both"/>
      </w:pPr>
      <w:r>
        <w:rPr>
          <w:rFonts w:ascii="Times New Roman" w:hAnsi="Times New Roman" w:cs="Times New Roman" w:eastAsia="Times New Roman"/>
          <w:b w:val="0"/>
          <w:i w:val="0"/>
          <w:sz w:val="24"/>
        </w:rPr>
        <w:t>KP International School, Kila Parikshit Garh (Urban School): The researcher visited this school in the second week of September 2025. The school’s academic coordinator first reviewed the research tool and protocol before granting permission. A formal letter from the Meerut College Education Department, signed by the supervisor, was submitted as supporting documentation. Permission was granted for Class X students, and a suitable date was arranged. The visibly better infrastructure of the urban school — spacious classrooms, well-stocked library, digital infrastructure — contrasted sharply with the rural school and served as a reminder of the educational inequalities the study sought to illuminate.</w:t>
      </w:r>
    </w:p>
    <w:p>
      <w:pPr>
        <w:spacing w:before="200" w:after="160" w:lineRule="auto" w:line="276"/>
        <w:jc w:val="left"/>
      </w:pPr>
      <w:r>
        <w:rPr>
          <w:rFonts w:ascii="Times New Roman" w:hAnsi="Times New Roman" w:cs="Times New Roman" w:eastAsia="Times New Roman"/>
          <w:b/>
          <w:i w:val="0"/>
          <w:sz w:val="26"/>
        </w:rPr>
        <w:t>3.8.3  Rapport Building and Data Collection Sessions</w:t>
      </w:r>
    </w:p>
    <w:p>
      <w:pPr>
        <w:spacing w:before="0" w:after="120" w:lineRule="auto" w:line="360"/>
        <w:jc w:val="both"/>
      </w:pPr>
      <w:r>
        <w:rPr>
          <w:rFonts w:ascii="Times New Roman" w:hAnsi="Times New Roman" w:cs="Times New Roman" w:eastAsia="Times New Roman"/>
          <w:b w:val="0"/>
          <w:i w:val="0"/>
          <w:sz w:val="24"/>
        </w:rPr>
        <w:t>Before formal administration, the researcher spent approximately 20–25 minutes interacting informally with the students in each school. In the rural school, several students initially worried that their responses would be shared with parents. The researcher carefully reassured them about confidentiality and the non-evaluative nature of the exercise. Once reassured, students became visibly more relaxed and engaged.</w:t>
      </w:r>
    </w:p>
    <w:p>
      <w:pPr>
        <w:spacing w:before="0" w:after="120" w:lineRule="auto" w:line="360"/>
        <w:jc w:val="both"/>
      </w:pPr>
      <w:r>
        <w:rPr>
          <w:rFonts w:ascii="Times New Roman" w:hAnsi="Times New Roman" w:cs="Times New Roman" w:eastAsia="Times New Roman"/>
          <w:b w:val="0"/>
          <w:i w:val="0"/>
          <w:sz w:val="24"/>
        </w:rPr>
        <w:t>Data collection sessions: Session 1 at Shri Sanskrit Inter College on September 12, 2025 (30 students); Session 2 at KP International School on September 19, 2025 (30 students). The KVIR was administered in group settings following the standardised procedure. All 60 administered answer sheets were complete and usable. Following data collection, all answer sheets were scored using the official KVIR scoring key and double-checked for accuracy.</w:t>
      </w:r>
    </w:p>
    <w:p>
      <w:pPr>
        <w:spacing w:before="280" w:after="160" w:lineRule="auto" w:line="276"/>
        <w:jc w:val="left"/>
      </w:pPr>
      <w:r>
        <w:rPr>
          <w:rFonts w:ascii="Times New Roman" w:hAnsi="Times New Roman" w:cs="Times New Roman" w:eastAsia="Times New Roman"/>
          <w:b/>
          <w:i w:val="0"/>
          <w:color w:val="8B0000"/>
          <w:sz w:val="28"/>
        </w:rPr>
        <w:t>3.9  Statistical Techniques Used</w:t>
      </w:r>
    </w:p>
    <w:p>
      <w:pPr>
        <w:spacing w:before="0" w:after="100" w:lineRule="auto" w:line="360"/>
        <w:jc w:val="both"/>
      </w:pPr>
      <w:r>
        <w:rPr>
          <w:rFonts w:ascii="Times New Roman" w:hAnsi="Times New Roman" w:cs="Times New Roman" w:eastAsia="Times New Roman"/>
          <w:b/>
          <w:i w:val="0"/>
          <w:sz w:val="24"/>
        </w:rPr>
        <w:t>Percentage Analysis:</w:t>
      </w:r>
      <w:r>
        <w:rPr>
          <w:rFonts w:ascii="Times New Roman" w:hAnsi="Times New Roman" w:cs="Times New Roman" w:eastAsia="Times New Roman"/>
          <w:b w:val="0"/>
          <w:i w:val="0"/>
          <w:sz w:val="24"/>
        </w:rPr>
        <w:t xml:space="preserve"> Used to describe the distribution of dominant vocational interests within each subgroup. Formula: Percentage = (Frequency / Total N) × 100.</w:t>
      </w:r>
    </w:p>
    <w:p>
      <w:pPr>
        <w:spacing w:before="0" w:after="100" w:lineRule="auto" w:line="360"/>
        <w:jc w:val="both"/>
      </w:pPr>
      <w:r>
        <w:rPr>
          <w:rFonts w:ascii="Times New Roman" w:hAnsi="Times New Roman" w:cs="Times New Roman" w:eastAsia="Times New Roman"/>
          <w:b/>
          <w:i w:val="0"/>
          <w:sz w:val="24"/>
        </w:rPr>
        <w:t>Mean (Arithmetic Mean):</w:t>
      </w:r>
      <w:r>
        <w:rPr>
          <w:rFonts w:ascii="Times New Roman" w:hAnsi="Times New Roman" w:cs="Times New Roman" w:eastAsia="Times New Roman"/>
          <w:b w:val="0"/>
          <w:i w:val="0"/>
          <w:sz w:val="24"/>
        </w:rPr>
        <w:t xml:space="preserve"> Used to calculate the average vocational interest score for each group on each area. Formula: M = ΣX / N.</w:t>
      </w:r>
    </w:p>
    <w:p>
      <w:pPr>
        <w:spacing w:before="0" w:after="100" w:lineRule="auto" w:line="360"/>
        <w:jc w:val="both"/>
      </w:pPr>
      <w:r>
        <w:rPr>
          <w:rFonts w:ascii="Times New Roman" w:hAnsi="Times New Roman" w:cs="Times New Roman" w:eastAsia="Times New Roman"/>
          <w:b/>
          <w:i w:val="0"/>
          <w:sz w:val="24"/>
        </w:rPr>
        <w:t>Standard Deviation:</w:t>
      </w:r>
      <w:r>
        <w:rPr>
          <w:rFonts w:ascii="Times New Roman" w:hAnsi="Times New Roman" w:cs="Times New Roman" w:eastAsia="Times New Roman"/>
          <w:b w:val="0"/>
          <w:i w:val="0"/>
          <w:sz w:val="24"/>
        </w:rPr>
        <w:t xml:space="preserve"> Used to measure variability of scores within each group. Formula: SD = √[Σ(X − M)² / N].</w:t>
      </w:r>
    </w:p>
    <w:p>
      <w:pPr>
        <w:spacing w:before="0" w:after="100" w:lineRule="auto" w:line="360"/>
        <w:jc w:val="both"/>
      </w:pPr>
      <w:r>
        <w:rPr>
          <w:rFonts w:ascii="Times New Roman" w:hAnsi="Times New Roman" w:cs="Times New Roman" w:eastAsia="Times New Roman"/>
          <w:b/>
          <w:i w:val="0"/>
          <w:sz w:val="24"/>
        </w:rPr>
        <w:t>t-test for Independent Samples:</w:t>
      </w:r>
      <w:r>
        <w:rPr>
          <w:rFonts w:ascii="Times New Roman" w:hAnsi="Times New Roman" w:cs="Times New Roman" w:eastAsia="Times New Roman"/>
          <w:b w:val="0"/>
          <w:i w:val="0"/>
          <w:sz w:val="24"/>
        </w:rPr>
        <w:t xml:space="preserve"> Used to test the statistical significance of differences between the mean scores of two independent groups. Formula: t = (M₁ − M₂) / √[SD₁²/N₁ + SD₂²/N₂]. All hypotheses tested at the 0.05 level of significance (two-tailed). Critical value of t at df = 58, α = 0.05 (two-tailed) = 2.002.</w:t>
      </w:r>
    </w:p>
    <w:p>
      <w:pPr>
        <w:spacing w:before="280" w:after="160" w:lineRule="auto" w:line="276"/>
        <w:jc w:val="left"/>
      </w:pPr>
      <w:r>
        <w:rPr>
          <w:rFonts w:ascii="Times New Roman" w:hAnsi="Times New Roman" w:cs="Times New Roman" w:eastAsia="Times New Roman"/>
          <w:b/>
          <w:i w:val="0"/>
          <w:color w:val="8B0000"/>
          <w:sz w:val="28"/>
        </w:rPr>
        <w:t>3.10  Ethical Considerations</w:t>
      </w:r>
    </w:p>
    <w:p>
      <w:pPr>
        <w:spacing w:before="0" w:after="80" w:lineRule="auto" w:line="360"/>
        <w:jc w:val="both"/>
      </w:pPr>
      <w:r>
        <w:rPr>
          <w:rFonts w:ascii="Times New Roman" w:hAnsi="Times New Roman" w:cs="Times New Roman" w:eastAsia="Times New Roman"/>
          <w:b w:val="0"/>
          <w:i w:val="0"/>
          <w:sz w:val="24"/>
        </w:rPr>
        <w:t>1.  Informed Consent: Written permission from Principals; verbal assent from all student participants after full explanation.</w:t>
      </w:r>
    </w:p>
    <w:p>
      <w:pPr>
        <w:spacing w:before="0" w:after="80" w:lineRule="auto" w:line="360"/>
        <w:jc w:val="both"/>
      </w:pPr>
      <w:r>
        <w:rPr>
          <w:rFonts w:ascii="Times New Roman" w:hAnsi="Times New Roman" w:cs="Times New Roman" w:eastAsia="Times New Roman"/>
          <w:b w:val="0"/>
          <w:i w:val="0"/>
          <w:sz w:val="24"/>
        </w:rPr>
        <w:t>2.  Confidentiality: All response sheets coded numerically to ensure anonymity. No individual responses disclosed to teachers, parents, or administration.</w:t>
      </w:r>
    </w:p>
    <w:p>
      <w:pPr>
        <w:spacing w:before="0" w:after="80" w:lineRule="auto" w:line="360"/>
        <w:jc w:val="both"/>
      </w:pPr>
      <w:r>
        <w:rPr>
          <w:rFonts w:ascii="Times New Roman" w:hAnsi="Times New Roman" w:cs="Times New Roman" w:eastAsia="Times New Roman"/>
          <w:b w:val="0"/>
          <w:i w:val="0"/>
          <w:sz w:val="24"/>
        </w:rPr>
        <w:t>3.  Voluntary Participation: Participation was entirely voluntary with the explicit right to withdraw at any time.</w:t>
      </w:r>
    </w:p>
    <w:p>
      <w:pPr>
        <w:spacing w:before="0" w:after="80" w:lineRule="auto" w:line="360"/>
        <w:jc w:val="both"/>
      </w:pPr>
      <w:r>
        <w:rPr>
          <w:rFonts w:ascii="Times New Roman" w:hAnsi="Times New Roman" w:cs="Times New Roman" w:eastAsia="Times New Roman"/>
          <w:b w:val="0"/>
          <w:i w:val="0"/>
          <w:sz w:val="24"/>
        </w:rPr>
        <w:t>4.  Non-Deception: The researcher fully and honestly explained the study’s purpose to all participants. No deception was used.</w:t>
      </w:r>
    </w:p>
    <w:p>
      <w:pPr>
        <w:spacing w:before="0" w:after="80" w:lineRule="auto" w:line="360"/>
        <w:jc w:val="both"/>
      </w:pPr>
      <w:r>
        <w:rPr>
          <w:rFonts w:ascii="Times New Roman" w:hAnsi="Times New Roman" w:cs="Times New Roman" w:eastAsia="Times New Roman"/>
          <w:b w:val="0"/>
          <w:i w:val="0"/>
          <w:sz w:val="24"/>
        </w:rPr>
        <w:t>5.  Respect for Participants: The researcher maintained respectful, non-judgemental, and encouraging interactions with all student participants.</w:t>
      </w:r>
    </w:p>
    <w:p>
      <w:pPr>
        <w:spacing w:before="0" w:after="80" w:lineRule="auto" w:line="360"/>
        <w:jc w:val="both"/>
      </w:pPr>
      <w:r>
        <w:rPr>
          <w:rFonts w:ascii="Times New Roman" w:hAnsi="Times New Roman" w:cs="Times New Roman" w:eastAsia="Times New Roman"/>
          <w:b w:val="0"/>
          <w:i w:val="0"/>
          <w:sz w:val="24"/>
        </w:rPr>
        <w:t>6.  Minimisation of Disruption: Data collection sessions were scheduled during designated free periods to cause minimal disruption to the schools’ academic schedules.</w:t>
      </w:r>
    </w:p>
    <w:p>
      <w:r>
        <w:br w:type="page"/>
      </w:r>
    </w:p>
    <w:p>
      <w:pPr>
        <w:spacing w:before="400" w:after="160" w:lineRule="auto" w:line="276"/>
        <w:jc w:val="center"/>
      </w:pPr>
      <w:r>
        <w:rPr>
          <w:rFonts w:ascii="Times New Roman" w:hAnsi="Times New Roman" w:cs="Times New Roman" w:eastAsia="Times New Roman"/>
          <w:b/>
          <w:i w:val="0"/>
          <w:color w:val="1A356E"/>
          <w:sz w:val="32"/>
        </w:rPr>
        <w:t>CHAPTER 4</w:t>
      </w:r>
    </w:p>
    <w:p>
      <w:pPr>
        <w:spacing w:before="400" w:after="160" w:lineRule="auto" w:line="276"/>
        <w:jc w:val="center"/>
      </w:pPr>
      <w:r>
        <w:rPr>
          <w:rFonts w:ascii="Times New Roman" w:hAnsi="Times New Roman" w:cs="Times New Roman" w:eastAsia="Times New Roman"/>
          <w:b/>
          <w:i w:val="0"/>
          <w:color w:val="1A356E"/>
          <w:sz w:val="32"/>
        </w:rPr>
        <w:t>DATA ANALYSIS AND INTERPRETATION</w:t>
      </w:r>
    </w:p>
    <w:p>
      <w:pPr>
        <w:spacing w:before="280" w:after="160" w:lineRule="auto" w:line="276"/>
        <w:jc w:val="left"/>
      </w:pPr>
      <w:r>
        <w:rPr>
          <w:rFonts w:ascii="Times New Roman" w:hAnsi="Times New Roman" w:cs="Times New Roman" w:eastAsia="Times New Roman"/>
          <w:b/>
          <w:i w:val="0"/>
          <w:color w:val="8B0000"/>
          <w:sz w:val="28"/>
        </w:rPr>
        <w:t>4.1  Introduction</w:t>
      </w:r>
    </w:p>
    <w:p>
      <w:pPr>
        <w:spacing w:before="0" w:after="120" w:lineRule="auto" w:line="360"/>
        <w:jc w:val="both"/>
      </w:pPr>
      <w:r>
        <w:rPr>
          <w:rFonts w:ascii="Times New Roman" w:hAnsi="Times New Roman" w:cs="Times New Roman" w:eastAsia="Times New Roman"/>
          <w:b w:val="0"/>
          <w:i w:val="0"/>
          <w:sz w:val="24"/>
        </w:rPr>
        <w:t>Data analysis is the heart of any empirical research. It is the process through which raw numbers are transformed into meaningful insights, and through which abstract hypotheses are tested against the concrete reality of collected evidence. As Garrett (1981) noted, “Statistics is the science that deals with the collection, classification, analysis, and interpretation of numerical data.”</w:t>
      </w:r>
    </w:p>
    <w:p>
      <w:pPr>
        <w:spacing w:before="0" w:after="120" w:lineRule="auto" w:line="360"/>
        <w:jc w:val="both"/>
      </w:pPr>
      <w:r>
        <w:rPr>
          <w:rFonts w:ascii="Times New Roman" w:hAnsi="Times New Roman" w:cs="Times New Roman" w:eastAsia="Times New Roman"/>
          <w:b w:val="0"/>
          <w:i w:val="0"/>
          <w:sz w:val="24"/>
        </w:rPr>
        <w:t>This chapter presents the complete analysis of data collected from 60 secondary school students using the S.P. Kulshrestha Vocational Interest Record (KVIR). The analysis proceeds in a systematic sequence: percentage analysis of dominant vocational interests (Section 4.2), gender-wise mean score comparisons (Section 4.3), rural vs. urban comparisons (Section 4.4), and t-test analysis for hypothesis testing (Section 4.5). Each statistical table is followed by detailed interpretation and educational implications. Visual representations — including pie charts, grouped bar graphs, and line graphs — accompany the tables.</w:t>
      </w:r>
    </w:p>
    <w:p>
      <w:pPr>
        <w:spacing w:before="280" w:after="160" w:lineRule="auto" w:line="276"/>
        <w:jc w:val="left"/>
      </w:pPr>
      <w:r>
        <w:rPr>
          <w:rFonts w:ascii="Times New Roman" w:hAnsi="Times New Roman" w:cs="Times New Roman" w:eastAsia="Times New Roman"/>
          <w:b/>
          <w:i w:val="0"/>
          <w:color w:val="8B0000"/>
          <w:sz w:val="28"/>
        </w:rPr>
        <w:t>4.2  Sample Distribution and Percentage Analysis</w:t>
      </w:r>
    </w:p>
    <w:p>
      <w:pPr>
        <w:spacing w:before="200" w:after="160" w:lineRule="auto" w:line="276"/>
        <w:jc w:val="left"/>
      </w:pPr>
      <w:r>
        <w:rPr>
          <w:rFonts w:ascii="Times New Roman" w:hAnsi="Times New Roman" w:cs="Times New Roman" w:eastAsia="Times New Roman"/>
          <w:b/>
          <w:i w:val="0"/>
          <w:sz w:val="26"/>
        </w:rPr>
        <w:t>4.2.1  Sample Distribution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168"/>
            <w:shd w:val="clear" w:color="auto" w:fill="1a356e"/>
          </w:tcPr>
          <w:p>
            <w:pPr>
              <w:spacing w:before="40" w:after="40"/>
              <w:jc w:val="center"/>
            </w:pPr>
            <w:r>
              <w:rPr>
                <w:rFonts w:ascii="Times New Roman" w:hAnsi="Times New Roman" w:cs="Times New Roman" w:eastAsia="Times New Roman"/>
                <w:b/>
                <w:i w:val="0"/>
                <w:color w:val="FFFFFF"/>
                <w:sz w:val="20"/>
              </w:rPr>
              <w:t>School</w:t>
            </w:r>
          </w:p>
        </w:tc>
        <w:tc>
          <w:tcPr>
            <w:tcW w:type="dxa" w:w="1296"/>
            <w:shd w:val="clear" w:color="auto" w:fill="1a356e"/>
          </w:tcPr>
          <w:p>
            <w:pPr>
              <w:spacing w:before="40" w:after="40"/>
              <w:jc w:val="center"/>
            </w:pPr>
            <w:r>
              <w:rPr>
                <w:rFonts w:ascii="Times New Roman" w:hAnsi="Times New Roman" w:cs="Times New Roman" w:eastAsia="Times New Roman"/>
                <w:b/>
                <w:i w:val="0"/>
                <w:color w:val="FFFFFF"/>
                <w:sz w:val="20"/>
              </w:rPr>
              <w:t>Type</w:t>
            </w:r>
          </w:p>
        </w:tc>
        <w:tc>
          <w:tcPr>
            <w:tcW w:type="dxa" w:w="1296"/>
            <w:shd w:val="clear" w:color="auto" w:fill="1a356e"/>
          </w:tcPr>
          <w:p>
            <w:pPr>
              <w:spacing w:before="40" w:after="40"/>
              <w:jc w:val="center"/>
            </w:pPr>
            <w:r>
              <w:rPr>
                <w:rFonts w:ascii="Times New Roman" w:hAnsi="Times New Roman" w:cs="Times New Roman" w:eastAsia="Times New Roman"/>
                <w:b/>
                <w:i w:val="0"/>
                <w:color w:val="FFFFFF"/>
                <w:sz w:val="20"/>
              </w:rPr>
              <w:t>Board</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Class</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Boys</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Girls</w:t>
            </w:r>
          </w:p>
        </w:tc>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Total</w:t>
            </w:r>
          </w:p>
        </w:tc>
      </w:tr>
      <w:tr>
        <w:tc>
          <w:tcPr>
            <w:tcW w:type="dxa" w:w="3168"/>
            <w:shd w:val="clear" w:color="auto" w:fill="EBF0FB"/>
          </w:tcPr>
          <w:p>
            <w:pPr>
              <w:spacing w:before="20" w:after="20"/>
              <w:jc w:val="center"/>
            </w:pPr>
            <w:r>
              <w:rPr>
                <w:rFonts w:ascii="Times New Roman" w:hAnsi="Times New Roman" w:cs="Times New Roman" w:eastAsia="Times New Roman"/>
                <w:b w:val="0"/>
                <w:i w:val="0"/>
                <w:sz w:val="20"/>
              </w:rPr>
              <w:t>Shri Sanskrit Inter College, Meerut</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Rural, Govt.</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U.P. Board</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IX</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30</w:t>
            </w:r>
          </w:p>
        </w:tc>
      </w:tr>
      <w:tr>
        <w:tc>
          <w:tcPr>
            <w:tcW w:type="dxa" w:w="3168"/>
            <w:shd w:val="clear" w:color="auto" w:fill="FFFFFF"/>
          </w:tcPr>
          <w:p>
            <w:pPr>
              <w:spacing w:before="20" w:after="20"/>
              <w:jc w:val="center"/>
            </w:pPr>
            <w:r>
              <w:rPr>
                <w:rFonts w:ascii="Times New Roman" w:hAnsi="Times New Roman" w:cs="Times New Roman" w:eastAsia="Times New Roman"/>
                <w:b w:val="0"/>
                <w:i w:val="0"/>
                <w:sz w:val="20"/>
              </w:rPr>
              <w:t>KP International School, Kila Parikshit Garh</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Urban, Private</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CBSE</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X</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15</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15</w:t>
            </w:r>
          </w:p>
        </w:tc>
        <w:tc>
          <w:tcPr>
            <w:tcW w:type="dxa" w:w="720"/>
            <w:shd w:val="clear" w:color="auto" w:fill="FFFFFF"/>
          </w:tcPr>
          <w:p>
            <w:pPr>
              <w:spacing w:before="20" w:after="20"/>
              <w:jc w:val="center"/>
            </w:pPr>
            <w:r>
              <w:rPr>
                <w:rFonts w:ascii="Times New Roman" w:hAnsi="Times New Roman" w:cs="Times New Roman" w:eastAsia="Times New Roman"/>
                <w:b w:val="0"/>
                <w:i w:val="0"/>
                <w:sz w:val="20"/>
              </w:rPr>
              <w:t>30</w:t>
            </w:r>
          </w:p>
        </w:tc>
      </w:tr>
      <w:tr>
        <w:tc>
          <w:tcPr>
            <w:tcW w:type="dxa" w:w="3168"/>
            <w:shd w:val="clear" w:color="auto" w:fill="EBF0FB"/>
          </w:tcPr>
          <w:p>
            <w:pPr>
              <w:spacing w:before="20" w:after="20"/>
              <w:jc w:val="center"/>
            </w:pPr>
            <w:r>
              <w:rPr>
                <w:rFonts w:ascii="Times New Roman" w:hAnsi="Times New Roman" w:cs="Times New Roman" w:eastAsia="Times New Roman"/>
                <w:b w:val="0"/>
                <w:i w:val="0"/>
                <w:sz w:val="20"/>
              </w:rPr>
              <w:t>TOTAL</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720"/>
            <w:shd w:val="clear" w:color="auto" w:fill="EBF0FB"/>
          </w:tcPr>
          <w:p>
            <w:pPr>
              <w:spacing w:before="20" w:after="20"/>
              <w:jc w:val="center"/>
            </w:pPr>
            <w:r>
              <w:rPr>
                <w:rFonts w:ascii="Times New Roman" w:hAnsi="Times New Roman" w:cs="Times New Roman" w:eastAsia="Times New Roman"/>
                <w:b w:val="0"/>
                <w:i w:val="0"/>
                <w:sz w:val="20"/>
              </w:rPr>
              <w:t>60</w:t>
            </w:r>
          </w:p>
        </w:tc>
      </w:tr>
    </w:tbl>
    <w:p/>
    <w:p>
      <w:pPr>
        <w:spacing w:before="0" w:after="120" w:lineRule="auto" w:line="360"/>
        <w:jc w:val="both"/>
      </w:pPr>
      <w:r>
        <w:rPr>
          <w:rFonts w:ascii="Times New Roman" w:hAnsi="Times New Roman" w:cs="Times New Roman" w:eastAsia="Times New Roman"/>
          <w:b w:val="0"/>
          <w:i w:val="0"/>
          <w:sz w:val="24"/>
        </w:rPr>
        <w:t>Table 4.1 Interpretation: The sample is perfectly balanced in terms of both gender (30 boys, 30 girls) and school type (30 rural, 30 urban). This balance enhances the statistical validity of all subsequent comparative analyses.</w:t>
      </w:r>
    </w:p>
    <w:p>
      <w:pPr>
        <w:spacing w:before="200" w:after="160" w:lineRule="auto" w:line="276"/>
        <w:jc w:val="left"/>
      </w:pPr>
      <w:r>
        <w:rPr>
          <w:rFonts w:ascii="Times New Roman" w:hAnsi="Times New Roman" w:cs="Times New Roman" w:eastAsia="Times New Roman"/>
          <w:b/>
          <w:i w:val="0"/>
          <w:sz w:val="26"/>
        </w:rPr>
        <w:t>4.2.2  Raw Vocational Interest Scores</w:t>
      </w:r>
    </w:p>
    <w:p>
      <w:pPr>
        <w:spacing w:before="0" w:after="120" w:lineRule="auto" w:line="360"/>
        <w:jc w:val="both"/>
      </w:pPr>
      <w:r>
        <w:rPr>
          <w:rFonts w:ascii="Times New Roman" w:hAnsi="Times New Roman" w:cs="Times New Roman" w:eastAsia="Times New Roman"/>
          <w:b w:val="0"/>
          <w:i w:val="0"/>
          <w:sz w:val="24"/>
        </w:rPr>
        <w:t>Tables 4.2 to 4.5 present the individual KVIR scores of all 60 students.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Student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Lit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Sci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Tech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Art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Com</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Exec</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Agri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HH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Soc</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RB01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RB02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RB03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RB04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RB05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RB06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RB08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RB09</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RB10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RB11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RB12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RB14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RB15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ΣX</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256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452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190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136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Mean</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17.07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22.93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12.67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16.40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28.67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9.07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16.00</w:t>
            </w:r>
          </w:p>
        </w:tc>
      </w:tr>
    </w:tbl>
    <w:p/>
    <w:p>
      <w:pPr>
        <w:spacing w:before="0" w:after="120" w:lineRule="auto" w:line="360"/>
        <w:jc w:val="both"/>
      </w:pPr>
      <w:r>
        <w:rPr>
          <w:rFonts w:ascii="Times New Roman" w:hAnsi="Times New Roman" w:cs="Times New Roman" w:eastAsia="Times New Roman"/>
          <w:b w:val="0"/>
          <w:i w:val="0"/>
          <w:sz w:val="24"/>
        </w:rPr>
        <w:t>Table 4.2 – Rural Boys: The highest mean scores are in Technical (30.13) and Agricultural (28.67) areas, confirming that rural boys are strongly oriented towards technical trades and farming-related vocations. Scientific interest (22.93) is moderate. Household interest is the lowest (9.07), reflecting typical gender patterns.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Student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Lit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Sci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Tech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Art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Com</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Exec</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Agri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HH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Soc</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RG01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RG02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RG03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RG04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RG05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RG06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RG08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RG09</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RG10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RG11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RG12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RG14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RG15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ΣX</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378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172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270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462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420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Mean</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25.20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14.93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11.47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28.80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15.47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14.27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18.00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30.80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28.00</w:t>
            </w:r>
          </w:p>
        </w:tc>
      </w:tr>
    </w:tbl>
    <w:p/>
    <w:p>
      <w:pPr>
        <w:spacing w:before="0" w:after="120" w:lineRule="auto" w:line="360"/>
        <w:jc w:val="both"/>
      </w:pPr>
      <w:r>
        <w:rPr>
          <w:rFonts w:ascii="Times New Roman" w:hAnsi="Times New Roman" w:cs="Times New Roman" w:eastAsia="Times New Roman"/>
          <w:b w:val="0"/>
          <w:i w:val="0"/>
          <w:sz w:val="24"/>
        </w:rPr>
        <w:t>Table 4.3 – Rural Girls: Household (30.80), Artistic (28.80), and Social (28.00) are the dominant areas. Technical interest is very low (11.47), and Scientific interest is also low (14.93). This pattern reflects the powerful influence of traditional gender roles and limited vocational exposure in rural communities.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Student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Lit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Sci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Tech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Art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Com</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Exec</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Agri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HH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Soc</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UB01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UB02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UB03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UB04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UB05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UB06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UB08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UB09</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UB10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UB11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UB12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UB14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UB15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ΣX</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452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480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270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370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198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136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302</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Mean</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20.93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32.00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18.00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24.67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27.87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13.20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9.07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20.13</w:t>
            </w:r>
          </w:p>
        </w:tc>
      </w:tr>
    </w:tbl>
    <w:p/>
    <w:p>
      <w:pPr>
        <w:spacing w:before="0" w:after="120" w:lineRule="auto" w:line="360"/>
        <w:jc w:val="both"/>
      </w:pPr>
      <w:r>
        <w:rPr>
          <w:rFonts w:ascii="Times New Roman" w:hAnsi="Times New Roman" w:cs="Times New Roman" w:eastAsia="Times New Roman"/>
          <w:b w:val="0"/>
          <w:i w:val="0"/>
          <w:sz w:val="24"/>
        </w:rPr>
        <w:t>Table 4.4 – Urban Boys: Technical (32.00) and Scientific (30.13) are the top areas, followed by Executive (27.87) and Commercial (24.67). Agricultural interest is low (13.20), reflecting the urban boys’ disconnect from farming occupations. The profile is broader and more diverse than that of rural boys.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Student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Lit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Sci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Tech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Art</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Com</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Exec</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Agri</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HH</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Soc</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UG01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UG02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UG03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UG04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UG05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UG06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UG08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UG09</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UG10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UG11</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UG12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UG14</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32</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UG15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w:t>
            </w:r>
          </w:p>
        </w:tc>
      </w:tr>
      <w:tr>
        <w:tc>
          <w:tcPr>
            <w:tcW w:type="dxa" w:w="864"/>
            <w:shd w:val="clear" w:color="auto" w:fill="FFFFFF"/>
          </w:tcPr>
          <w:p>
            <w:pPr>
              <w:spacing w:before="20" w:after="20"/>
              <w:jc w:val="center"/>
            </w:pPr>
            <w:r>
              <w:rPr>
                <w:rFonts w:ascii="Times New Roman" w:hAnsi="Times New Roman" w:cs="Times New Roman" w:eastAsia="Times New Roman"/>
                <w:b w:val="0"/>
                <w:i w:val="0"/>
                <w:sz w:val="20"/>
              </w:rPr>
              <w:t>ΣX</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418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392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208</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476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370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332</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136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316</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452</w:t>
            </w:r>
          </w:p>
        </w:tc>
      </w:tr>
      <w:tr>
        <w:tc>
          <w:tcPr>
            <w:tcW w:type="dxa" w:w="864"/>
            <w:shd w:val="clear" w:color="auto" w:fill="EBF0FB"/>
          </w:tcPr>
          <w:p>
            <w:pPr>
              <w:spacing w:before="20" w:after="20"/>
              <w:jc w:val="center"/>
            </w:pPr>
            <w:r>
              <w:rPr>
                <w:rFonts w:ascii="Times New Roman" w:hAnsi="Times New Roman" w:cs="Times New Roman" w:eastAsia="Times New Roman"/>
                <w:b w:val="0"/>
                <w:i w:val="0"/>
                <w:sz w:val="20"/>
              </w:rPr>
              <w:t>Mean</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27.87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13.87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31.73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24.67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22.13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9.07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21.07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30.13</w:t>
            </w:r>
          </w:p>
        </w:tc>
      </w:tr>
    </w:tbl>
    <w:p/>
    <w:p>
      <w:pPr>
        <w:spacing w:before="0" w:after="120" w:lineRule="auto" w:line="360"/>
        <w:jc w:val="both"/>
      </w:pPr>
      <w:r>
        <w:rPr>
          <w:rFonts w:ascii="Times New Roman" w:hAnsi="Times New Roman" w:cs="Times New Roman" w:eastAsia="Times New Roman"/>
          <w:b w:val="0"/>
          <w:i w:val="0"/>
          <w:sz w:val="24"/>
        </w:rPr>
        <w:t>Table 4.5 – Urban Girls: Artistic (31.73), Social (30.13), and Literary (27.87) are the dominant areas. Notably, Scientific interest is 26.13 — substantially higher than rural girls’ scientific score of 14.93. Commercial (24.67) and Executive (22.13) interests are also significantly higher than in rural girls, demonstrating the broadening effect of the urban school environment.</w:t>
      </w:r>
    </w:p>
    <w:p>
      <w:pPr>
        <w:spacing w:before="200" w:after="160" w:lineRule="auto" w:line="276"/>
        <w:jc w:val="left"/>
      </w:pPr>
      <w:r>
        <w:rPr>
          <w:rFonts w:ascii="Times New Roman" w:hAnsi="Times New Roman" w:cs="Times New Roman" w:eastAsia="Times New Roman"/>
          <w:b/>
          <w:i w:val="0"/>
          <w:sz w:val="26"/>
        </w:rPr>
        <w:t>4.2.3  Dominant Vocational Interest Areas – Percentage Analysis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No. of Students</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Percentage</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46.67%</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Agricultural</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5</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33.33%</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Scientific</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13.33%</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Executive</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6.67%</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Total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100%</w:t>
            </w:r>
          </w:p>
        </w:tc>
      </w:tr>
    </w:tbl>
    <w:p/>
    <w:p>
      <w:pPr>
        <w:jc w:val="center"/>
      </w:pPr>
      <w:r>
        <w:drawing>
          <wp:inline xmlns:a="http://schemas.openxmlformats.org/drawingml/2006/main" xmlns:pic="http://schemas.openxmlformats.org/drawingml/2006/picture">
            <wp:extent cx="5029200" cy="400283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002833"/>
                    </a:xfrm>
                    <a:prstGeom prst="rect"/>
                  </pic:spPr>
                </pic:pic>
              </a:graphicData>
            </a:graphic>
          </wp:inline>
        </w:drawing>
      </w:r>
    </w:p>
    <w:p>
      <w:pPr>
        <w:spacing w:after="200"/>
        <w:jc w:val="center"/>
      </w:pPr>
      <w:r>
        <w:rPr>
          <w:rFonts w:ascii="Times New Roman" w:hAnsi="Times New Roman" w:cs="Times New Roman" w:eastAsia="Times New Roman"/>
          <w:b w:val="0"/>
          <w:i/>
          <w:sz w:val="20"/>
        </w:rPr>
        <w:t>Figure 4.1: Dominant Vocational Interests of Rural Boys (N=15)</w:t>
      </w:r>
    </w:p>
    <w:p>
      <w:pPr>
        <w:spacing w:before="0" w:after="120" w:lineRule="auto" w:line="360"/>
        <w:jc w:val="both"/>
      </w:pPr>
      <w:r>
        <w:rPr>
          <w:rFonts w:ascii="Times New Roman" w:hAnsi="Times New Roman" w:cs="Times New Roman" w:eastAsia="Times New Roman"/>
          <w:b w:val="0"/>
          <w:i w:val="0"/>
          <w:sz w:val="24"/>
        </w:rPr>
        <w:t>Interpretation: Nearly half of rural boys (46.67%) identified Technical interest as their dominant area, followed by Agricultural (33.33%). This pattern reflects the strong influence of the occupational environment rural boys observe at home and in their community — farming and technical trades being the most visible vocational pathways in a semi-rural setting. Not a single rural boy showed household interest as dominant, confirming strong gender-typical channelling.</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No. of Students</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Percentage</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Household</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6</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40.00%</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Social</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5</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33.33%</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Artistic</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20.00%</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Literary</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6.67%</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Total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100%</w:t>
            </w:r>
          </w:p>
        </w:tc>
      </w:tr>
    </w:tbl>
    <w:p/>
    <w:p>
      <w:pPr>
        <w:jc w:val="center"/>
      </w:pPr>
      <w:r>
        <w:drawing>
          <wp:inline xmlns:a="http://schemas.openxmlformats.org/drawingml/2006/main" xmlns:pic="http://schemas.openxmlformats.org/drawingml/2006/picture">
            <wp:extent cx="5029200" cy="401375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4013754"/>
                    </a:xfrm>
                    <a:prstGeom prst="rect"/>
                  </pic:spPr>
                </pic:pic>
              </a:graphicData>
            </a:graphic>
          </wp:inline>
        </w:drawing>
      </w:r>
    </w:p>
    <w:p>
      <w:pPr>
        <w:spacing w:after="200"/>
        <w:jc w:val="center"/>
      </w:pPr>
      <w:r>
        <w:rPr>
          <w:rFonts w:ascii="Times New Roman" w:hAnsi="Times New Roman" w:cs="Times New Roman" w:eastAsia="Times New Roman"/>
          <w:b w:val="0"/>
          <w:i/>
          <w:sz w:val="20"/>
        </w:rPr>
        <w:t>Figure 4.2: Dominant Vocational Interests of Rural Girls (N=15)</w:t>
      </w:r>
    </w:p>
    <w:p>
      <w:pPr>
        <w:spacing w:before="0" w:after="120" w:lineRule="auto" w:line="360"/>
        <w:jc w:val="both"/>
      </w:pPr>
      <w:r>
        <w:rPr>
          <w:rFonts w:ascii="Times New Roman" w:hAnsi="Times New Roman" w:cs="Times New Roman" w:eastAsia="Times New Roman"/>
          <w:b w:val="0"/>
          <w:i w:val="0"/>
          <w:sz w:val="24"/>
        </w:rPr>
        <w:t>Interpretation: Rural girls’ dominant interests are concentrated in Household (40%), Social (33.33%), and Artistic (20%). Not a single rural girl showed Technical, Scientific, Agricultural, Commercial, or Executive interest as her dominant area. This striking pattern reflects the powerful influence of gender socialisation in rural communities, where girls are primarily prepared for domestic and social roles.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No. of Students</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Percentage</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6</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40.00%</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Scientific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5</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33.33%</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Executive</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20.00%</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Commercial</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6.67%</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Total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100%</w:t>
            </w:r>
          </w:p>
        </w:tc>
      </w:tr>
    </w:tbl>
    <w:p/>
    <w:p>
      <w:pPr>
        <w:jc w:val="center"/>
      </w:pPr>
      <w:r>
        <w:drawing>
          <wp:inline xmlns:a="http://schemas.openxmlformats.org/drawingml/2006/main" xmlns:pic="http://schemas.openxmlformats.org/drawingml/2006/picture">
            <wp:extent cx="5029200" cy="394910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949103"/>
                    </a:xfrm>
                    <a:prstGeom prst="rect"/>
                  </pic:spPr>
                </pic:pic>
              </a:graphicData>
            </a:graphic>
          </wp:inline>
        </w:drawing>
      </w:r>
    </w:p>
    <w:p>
      <w:pPr>
        <w:spacing w:after="200"/>
        <w:jc w:val="center"/>
      </w:pPr>
      <w:r>
        <w:rPr>
          <w:rFonts w:ascii="Times New Roman" w:hAnsi="Times New Roman" w:cs="Times New Roman" w:eastAsia="Times New Roman"/>
          <w:b w:val="0"/>
          <w:i/>
          <w:sz w:val="20"/>
        </w:rPr>
        <w:t>Figure 4.3: Dominant Vocational Interests of Urban Boys (N=15)</w:t>
      </w:r>
    </w:p>
    <w:p>
      <w:pPr>
        <w:spacing w:before="0" w:after="120" w:lineRule="auto" w:line="360"/>
        <w:jc w:val="both"/>
      </w:pPr>
      <w:r>
        <w:rPr>
          <w:rFonts w:ascii="Times New Roman" w:hAnsi="Times New Roman" w:cs="Times New Roman" w:eastAsia="Times New Roman"/>
          <w:b w:val="0"/>
          <w:i w:val="0"/>
          <w:sz w:val="24"/>
        </w:rPr>
        <w:t>Interpretation: Urban boys show a considerably more diversified profile than rural boys. Technical remains dominant (40%), but Scientific interest has emerged strongly (33.33%) and Executive (20%) is notably higher than in the rural sample. The appearance of Commercial interest (6.67%), absent entirely in rural boys’ dominant areas, underscores the broader vocational exposure available in urban CBSE schools.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No. of Students</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Percentage</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Artistic</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5</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33.33%</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Social</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4</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26.67%</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Scientific</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20.00%</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Literary</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13.33%</w:t>
            </w:r>
          </w:p>
        </w:tc>
      </w:tr>
      <w:tr>
        <w:tc>
          <w:tcPr>
            <w:tcW w:type="dxa" w:w="3600"/>
            <w:shd w:val="clear" w:color="auto" w:fill="EBF0FB"/>
          </w:tcPr>
          <w:p>
            <w:pPr>
              <w:spacing w:before="20" w:after="20"/>
              <w:jc w:val="center"/>
            </w:pPr>
            <w:r>
              <w:rPr>
                <w:rFonts w:ascii="Times New Roman" w:hAnsi="Times New Roman" w:cs="Times New Roman" w:eastAsia="Times New Roman"/>
                <w:b w:val="0"/>
                <w:i w:val="0"/>
                <w:sz w:val="20"/>
              </w:rPr>
              <w:t>Commercial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6.67%</w:t>
            </w:r>
          </w:p>
        </w:tc>
      </w:tr>
      <w:tr>
        <w:tc>
          <w:tcPr>
            <w:tcW w:type="dxa" w:w="3600"/>
            <w:shd w:val="clear" w:color="auto" w:fill="FFFFFF"/>
          </w:tcPr>
          <w:p>
            <w:pPr>
              <w:spacing w:before="20" w:after="20"/>
              <w:jc w:val="center"/>
            </w:pPr>
            <w:r>
              <w:rPr>
                <w:rFonts w:ascii="Times New Roman" w:hAnsi="Times New Roman" w:cs="Times New Roman" w:eastAsia="Times New Roman"/>
                <w:b w:val="0"/>
                <w:i w:val="0"/>
                <w:sz w:val="20"/>
              </w:rPr>
              <w:t>Total</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15</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100%</w:t>
            </w:r>
          </w:p>
        </w:tc>
      </w:tr>
    </w:tbl>
    <w:p/>
    <w:p>
      <w:pPr>
        <w:jc w:val="center"/>
      </w:pPr>
      <w:r>
        <w:drawing>
          <wp:inline xmlns:a="http://schemas.openxmlformats.org/drawingml/2006/main" xmlns:pic="http://schemas.openxmlformats.org/drawingml/2006/picture">
            <wp:extent cx="5029200" cy="396507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965070"/>
                    </a:xfrm>
                    <a:prstGeom prst="rect"/>
                  </pic:spPr>
                </pic:pic>
              </a:graphicData>
            </a:graphic>
          </wp:inline>
        </w:drawing>
      </w:r>
    </w:p>
    <w:p>
      <w:pPr>
        <w:spacing w:after="200"/>
        <w:jc w:val="center"/>
      </w:pPr>
      <w:r>
        <w:rPr>
          <w:rFonts w:ascii="Times New Roman" w:hAnsi="Times New Roman" w:cs="Times New Roman" w:eastAsia="Times New Roman"/>
          <w:b w:val="0"/>
          <w:i/>
          <w:sz w:val="20"/>
        </w:rPr>
        <w:t>Figure 4.4: Dominant Vocational Interests of Urban Girls (N=15)</w:t>
      </w:r>
    </w:p>
    <w:p>
      <w:pPr>
        <w:spacing w:before="0" w:after="120" w:lineRule="auto" w:line="360"/>
        <w:jc w:val="both"/>
      </w:pPr>
      <w:r>
        <w:rPr>
          <w:rFonts w:ascii="Times New Roman" w:hAnsi="Times New Roman" w:cs="Times New Roman" w:eastAsia="Times New Roman"/>
          <w:b w:val="0"/>
          <w:i w:val="0"/>
          <w:sz w:val="24"/>
        </w:rPr>
        <w:t>Interpretation: Urban girls show the most diverse dominant interest profile of all four groups. While Artistic (33.33%) and Social (26.67%) dominate, the emergence of Scientific interest as the third-ranked area (20%) is a particularly noteworthy finding — three urban girls identified Science as their primary vocational interest, compared to zero rural girls. This strongly suggests that the urban private school environment is meaningfully expanding girls’ vocational horizons.</w:t>
      </w:r>
    </w:p>
    <w:p>
      <w:pPr>
        <w:spacing w:before="280" w:after="160" w:lineRule="auto" w:line="276"/>
        <w:jc w:val="left"/>
      </w:pPr>
      <w:r>
        <w:rPr>
          <w:rFonts w:ascii="Times New Roman" w:hAnsi="Times New Roman" w:cs="Times New Roman" w:eastAsia="Times New Roman"/>
          <w:b/>
          <w:i w:val="0"/>
          <w:color w:val="8B0000"/>
          <w:sz w:val="28"/>
        </w:rPr>
        <w:t>4.3  Gender-wise Mean Score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Boys Mean (N=30)</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Girls Mean (N=30)</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Difference (B−G)</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Literary</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19.00</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26.53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−7.53</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Scientific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26.53</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20.53</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+6.00</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31.07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12.67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+18.40 ★</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Artistic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15.33</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30.27</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−14.93 ★</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Commercial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20.53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20.07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+0.47</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Executive</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24.00</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18.20</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+5.80</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Agricultural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20.93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13.53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+7.40</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Household</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9.07</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25.93</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−16.87 ★</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Social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18.07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29.07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−11.00</w:t>
            </w:r>
          </w:p>
        </w:tc>
      </w:tr>
    </w:tbl>
    <w:p/>
    <w:p>
      <w:pPr>
        <w:jc w:val="center"/>
      </w:pPr>
      <w:r>
        <w:drawing>
          <wp:inline xmlns:a="http://schemas.openxmlformats.org/drawingml/2006/main" xmlns:pic="http://schemas.openxmlformats.org/drawingml/2006/picture">
            <wp:extent cx="5669280" cy="2760586"/>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760586"/>
                    </a:xfrm>
                    <a:prstGeom prst="rect"/>
                  </pic:spPr>
                </pic:pic>
              </a:graphicData>
            </a:graphic>
          </wp:inline>
        </w:drawing>
      </w:r>
    </w:p>
    <w:p>
      <w:pPr>
        <w:spacing w:after="200"/>
        <w:jc w:val="center"/>
      </w:pPr>
      <w:r>
        <w:rPr>
          <w:rFonts w:ascii="Times New Roman" w:hAnsi="Times New Roman" w:cs="Times New Roman" w:eastAsia="Times New Roman"/>
          <w:b w:val="0"/>
          <w:i/>
          <w:sz w:val="20"/>
        </w:rPr>
        <w:t>Figure 4.5: Mean Score Comparison – Boys vs. Girls (All 9 Areas)</w:t>
      </w:r>
    </w:p>
    <w:p>
      <w:pPr>
        <w:spacing w:before="0" w:after="120" w:lineRule="auto" w:line="360"/>
        <w:jc w:val="both"/>
      </w:pPr>
      <w:r>
        <w:rPr>
          <w:rFonts w:ascii="Times New Roman" w:hAnsi="Times New Roman" w:cs="Times New Roman" w:eastAsia="Times New Roman"/>
          <w:b w:val="0"/>
          <w:i w:val="0"/>
          <w:sz w:val="24"/>
        </w:rPr>
        <w:t>Interpretation of Table 4.10 and Figure 4.5: The most pronounced differences are in Technical (boys M=31.07 vs. girls M=12.67; difference 18.40 points — the largest of all areas), Household (girls M=25.93 vs. boys M=9.07; difference 16.87 points in girls’ favour), Artistic (girls M=30.27 vs. boys M=15.33; difference 14.93 points), and Social (girls M=29.07 vs. boys M=18.07; difference 11.00 points). Commercial interest shows the smallest gender difference (0.47 points), suggesting that business and entrepreneurship interests are increasingly gender-neutral. These patterns align closely with the established international literature (Holland, 1966; Su et al., 2009; Lippa, 1998) and Indian research, confirming the robustness of gender-differentiated vocational interest patterns.</w:t>
      </w:r>
    </w:p>
    <w:p>
      <w:pPr>
        <w:spacing w:before="200" w:after="160" w:lineRule="auto" w:line="276"/>
        <w:jc w:val="left"/>
      </w:pPr>
      <w:r>
        <w:rPr>
          <w:rFonts w:ascii="Times New Roman" w:hAnsi="Times New Roman" w:cs="Times New Roman" w:eastAsia="Times New Roman"/>
          <w:b/>
          <w:i w:val="0"/>
          <w:sz w:val="26"/>
        </w:rPr>
        <w:t>4.3.2  Standard Deviation: Boys vs. Girls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1296"/>
            <w:shd w:val="clear" w:color="auto" w:fill="1a356e"/>
          </w:tcPr>
          <w:p>
            <w:pPr>
              <w:spacing w:before="40" w:after="40"/>
              <w:jc w:val="center"/>
            </w:pPr>
            <w:r>
              <w:rPr>
                <w:rFonts w:ascii="Times New Roman" w:hAnsi="Times New Roman" w:cs="Times New Roman" w:eastAsia="Times New Roman"/>
                <w:b/>
                <w:i w:val="0"/>
                <w:color w:val="FFFFFF"/>
                <w:sz w:val="20"/>
              </w:rPr>
              <w:t>SD Boys</w:t>
            </w:r>
          </w:p>
        </w:tc>
        <w:tc>
          <w:tcPr>
            <w:tcW w:type="dxa" w:w="1296"/>
            <w:shd w:val="clear" w:color="auto" w:fill="1a356e"/>
          </w:tcPr>
          <w:p>
            <w:pPr>
              <w:spacing w:before="40" w:after="40"/>
              <w:jc w:val="center"/>
            </w:pPr>
            <w:r>
              <w:rPr>
                <w:rFonts w:ascii="Times New Roman" w:hAnsi="Times New Roman" w:cs="Times New Roman" w:eastAsia="Times New Roman"/>
                <w:b/>
                <w:i w:val="0"/>
                <w:color w:val="FFFFFF"/>
                <w:sz w:val="20"/>
              </w:rPr>
              <w:t>SD Girls</w:t>
            </w:r>
          </w:p>
        </w:tc>
        <w:tc>
          <w:tcPr>
            <w:tcW w:type="dxa" w:w="4464"/>
            <w:shd w:val="clear" w:color="auto" w:fill="1a356e"/>
          </w:tcPr>
          <w:p>
            <w:pPr>
              <w:spacing w:before="40" w:after="40"/>
              <w:jc w:val="center"/>
            </w:pPr>
            <w:r>
              <w:rPr>
                <w:rFonts w:ascii="Times New Roman" w:hAnsi="Times New Roman" w:cs="Times New Roman" w:eastAsia="Times New Roman"/>
                <w:b/>
                <w:i w:val="0"/>
                <w:color w:val="FFFFFF"/>
                <w:sz w:val="20"/>
              </w:rPr>
              <w:t>Observation</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Literary</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3.12</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2.34</w:t>
            </w:r>
          </w:p>
        </w:tc>
        <w:tc>
          <w:tcPr>
            <w:tcW w:type="dxa" w:w="4464"/>
            <w:shd w:val="clear" w:color="auto" w:fill="EBF0FB"/>
          </w:tcPr>
          <w:p>
            <w:pPr>
              <w:spacing w:before="20" w:after="20"/>
              <w:jc w:val="center"/>
            </w:pPr>
            <w:r>
              <w:rPr>
                <w:rFonts w:ascii="Times New Roman" w:hAnsi="Times New Roman" w:cs="Times New Roman" w:eastAsia="Times New Roman"/>
                <w:b w:val="0"/>
                <w:i w:val="0"/>
                <w:sz w:val="20"/>
              </w:rPr>
              <w:t>Boys slightly more variable</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Scientific</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4.18</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4.82</w:t>
            </w:r>
          </w:p>
        </w:tc>
        <w:tc>
          <w:tcPr>
            <w:tcW w:type="dxa" w:w="4464"/>
            <w:shd w:val="clear" w:color="auto" w:fill="FFFFFF"/>
          </w:tcPr>
          <w:p>
            <w:pPr>
              <w:spacing w:before="20" w:after="20"/>
              <w:jc w:val="center"/>
            </w:pPr>
            <w:r>
              <w:rPr>
                <w:rFonts w:ascii="Times New Roman" w:hAnsi="Times New Roman" w:cs="Times New Roman" w:eastAsia="Times New Roman"/>
                <w:b w:val="0"/>
                <w:i w:val="0"/>
                <w:sz w:val="20"/>
              </w:rPr>
              <w:t>Girls slightly more variable</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2.06</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1.88</w:t>
            </w:r>
          </w:p>
        </w:tc>
        <w:tc>
          <w:tcPr>
            <w:tcW w:type="dxa" w:w="4464"/>
            <w:shd w:val="clear" w:color="auto" w:fill="EBF0FB"/>
          </w:tcPr>
          <w:p>
            <w:pPr>
              <w:spacing w:before="20" w:after="20"/>
              <w:jc w:val="center"/>
            </w:pPr>
            <w:r>
              <w:rPr>
                <w:rFonts w:ascii="Times New Roman" w:hAnsi="Times New Roman" w:cs="Times New Roman" w:eastAsia="Times New Roman"/>
                <w:b w:val="0"/>
                <w:i w:val="0"/>
                <w:sz w:val="20"/>
              </w:rPr>
              <w:t>Both low — consensus in gender pattern</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Artistic</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3.24</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2.16</w:t>
            </w:r>
          </w:p>
        </w:tc>
        <w:tc>
          <w:tcPr>
            <w:tcW w:type="dxa" w:w="4464"/>
            <w:shd w:val="clear" w:color="auto" w:fill="FFFFFF"/>
          </w:tcPr>
          <w:p>
            <w:pPr>
              <w:spacing w:before="20" w:after="20"/>
              <w:jc w:val="center"/>
            </w:pPr>
            <w:r>
              <w:rPr>
                <w:rFonts w:ascii="Times New Roman" w:hAnsi="Times New Roman" w:cs="Times New Roman" w:eastAsia="Times New Roman"/>
                <w:b w:val="0"/>
                <w:i w:val="0"/>
                <w:sz w:val="20"/>
              </w:rPr>
              <w:t>Boys more variable</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Commercial</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4.46</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4.98</w:t>
            </w:r>
          </w:p>
        </w:tc>
        <w:tc>
          <w:tcPr>
            <w:tcW w:type="dxa" w:w="4464"/>
            <w:shd w:val="clear" w:color="auto" w:fill="EBF0FB"/>
          </w:tcPr>
          <w:p>
            <w:pPr>
              <w:spacing w:before="20" w:after="20"/>
              <w:jc w:val="center"/>
            </w:pPr>
            <w:r>
              <w:rPr>
                <w:rFonts w:ascii="Times New Roman" w:hAnsi="Times New Roman" w:cs="Times New Roman" w:eastAsia="Times New Roman"/>
                <w:b w:val="0"/>
                <w:i w:val="0"/>
                <w:sz w:val="20"/>
              </w:rPr>
              <w:t>Both high — wide individual differences</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Executive</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4.32</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4.18</w:t>
            </w:r>
          </w:p>
        </w:tc>
        <w:tc>
          <w:tcPr>
            <w:tcW w:type="dxa" w:w="4464"/>
            <w:shd w:val="clear" w:color="auto" w:fill="FFFFFF"/>
          </w:tcPr>
          <w:p>
            <w:pPr>
              <w:spacing w:before="20" w:after="20"/>
              <w:jc w:val="center"/>
            </w:pPr>
            <w:r>
              <w:rPr>
                <w:rFonts w:ascii="Times New Roman" w:hAnsi="Times New Roman" w:cs="Times New Roman" w:eastAsia="Times New Roman"/>
                <w:b w:val="0"/>
                <w:i w:val="0"/>
                <w:sz w:val="20"/>
              </w:rPr>
              <w:t>Comparable variability</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Agricultural</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6.24</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2.12</w:t>
            </w:r>
          </w:p>
        </w:tc>
        <w:tc>
          <w:tcPr>
            <w:tcW w:type="dxa" w:w="4464"/>
            <w:shd w:val="clear" w:color="auto" w:fill="EBF0FB"/>
          </w:tcPr>
          <w:p>
            <w:pPr>
              <w:spacing w:before="20" w:after="20"/>
              <w:jc w:val="center"/>
            </w:pPr>
            <w:r>
              <w:rPr>
                <w:rFonts w:ascii="Times New Roman" w:hAnsi="Times New Roman" w:cs="Times New Roman" w:eastAsia="Times New Roman"/>
                <w:b w:val="0"/>
                <w:i w:val="0"/>
                <w:sz w:val="20"/>
              </w:rPr>
              <w:t>Boys much more variable</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Household</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1.04</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4.86</w:t>
            </w:r>
          </w:p>
        </w:tc>
        <w:tc>
          <w:tcPr>
            <w:tcW w:type="dxa" w:w="4464"/>
            <w:shd w:val="clear" w:color="auto" w:fill="FFFFFF"/>
          </w:tcPr>
          <w:p>
            <w:pPr>
              <w:spacing w:before="20" w:after="20"/>
              <w:jc w:val="center"/>
            </w:pPr>
            <w:r>
              <w:rPr>
                <w:rFonts w:ascii="Times New Roman" w:hAnsi="Times New Roman" w:cs="Times New Roman" w:eastAsia="Times New Roman"/>
                <w:b w:val="0"/>
                <w:i w:val="0"/>
                <w:sz w:val="20"/>
              </w:rPr>
              <w:t>Boys uniform low; girls varied</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Social</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3.68</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2.44</w:t>
            </w:r>
          </w:p>
        </w:tc>
        <w:tc>
          <w:tcPr>
            <w:tcW w:type="dxa" w:w="4464"/>
            <w:shd w:val="clear" w:color="auto" w:fill="EBF0FB"/>
          </w:tcPr>
          <w:p>
            <w:pPr>
              <w:spacing w:before="20" w:after="20"/>
              <w:jc w:val="center"/>
            </w:pPr>
            <w:r>
              <w:rPr>
                <w:rFonts w:ascii="Times New Roman" w:hAnsi="Times New Roman" w:cs="Times New Roman" w:eastAsia="Times New Roman"/>
                <w:b w:val="0"/>
                <w:i w:val="0"/>
                <w:sz w:val="20"/>
              </w:rPr>
              <w:t>Boys more variable</w:t>
            </w:r>
          </w:p>
        </w:tc>
      </w:tr>
    </w:tbl>
    <w:p/>
    <w:p>
      <w:pPr>
        <w:jc w:val="center"/>
      </w:pPr>
      <w:r>
        <w:drawing>
          <wp:inline xmlns:a="http://schemas.openxmlformats.org/drawingml/2006/main" xmlns:pic="http://schemas.openxmlformats.org/drawingml/2006/picture">
            <wp:extent cx="5669280" cy="2786877"/>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786877"/>
                    </a:xfrm>
                    <a:prstGeom prst="rect"/>
                  </pic:spPr>
                </pic:pic>
              </a:graphicData>
            </a:graphic>
          </wp:inline>
        </w:drawing>
      </w:r>
    </w:p>
    <w:p>
      <w:pPr>
        <w:spacing w:after="200"/>
        <w:jc w:val="center"/>
      </w:pPr>
      <w:r>
        <w:rPr>
          <w:rFonts w:ascii="Times New Roman" w:hAnsi="Times New Roman" w:cs="Times New Roman" w:eastAsia="Times New Roman"/>
          <w:b w:val="0"/>
          <w:i/>
          <w:sz w:val="20"/>
        </w:rPr>
        <w:t>Figure 4.6: Standard Deviation Comparison – Boys vs. Girls</w:t>
      </w:r>
    </w:p>
    <w:p>
      <w:pPr>
        <w:spacing w:before="0" w:after="120" w:lineRule="auto" w:line="360"/>
        <w:jc w:val="both"/>
      </w:pPr>
      <w:r>
        <w:rPr>
          <w:rFonts w:ascii="Times New Roman" w:hAnsi="Times New Roman" w:cs="Times New Roman" w:eastAsia="Times New Roman"/>
          <w:b w:val="0"/>
          <w:i w:val="0"/>
          <w:sz w:val="24"/>
        </w:rPr>
        <w:t>Interpretation: Low SD in Technical for both groups (2.06 and 1.88) indicates that all boys score similarly high and all girls score similarly low — almost no individual exceptions. The very high SD for Agricultural interest among boys (6.24) reveals a split between rural boys (very high) and urban boys (very low), making geographic location a key moderator. Girls show high variability in Household interest (SD=4.86), reflecting the rural-urban difference within the female group.</w:t>
      </w:r>
    </w:p>
    <w:p>
      <w:pPr>
        <w:spacing w:before="280" w:after="160" w:lineRule="auto" w:line="276"/>
        <w:jc w:val="left"/>
      </w:pPr>
      <w:r>
        <w:rPr>
          <w:rFonts w:ascii="Times New Roman" w:hAnsi="Times New Roman" w:cs="Times New Roman" w:eastAsia="Times New Roman"/>
          <w:b/>
          <w:i w:val="0"/>
          <w:color w:val="8B0000"/>
          <w:sz w:val="28"/>
        </w:rPr>
        <w:t>4.4  Rural vs. Urban Comparison</w:t>
      </w:r>
    </w:p>
    <w:p>
      <w:pPr>
        <w:spacing w:before="200" w:after="160" w:lineRule="auto" w:line="276"/>
        <w:jc w:val="left"/>
      </w:pPr>
      <w:r>
        <w:rPr>
          <w:rFonts w:ascii="Times New Roman" w:hAnsi="Times New Roman" w:cs="Times New Roman" w:eastAsia="Times New Roman"/>
          <w:b/>
          <w:i w:val="0"/>
          <w:sz w:val="26"/>
        </w:rPr>
        <w:t>4.4.1  Rural Boys vs. Urban Boys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Rural Boys Mean</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Urban Boys Mean</w:t>
            </w:r>
          </w:p>
        </w:tc>
        <w:tc>
          <w:tcPr>
            <w:tcW w:type="dxa" w:w="2736"/>
            <w:shd w:val="clear" w:color="auto" w:fill="1a356e"/>
          </w:tcPr>
          <w:p>
            <w:pPr>
              <w:spacing w:before="40" w:after="40"/>
              <w:jc w:val="center"/>
            </w:pPr>
            <w:r>
              <w:rPr>
                <w:rFonts w:ascii="Times New Roman" w:hAnsi="Times New Roman" w:cs="Times New Roman" w:eastAsia="Times New Roman"/>
                <w:b/>
                <w:i w:val="0"/>
                <w:color w:val="FFFFFF"/>
                <w:sz w:val="20"/>
              </w:rPr>
              <w:t>Difference (U−R)</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Literary</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17.07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20.93</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+3.87</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Scientific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22.93</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30.13</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+7.20 ★</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30.13</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32.00</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+1.87</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Artistic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12.67</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18.00</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+5.33</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Commercial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16.40</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24.67</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+8.27 ★</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Executive</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20.13</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27.87</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+7.73 ★</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Agricultural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28.67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13.20</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−15.47 ★</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Household</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9.07</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9.07</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0.00</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Social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16.00</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20.13</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+4.13</w:t>
            </w:r>
          </w:p>
        </w:tc>
      </w:tr>
    </w:tbl>
    <w:p/>
    <w:p>
      <w:pPr>
        <w:jc w:val="center"/>
      </w:pPr>
      <w:r>
        <w:drawing>
          <wp:inline xmlns:a="http://schemas.openxmlformats.org/drawingml/2006/main" xmlns:pic="http://schemas.openxmlformats.org/drawingml/2006/picture">
            <wp:extent cx="5669280" cy="2760586"/>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760586"/>
                    </a:xfrm>
                    <a:prstGeom prst="rect"/>
                  </pic:spPr>
                </pic:pic>
              </a:graphicData>
            </a:graphic>
          </wp:inline>
        </w:drawing>
      </w:r>
    </w:p>
    <w:p>
      <w:pPr>
        <w:spacing w:after="200"/>
        <w:jc w:val="center"/>
      </w:pPr>
      <w:r>
        <w:rPr>
          <w:rFonts w:ascii="Times New Roman" w:hAnsi="Times New Roman" w:cs="Times New Roman" w:eastAsia="Times New Roman"/>
          <w:b w:val="0"/>
          <w:i/>
          <w:sz w:val="20"/>
        </w:rPr>
        <w:t>Figure 4.7: Comparative Bar Graph – Rural Boys vs. Urban Boys</w:t>
      </w:r>
    </w:p>
    <w:p>
      <w:pPr>
        <w:spacing w:before="0" w:after="120" w:lineRule="auto" w:line="360"/>
        <w:jc w:val="both"/>
      </w:pPr>
      <w:r>
        <w:rPr>
          <w:rFonts w:ascii="Times New Roman" w:hAnsi="Times New Roman" w:cs="Times New Roman" w:eastAsia="Times New Roman"/>
          <w:b w:val="0"/>
          <w:i w:val="0"/>
          <w:sz w:val="24"/>
        </w:rPr>
        <w:t>Interpretation: Agricultural interest shows the most dramatic difference — rural boys (M=28.67) score 15.47 points higher than urban boys (M=13.20), the single most striking rural-urban finding in the entire study. Commercial (+8.27) and Executive (+7.73) interests are substantially higher among urban boys, reflecting greater exposure to business and leadership role models. Scientific interest is notably higher among urban boys (+7.20), consistent with superior science infrastructure at the CBSE school. Household interest is identical (9.07) for both groups, showing no rural-urban differentiation among boys on this dimension.</w:t>
      </w:r>
    </w:p>
    <w:p>
      <w:pPr>
        <w:spacing w:before="200" w:after="160" w:lineRule="auto" w:line="276"/>
        <w:jc w:val="left"/>
      </w:pPr>
      <w:r>
        <w:rPr>
          <w:rFonts w:ascii="Times New Roman" w:hAnsi="Times New Roman" w:cs="Times New Roman" w:eastAsia="Times New Roman"/>
          <w:b/>
          <w:i w:val="0"/>
          <w:sz w:val="26"/>
        </w:rPr>
        <w:t>4.4.2  Rural Girls vs. Urban Girls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a356e"/>
          </w:tcPr>
          <w:p>
            <w:pPr>
              <w:spacing w:before="40" w:after="40"/>
              <w:jc w:val="center"/>
            </w:pPr>
            <w:r>
              <w:rPr>
                <w:rFonts w:ascii="Times New Roman" w:hAnsi="Times New Roman" w:cs="Times New Roman" w:eastAsia="Times New Roman"/>
                <w:b/>
                <w:i w:val="0"/>
                <w:color w:val="FFFFFF"/>
                <w:sz w:val="20"/>
              </w:rPr>
              <w:t>Vocational Area</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Rural Girls Mean</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Urban Girls Mean</w:t>
            </w:r>
          </w:p>
        </w:tc>
        <w:tc>
          <w:tcPr>
            <w:tcW w:type="dxa" w:w="2736"/>
            <w:shd w:val="clear" w:color="auto" w:fill="1a356e"/>
          </w:tcPr>
          <w:p>
            <w:pPr>
              <w:spacing w:before="40" w:after="40"/>
              <w:jc w:val="center"/>
            </w:pPr>
            <w:r>
              <w:rPr>
                <w:rFonts w:ascii="Times New Roman" w:hAnsi="Times New Roman" w:cs="Times New Roman" w:eastAsia="Times New Roman"/>
                <w:b/>
                <w:i w:val="0"/>
                <w:color w:val="FFFFFF"/>
                <w:sz w:val="20"/>
              </w:rPr>
              <w:t>Difference (U−R)</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Literary</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25.20</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27.87</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+2.67</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Scientific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14.93</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26.13</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+11.20 ★</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11.47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13.87</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+2.40</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Artistic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28.80</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31.73</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+2.93</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Commercial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15.47</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24.67</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+9.20 ★</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Executive</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14.27</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22.13</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+7.87 ★</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Agricultural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18.00</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9.07</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−8.93 ★</w:t>
            </w:r>
          </w:p>
        </w:tc>
      </w:tr>
      <w:tr>
        <w:tc>
          <w:tcPr>
            <w:tcW w:type="dxa" w:w="2592"/>
            <w:shd w:val="clear" w:color="auto" w:fill="FFFFFF"/>
          </w:tcPr>
          <w:p>
            <w:pPr>
              <w:spacing w:before="20" w:after="20"/>
              <w:jc w:val="center"/>
            </w:pPr>
            <w:r>
              <w:rPr>
                <w:rFonts w:ascii="Times New Roman" w:hAnsi="Times New Roman" w:cs="Times New Roman" w:eastAsia="Times New Roman"/>
                <w:b w:val="0"/>
                <w:i w:val="0"/>
                <w:sz w:val="20"/>
              </w:rPr>
              <w:t>Household</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30.80</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21.07</w:t>
            </w:r>
          </w:p>
        </w:tc>
        <w:tc>
          <w:tcPr>
            <w:tcW w:type="dxa" w:w="2736"/>
            <w:shd w:val="clear" w:color="auto" w:fill="FFFFFF"/>
          </w:tcPr>
          <w:p>
            <w:pPr>
              <w:spacing w:before="20" w:after="20"/>
              <w:jc w:val="center"/>
            </w:pPr>
            <w:r>
              <w:rPr>
                <w:rFonts w:ascii="Times New Roman" w:hAnsi="Times New Roman" w:cs="Times New Roman" w:eastAsia="Times New Roman"/>
                <w:b w:val="0"/>
                <w:i w:val="0"/>
                <w:sz w:val="20"/>
              </w:rPr>
              <w:t>−9.73 ★</w:t>
            </w:r>
          </w:p>
        </w:tc>
      </w:tr>
      <w:tr>
        <w:tc>
          <w:tcPr>
            <w:tcW w:type="dxa" w:w="2592"/>
            <w:shd w:val="clear" w:color="auto" w:fill="EBF0FB"/>
          </w:tcPr>
          <w:p>
            <w:pPr>
              <w:spacing w:before="20" w:after="20"/>
              <w:jc w:val="center"/>
            </w:pPr>
            <w:r>
              <w:rPr>
                <w:rFonts w:ascii="Times New Roman" w:hAnsi="Times New Roman" w:cs="Times New Roman" w:eastAsia="Times New Roman"/>
                <w:b w:val="0"/>
                <w:i w:val="0"/>
                <w:sz w:val="20"/>
              </w:rPr>
              <w:t>Social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28.00</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30.13</w:t>
            </w:r>
          </w:p>
        </w:tc>
        <w:tc>
          <w:tcPr>
            <w:tcW w:type="dxa" w:w="2736"/>
            <w:shd w:val="clear" w:color="auto" w:fill="EBF0FB"/>
          </w:tcPr>
          <w:p>
            <w:pPr>
              <w:spacing w:before="20" w:after="20"/>
              <w:jc w:val="center"/>
            </w:pPr>
            <w:r>
              <w:rPr>
                <w:rFonts w:ascii="Times New Roman" w:hAnsi="Times New Roman" w:cs="Times New Roman" w:eastAsia="Times New Roman"/>
                <w:b w:val="0"/>
                <w:i w:val="0"/>
                <w:sz w:val="20"/>
              </w:rPr>
              <w:t>+2.13</w:t>
            </w:r>
          </w:p>
        </w:tc>
      </w:tr>
    </w:tbl>
    <w:p/>
    <w:p>
      <w:pPr>
        <w:jc w:val="center"/>
      </w:pPr>
      <w:r>
        <w:drawing>
          <wp:inline xmlns:a="http://schemas.openxmlformats.org/drawingml/2006/main" xmlns:pic="http://schemas.openxmlformats.org/drawingml/2006/picture">
            <wp:extent cx="5669280" cy="2760586"/>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760586"/>
                    </a:xfrm>
                    <a:prstGeom prst="rect"/>
                  </pic:spPr>
                </pic:pic>
              </a:graphicData>
            </a:graphic>
          </wp:inline>
        </w:drawing>
      </w:r>
    </w:p>
    <w:p>
      <w:pPr>
        <w:spacing w:after="200"/>
        <w:jc w:val="center"/>
      </w:pPr>
      <w:r>
        <w:rPr>
          <w:rFonts w:ascii="Times New Roman" w:hAnsi="Times New Roman" w:cs="Times New Roman" w:eastAsia="Times New Roman"/>
          <w:b w:val="0"/>
          <w:i/>
          <w:sz w:val="20"/>
        </w:rPr>
        <w:t>Figure 4.8: Comparative Bar Graph – Rural Girls vs. Urban Girls</w:t>
      </w:r>
    </w:p>
    <w:p>
      <w:pPr>
        <w:spacing w:before="0" w:after="120" w:lineRule="auto" w:line="360"/>
        <w:jc w:val="both"/>
      </w:pPr>
      <w:r>
        <w:rPr>
          <w:rFonts w:ascii="Times New Roman" w:hAnsi="Times New Roman" w:cs="Times New Roman" w:eastAsia="Times New Roman"/>
          <w:b w:val="0"/>
          <w:i w:val="0"/>
          <w:sz w:val="24"/>
        </w:rPr>
        <w:t>Interpretation: The rural-urban comparison for girls is the most illuminating finding in the entire study. Scientific interest shows the largest urban advantage (+11.20 points) — urban girls (M=26.13) dramatically outscoring rural girls (M=14.93). This gap almost certainly reflects better science education, more encouragement from teachers, and greater career awareness at the CBSE school. Household interest shows the largest rural advantage (rural M=30.80 vs. urban M=21.07; difference 9.73 points), reflecting deeper domestic role expectations in rural communities. Commercial (+9.20) and Executive (+7.87) interests are substantially higher among urban girls. The finding that urban girls are considerably higher in scientific, commercial, and executive interests while the overall gender pattern is maintained strongly suggests that school environment moderates the expression of gender-differentiated interests rather than eliminating them.</w:t>
      </w:r>
    </w:p>
    <w:p>
      <w:pPr>
        <w:jc w:val="center"/>
      </w:pPr>
      <w:r>
        <w:drawing>
          <wp:inline xmlns:a="http://schemas.openxmlformats.org/drawingml/2006/main" xmlns:pic="http://schemas.openxmlformats.org/drawingml/2006/picture">
            <wp:extent cx="5943600" cy="2691233"/>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2691233"/>
                    </a:xfrm>
                    <a:prstGeom prst="rect"/>
                  </pic:spPr>
                </pic:pic>
              </a:graphicData>
            </a:graphic>
          </wp:inline>
        </w:drawing>
      </w:r>
    </w:p>
    <w:p>
      <w:pPr>
        <w:spacing w:after="200"/>
        <w:jc w:val="center"/>
      </w:pPr>
      <w:r>
        <w:rPr>
          <w:rFonts w:ascii="Times New Roman" w:hAnsi="Times New Roman" w:cs="Times New Roman" w:eastAsia="Times New Roman"/>
          <w:b w:val="0"/>
          <w:i/>
          <w:sz w:val="20"/>
        </w:rPr>
        <w:t>Figure 4.9 (Figure 4.7 in text): Four-Group Comparative Bar Graph – All Areas</w:t>
      </w:r>
    </w:p>
    <w:p>
      <w:pPr>
        <w:jc w:val="center"/>
      </w:pPr>
      <w:r>
        <w:drawing>
          <wp:inline xmlns:a="http://schemas.openxmlformats.org/drawingml/2006/main" xmlns:pic="http://schemas.openxmlformats.org/drawingml/2006/picture">
            <wp:extent cx="5943600" cy="2898475"/>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898475"/>
                    </a:xfrm>
                    <a:prstGeom prst="rect"/>
                  </pic:spPr>
                </pic:pic>
              </a:graphicData>
            </a:graphic>
          </wp:inline>
        </w:drawing>
      </w:r>
    </w:p>
    <w:p>
      <w:pPr>
        <w:spacing w:after="200"/>
        <w:jc w:val="center"/>
      </w:pPr>
      <w:r>
        <w:rPr>
          <w:rFonts w:ascii="Times New Roman" w:hAnsi="Times New Roman" w:cs="Times New Roman" w:eastAsia="Times New Roman"/>
          <w:b w:val="0"/>
          <w:i/>
          <w:sz w:val="20"/>
        </w:rPr>
        <w:t>Figure 4.10: Interest Profile Line Graph – Rural Boys, Rural Girls, Urban Boys, Urban Girls</w:t>
      </w:r>
    </w:p>
    <w:p>
      <w:pPr>
        <w:spacing w:before="0" w:after="120" w:lineRule="auto" w:line="360"/>
        <w:jc w:val="both"/>
      </w:pPr>
      <w:r>
        <w:rPr>
          <w:rFonts w:ascii="Times New Roman" w:hAnsi="Times New Roman" w:cs="Times New Roman" w:eastAsia="Times New Roman"/>
          <w:b w:val="0"/>
          <w:i w:val="0"/>
          <w:sz w:val="24"/>
        </w:rPr>
        <w:t>Interpretation of Line Graph: The line graph powerfully visualises the divergence and convergence of interest profiles across the four groups. Two major patterns are immediately visible: (1) Gender divergence on Technical (boys dramatically higher) and Household/Artistic/Social (girls dramatically higher) — a clear V-shaped separation between male and female lines; (2) Location convergence on Technical (both rural and urban boys score very high, nearly overlapping) and Household (both rural and urban girls score moderately to high). The most striking feature is the large ‘scissors’ pattern between Technical (boys peak, girls trough) and Household/Artistic (girls peak, boys trough), graphically representing the ‘People-Things’ dimension of gender interest differentiation (Lippa, 1998).</w:t>
      </w:r>
    </w:p>
    <w:p>
      <w:pPr>
        <w:spacing w:before="280" w:after="160" w:lineRule="auto" w:line="276"/>
        <w:jc w:val="left"/>
      </w:pPr>
      <w:r>
        <w:rPr>
          <w:rFonts w:ascii="Times New Roman" w:hAnsi="Times New Roman" w:cs="Times New Roman" w:eastAsia="Times New Roman"/>
          <w:b/>
          <w:i w:val="0"/>
          <w:color w:val="8B0000"/>
          <w:sz w:val="28"/>
        </w:rPr>
        <w:t>4.5  t-test Analysis and Hypothesis Testing</w:t>
      </w:r>
    </w:p>
    <w:p>
      <w:pPr>
        <w:spacing w:before="0" w:after="120" w:lineRule="auto" w:line="360"/>
        <w:jc w:val="both"/>
      </w:pPr>
      <w:r>
        <w:rPr>
          <w:rFonts w:ascii="Times New Roman" w:hAnsi="Times New Roman" w:cs="Times New Roman" w:eastAsia="Times New Roman"/>
          <w:b w:val="0"/>
          <w:i w:val="0"/>
          <w:sz w:val="24"/>
        </w:rPr>
        <w:t>The t-test for independent samples was applied to test the seven null hypotheses. For all tests: N₁ = N₂ = 30; df = 58; Critical value of t at α = 0.05 (two-tailed) = 2.002. The null hypothesis is rejected if |t| &gt; 2.002.</w:t>
      </w:r>
    </w:p>
    <w:p>
      <w:pPr>
        <w:spacing w:before="200" w:after="160" w:lineRule="auto" w:line="276"/>
        <w:jc w:val="left"/>
      </w:pPr>
      <w:r>
        <w:rPr>
          <w:rFonts w:ascii="Times New Roman" w:hAnsi="Times New Roman" w:cs="Times New Roman" w:eastAsia="Times New Roman"/>
          <w:b/>
          <w:i w:val="0"/>
          <w:sz w:val="26"/>
        </w:rPr>
        <w:t>4.5.1  Hypothesis 1</w:t>
      </w:r>
    </w:p>
    <w:p>
      <w:pPr>
        <w:spacing w:before="0" w:after="120" w:lineRule="auto" w:line="360"/>
        <w:jc w:val="both"/>
      </w:pPr>
      <w:r>
        <w:rPr>
          <w:rFonts w:ascii="Times New Roman" w:hAnsi="Times New Roman" w:cs="Times New Roman" w:eastAsia="Times New Roman"/>
          <w:b w:val="0"/>
          <w:i/>
          <w:sz w:val="24"/>
        </w:rPr>
        <w:t>H₀₁: There is no significant difference in the mean technical vocational interest scores of boys and girls at the secondary level.</w:t>
      </w:r>
    </w:p>
    <w:p>
      <w:pPr>
        <w:spacing w:before="0" w:after="120" w:lineRule="auto" w:line="360"/>
        <w:jc w:val="both"/>
      </w:pPr>
      <w:r>
        <w:rPr>
          <w:rFonts w:ascii="Times New Roman" w:hAnsi="Times New Roman" w:cs="Times New Roman" w:eastAsia="Times New Roman"/>
          <w:b w:val="0"/>
          <w:i w:val="0"/>
          <w:sz w:val="24"/>
        </w:rPr>
        <w:t>Calculation: M₁ (Boys) = 31.07; M₂ (Girls) = 12.67; SD₁ = 2.06; SD₂ = 1.88; N₁ = N₂ = 30. SE = √(SD₁²/N₁ + SD₂²/N₂) = 0.509; t = (M₁ − M₂) / SE = 18.40 / 0.509 = 36.15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Group</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Mean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SD</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Calculated t</w:t>
            </w:r>
          </w:p>
        </w:tc>
        <w:tc>
          <w:tcPr>
            <w:tcW w:type="dxa" w:w="1728"/>
            <w:shd w:val="clear" w:color="auto" w:fill="1a356e"/>
          </w:tcPr>
          <w:p>
            <w:pPr>
              <w:spacing w:before="40" w:after="40"/>
              <w:jc w:val="center"/>
            </w:pPr>
            <w:r>
              <w:rPr>
                <w:rFonts w:ascii="Times New Roman" w:hAnsi="Times New Roman" w:cs="Times New Roman" w:eastAsia="Times New Roman"/>
                <w:b/>
                <w:i w:val="0"/>
                <w:color w:val="FFFFFF"/>
                <w:sz w:val="20"/>
              </w:rPr>
              <w:t>Critical t (0.05)</w:t>
            </w:r>
          </w:p>
        </w:tc>
        <w:tc>
          <w:tcPr>
            <w:tcW w:type="dxa" w:w="201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1584"/>
            <w:shd w:val="clear" w:color="auto" w:fill="EBF0FB"/>
          </w:tcPr>
          <w:p>
            <w:pPr>
              <w:spacing w:before="20" w:after="20"/>
              <w:jc w:val="center"/>
            </w:pPr>
            <w:r>
              <w:rPr>
                <w:rFonts w:ascii="Times New Roman" w:hAnsi="Times New Roman" w:cs="Times New Roman" w:eastAsia="Times New Roman"/>
                <w:b w:val="0"/>
                <w:i w:val="0"/>
                <w:sz w:val="20"/>
              </w:rPr>
              <w:t>Boys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31.07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2.06</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36.15</w:t>
            </w:r>
          </w:p>
        </w:tc>
        <w:tc>
          <w:tcPr>
            <w:tcW w:type="dxa" w:w="1728"/>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201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1584"/>
            <w:shd w:val="clear" w:color="auto" w:fill="FFFFFF"/>
          </w:tcPr>
          <w:p>
            <w:pPr>
              <w:spacing w:before="20" w:after="20"/>
              <w:jc w:val="center"/>
            </w:pPr>
            <w:r>
              <w:rPr>
                <w:rFonts w:ascii="Times New Roman" w:hAnsi="Times New Roman" w:cs="Times New Roman" w:eastAsia="Times New Roman"/>
                <w:b w:val="0"/>
                <w:i w:val="0"/>
                <w:sz w:val="20"/>
              </w:rPr>
              <w:t>Girls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12.67</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1.88</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r>
          </w:p>
        </w:tc>
        <w:tc>
          <w:tcPr>
            <w:tcW w:type="dxa" w:w="1728"/>
            <w:shd w:val="clear" w:color="auto" w:fill="FFFFFF"/>
          </w:tcPr>
          <w:p>
            <w:pPr>
              <w:spacing w:before="20" w:after="20"/>
              <w:jc w:val="center"/>
            </w:pPr>
            <w:r>
              <w:rPr>
                <w:rFonts w:ascii="Times New Roman" w:hAnsi="Times New Roman" w:cs="Times New Roman" w:eastAsia="Times New Roman"/>
                <w:b w:val="0"/>
                <w:i w:val="0"/>
                <w:sz w:val="20"/>
              </w:rPr>
            </w:r>
          </w:p>
        </w:tc>
        <w:tc>
          <w:tcPr>
            <w:tcW w:type="dxa" w:w="2016"/>
            <w:shd w:val="clear" w:color="auto" w:fill="FFFFFF"/>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There is a highly significant difference in technical vocational interest between boys and girls (t = 36.15; p &lt; 0.001). Boys score dramatically higher (M = 31.07) than girls (M = 12.67) — a difference of 18.40 points. The t-value of 36.15 is extraordinarily large, indicating near-total separation between boys’ and girls’ technical interest distributions. This confirms that technical interest is the most gender-differentiated vocational area in this sample. The low SDs (2.06 and 1.88) further indicate that this is not driven by outliers but reflects a consistent, universal pattern within both gender groups. Educational implication: Targeted programmes to introduce girls to technical occupations — through workshops, field visits to ITIs and engineering colleges, and exposure to female role models in technical fields — are urgently needed.</w:t>
      </w:r>
    </w:p>
    <w:p>
      <w:pPr>
        <w:spacing w:before="200" w:after="160" w:lineRule="auto" w:line="276"/>
        <w:jc w:val="left"/>
      </w:pPr>
      <w:r>
        <w:rPr>
          <w:rFonts w:ascii="Times New Roman" w:hAnsi="Times New Roman" w:cs="Times New Roman" w:eastAsia="Times New Roman"/>
          <w:b/>
          <w:i w:val="0"/>
          <w:sz w:val="26"/>
        </w:rPr>
        <w:t>4.5.2  Hypothesis 2</w:t>
      </w:r>
    </w:p>
    <w:p>
      <w:pPr>
        <w:spacing w:before="0" w:after="120" w:lineRule="auto" w:line="360"/>
        <w:jc w:val="both"/>
      </w:pPr>
      <w:r>
        <w:rPr>
          <w:rFonts w:ascii="Times New Roman" w:hAnsi="Times New Roman" w:cs="Times New Roman" w:eastAsia="Times New Roman"/>
          <w:b w:val="0"/>
          <w:i/>
          <w:sz w:val="24"/>
        </w:rPr>
        <w:t>H₀₂: There is no significant difference in the mean scientific vocational interest scores of boys and girls at the secondary level.</w:t>
      </w:r>
    </w:p>
    <w:p>
      <w:pPr>
        <w:spacing w:before="0" w:after="120" w:lineRule="auto" w:line="360"/>
        <w:jc w:val="both"/>
      </w:pPr>
      <w:r>
        <w:rPr>
          <w:rFonts w:ascii="Times New Roman" w:hAnsi="Times New Roman" w:cs="Times New Roman" w:eastAsia="Times New Roman"/>
          <w:b w:val="0"/>
          <w:i w:val="0"/>
          <w:sz w:val="24"/>
        </w:rPr>
        <w:t>Calculation: M₁ (Boys) = 26.53; M₂ (Girls) = 20.53; SD₁ = 4.18; SD₂ = 4.82; N₁ = N₂ = 30. SE = √(SD₁²/N₁ + SD₂²/N₂) = 1.165; t = (M₁ − M₂) / SE = 6.00 / 1.165 = 5.15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Group</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Mean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SD</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Calculated t</w:t>
            </w:r>
          </w:p>
        </w:tc>
        <w:tc>
          <w:tcPr>
            <w:tcW w:type="dxa" w:w="1728"/>
            <w:shd w:val="clear" w:color="auto" w:fill="1a356e"/>
          </w:tcPr>
          <w:p>
            <w:pPr>
              <w:spacing w:before="40" w:after="40"/>
              <w:jc w:val="center"/>
            </w:pPr>
            <w:r>
              <w:rPr>
                <w:rFonts w:ascii="Times New Roman" w:hAnsi="Times New Roman" w:cs="Times New Roman" w:eastAsia="Times New Roman"/>
                <w:b/>
                <w:i w:val="0"/>
                <w:color w:val="FFFFFF"/>
                <w:sz w:val="20"/>
              </w:rPr>
              <w:t>Critical t (0.05)</w:t>
            </w:r>
          </w:p>
        </w:tc>
        <w:tc>
          <w:tcPr>
            <w:tcW w:type="dxa" w:w="201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1584"/>
            <w:shd w:val="clear" w:color="auto" w:fill="EBF0FB"/>
          </w:tcPr>
          <w:p>
            <w:pPr>
              <w:spacing w:before="20" w:after="20"/>
              <w:jc w:val="center"/>
            </w:pPr>
            <w:r>
              <w:rPr>
                <w:rFonts w:ascii="Times New Roman" w:hAnsi="Times New Roman" w:cs="Times New Roman" w:eastAsia="Times New Roman"/>
                <w:b w:val="0"/>
                <w:i w:val="0"/>
                <w:sz w:val="20"/>
              </w:rPr>
              <w:t>Boys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26.53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4.18</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5.15</w:t>
            </w:r>
          </w:p>
        </w:tc>
        <w:tc>
          <w:tcPr>
            <w:tcW w:type="dxa" w:w="1728"/>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201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1584"/>
            <w:shd w:val="clear" w:color="auto" w:fill="FFFFFF"/>
          </w:tcPr>
          <w:p>
            <w:pPr>
              <w:spacing w:before="20" w:after="20"/>
              <w:jc w:val="center"/>
            </w:pPr>
            <w:r>
              <w:rPr>
                <w:rFonts w:ascii="Times New Roman" w:hAnsi="Times New Roman" w:cs="Times New Roman" w:eastAsia="Times New Roman"/>
                <w:b w:val="0"/>
                <w:i w:val="0"/>
                <w:sz w:val="20"/>
              </w:rPr>
              <w:t>Girls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20.53</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4.82</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r>
          </w:p>
        </w:tc>
        <w:tc>
          <w:tcPr>
            <w:tcW w:type="dxa" w:w="1728"/>
            <w:shd w:val="clear" w:color="auto" w:fill="FFFFFF"/>
          </w:tcPr>
          <w:p>
            <w:pPr>
              <w:spacing w:before="20" w:after="20"/>
              <w:jc w:val="center"/>
            </w:pPr>
            <w:r>
              <w:rPr>
                <w:rFonts w:ascii="Times New Roman" w:hAnsi="Times New Roman" w:cs="Times New Roman" w:eastAsia="Times New Roman"/>
                <w:b w:val="0"/>
                <w:i w:val="0"/>
                <w:sz w:val="20"/>
              </w:rPr>
            </w:r>
          </w:p>
        </w:tc>
        <w:tc>
          <w:tcPr>
            <w:tcW w:type="dxa" w:w="2016"/>
            <w:shd w:val="clear" w:color="auto" w:fill="FFFFFF"/>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A significant difference exists in scientific vocational interest (t = 5.15; p &lt; 0.05), with boys scoring higher (M = 26.53 vs. M = 20.53). However, the gender gap in science is considerably smaller than that for technical interest. Notably, urban girls (M = 26.13) have scientific interest scores nearly equal to urban boys (M = 30.13), suggesting that in supportive educational environments, the science gender gap can narrow significantly. H₀₂ is rejected.</w:t>
      </w:r>
    </w:p>
    <w:p>
      <w:pPr>
        <w:spacing w:before="200" w:after="160" w:lineRule="auto" w:line="276"/>
        <w:jc w:val="left"/>
      </w:pPr>
      <w:r>
        <w:rPr>
          <w:rFonts w:ascii="Times New Roman" w:hAnsi="Times New Roman" w:cs="Times New Roman" w:eastAsia="Times New Roman"/>
          <w:b/>
          <w:i w:val="0"/>
          <w:sz w:val="26"/>
        </w:rPr>
        <w:t>4.5.3  Hypothesis 3</w:t>
      </w:r>
    </w:p>
    <w:p>
      <w:pPr>
        <w:spacing w:before="0" w:after="120" w:lineRule="auto" w:line="360"/>
        <w:jc w:val="both"/>
      </w:pPr>
      <w:r>
        <w:rPr>
          <w:rFonts w:ascii="Times New Roman" w:hAnsi="Times New Roman" w:cs="Times New Roman" w:eastAsia="Times New Roman"/>
          <w:b w:val="0"/>
          <w:i/>
          <w:sz w:val="24"/>
        </w:rPr>
        <w:t>H₀₃: There is no significant difference in the mean social vocational interest scores of boys and girls at the secondary level.</w:t>
      </w:r>
    </w:p>
    <w:p>
      <w:pPr>
        <w:spacing w:before="0" w:after="120" w:lineRule="auto" w:line="360"/>
        <w:jc w:val="both"/>
      </w:pPr>
      <w:r>
        <w:rPr>
          <w:rFonts w:ascii="Times New Roman" w:hAnsi="Times New Roman" w:cs="Times New Roman" w:eastAsia="Times New Roman"/>
          <w:b w:val="0"/>
          <w:i w:val="0"/>
          <w:sz w:val="24"/>
        </w:rPr>
        <w:t>Calculation: M₁ (Boys) = 18.07; M₂ (Girls) = 29.07; SD₁ = 3.68; SD₂ = 2.44; N₁ = N₂ = 30. SE = √(SD₁²/N₁ + SD₂²/N₂) = 0.806; t = (M₁ − M₂) / SE = -11.00 / 0.806 = 13.65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Group</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Mean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SD</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Calculated t</w:t>
            </w:r>
          </w:p>
        </w:tc>
        <w:tc>
          <w:tcPr>
            <w:tcW w:type="dxa" w:w="1728"/>
            <w:shd w:val="clear" w:color="auto" w:fill="1a356e"/>
          </w:tcPr>
          <w:p>
            <w:pPr>
              <w:spacing w:before="40" w:after="40"/>
              <w:jc w:val="center"/>
            </w:pPr>
            <w:r>
              <w:rPr>
                <w:rFonts w:ascii="Times New Roman" w:hAnsi="Times New Roman" w:cs="Times New Roman" w:eastAsia="Times New Roman"/>
                <w:b/>
                <w:i w:val="0"/>
                <w:color w:val="FFFFFF"/>
                <w:sz w:val="20"/>
              </w:rPr>
              <w:t>Critical t (0.05)</w:t>
            </w:r>
          </w:p>
        </w:tc>
        <w:tc>
          <w:tcPr>
            <w:tcW w:type="dxa" w:w="201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1584"/>
            <w:shd w:val="clear" w:color="auto" w:fill="EBF0FB"/>
          </w:tcPr>
          <w:p>
            <w:pPr>
              <w:spacing w:before="20" w:after="20"/>
              <w:jc w:val="center"/>
            </w:pPr>
            <w:r>
              <w:rPr>
                <w:rFonts w:ascii="Times New Roman" w:hAnsi="Times New Roman" w:cs="Times New Roman" w:eastAsia="Times New Roman"/>
                <w:b w:val="0"/>
                <w:i w:val="0"/>
                <w:sz w:val="20"/>
              </w:rPr>
              <w:t>Boys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3.68</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13.65</w:t>
            </w:r>
          </w:p>
        </w:tc>
        <w:tc>
          <w:tcPr>
            <w:tcW w:type="dxa" w:w="1728"/>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201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1584"/>
            <w:shd w:val="clear" w:color="auto" w:fill="FFFFFF"/>
          </w:tcPr>
          <w:p>
            <w:pPr>
              <w:spacing w:before="20" w:after="20"/>
              <w:jc w:val="center"/>
            </w:pPr>
            <w:r>
              <w:rPr>
                <w:rFonts w:ascii="Times New Roman" w:hAnsi="Times New Roman" w:cs="Times New Roman" w:eastAsia="Times New Roman"/>
                <w:b w:val="0"/>
                <w:i w:val="0"/>
                <w:sz w:val="20"/>
              </w:rPr>
              <w:t>Girls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29.07</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2.44</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r>
          </w:p>
        </w:tc>
        <w:tc>
          <w:tcPr>
            <w:tcW w:type="dxa" w:w="1728"/>
            <w:shd w:val="clear" w:color="auto" w:fill="FFFFFF"/>
          </w:tcPr>
          <w:p>
            <w:pPr>
              <w:spacing w:before="20" w:after="20"/>
              <w:jc w:val="center"/>
            </w:pPr>
            <w:r>
              <w:rPr>
                <w:rFonts w:ascii="Times New Roman" w:hAnsi="Times New Roman" w:cs="Times New Roman" w:eastAsia="Times New Roman"/>
                <w:b w:val="0"/>
                <w:i w:val="0"/>
                <w:sz w:val="20"/>
              </w:rPr>
            </w:r>
          </w:p>
        </w:tc>
        <w:tc>
          <w:tcPr>
            <w:tcW w:type="dxa" w:w="2016"/>
            <w:shd w:val="clear" w:color="auto" w:fill="FFFFFF"/>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Girls score significantly higher than boys in social vocational interest (t = 13.65; p &lt; 0.001). The t-value of 13.65, though smaller than that for technical interest, is very large, confirming that social interest is strongly gender-differentiated. Girls’ higher social interest aligns with the well-documented People-Things dimension (Lippa, 1998). Guidance counsellors should leverage girls’ social interest to actively encourage careers in social work, teaching, healthcare, and counselling.</w:t>
      </w:r>
    </w:p>
    <w:p>
      <w:pPr>
        <w:spacing w:before="200" w:after="160" w:lineRule="auto" w:line="276"/>
        <w:jc w:val="left"/>
      </w:pPr>
      <w:r>
        <w:rPr>
          <w:rFonts w:ascii="Times New Roman" w:hAnsi="Times New Roman" w:cs="Times New Roman" w:eastAsia="Times New Roman"/>
          <w:b/>
          <w:i w:val="0"/>
          <w:sz w:val="26"/>
        </w:rPr>
        <w:t>4.5.4  Hypothesis 4</w:t>
      </w:r>
    </w:p>
    <w:p>
      <w:pPr>
        <w:spacing w:before="0" w:after="120" w:lineRule="auto" w:line="360"/>
        <w:jc w:val="both"/>
      </w:pPr>
      <w:r>
        <w:rPr>
          <w:rFonts w:ascii="Times New Roman" w:hAnsi="Times New Roman" w:cs="Times New Roman" w:eastAsia="Times New Roman"/>
          <w:b w:val="0"/>
          <w:i/>
          <w:sz w:val="24"/>
        </w:rPr>
        <w:t>H₀₄: There is no significant difference in the mean artistic vocational interest scores of boys and girls at the secondary level.</w:t>
      </w:r>
    </w:p>
    <w:p>
      <w:pPr>
        <w:spacing w:before="0" w:after="120" w:lineRule="auto" w:line="360"/>
        <w:jc w:val="both"/>
      </w:pPr>
      <w:r>
        <w:rPr>
          <w:rFonts w:ascii="Times New Roman" w:hAnsi="Times New Roman" w:cs="Times New Roman" w:eastAsia="Times New Roman"/>
          <w:b w:val="0"/>
          <w:i w:val="0"/>
          <w:sz w:val="24"/>
        </w:rPr>
        <w:t>Calculation: M₁ (Boys) = 15.33; M₂ (Girls) = 30.27; SD₁ = 3.24; SD₂ = 2.16; N₁ = N₂ = 30. SE = √(SD₁²/N₁ + SD₂²/N₂) = 0.711; t = (M₁ − M₂) / SE = -14.94 / 0.711 = 21.01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Group</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Mean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SD</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Calculated t</w:t>
            </w:r>
          </w:p>
        </w:tc>
        <w:tc>
          <w:tcPr>
            <w:tcW w:type="dxa" w:w="1728"/>
            <w:shd w:val="clear" w:color="auto" w:fill="1a356e"/>
          </w:tcPr>
          <w:p>
            <w:pPr>
              <w:spacing w:before="40" w:after="40"/>
              <w:jc w:val="center"/>
            </w:pPr>
            <w:r>
              <w:rPr>
                <w:rFonts w:ascii="Times New Roman" w:hAnsi="Times New Roman" w:cs="Times New Roman" w:eastAsia="Times New Roman"/>
                <w:b/>
                <w:i w:val="0"/>
                <w:color w:val="FFFFFF"/>
                <w:sz w:val="20"/>
              </w:rPr>
              <w:t>Critical t (0.05)</w:t>
            </w:r>
          </w:p>
        </w:tc>
        <w:tc>
          <w:tcPr>
            <w:tcW w:type="dxa" w:w="201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1584"/>
            <w:shd w:val="clear" w:color="auto" w:fill="EBF0FB"/>
          </w:tcPr>
          <w:p>
            <w:pPr>
              <w:spacing w:before="20" w:after="20"/>
              <w:jc w:val="center"/>
            </w:pPr>
            <w:r>
              <w:rPr>
                <w:rFonts w:ascii="Times New Roman" w:hAnsi="Times New Roman" w:cs="Times New Roman" w:eastAsia="Times New Roman"/>
                <w:b w:val="0"/>
                <w:i w:val="0"/>
                <w:sz w:val="20"/>
              </w:rPr>
              <w:t>Boys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15.33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3.24</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21.01</w:t>
            </w:r>
          </w:p>
        </w:tc>
        <w:tc>
          <w:tcPr>
            <w:tcW w:type="dxa" w:w="1728"/>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201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1584"/>
            <w:shd w:val="clear" w:color="auto" w:fill="FFFFFF"/>
          </w:tcPr>
          <w:p>
            <w:pPr>
              <w:spacing w:before="20" w:after="20"/>
              <w:jc w:val="center"/>
            </w:pPr>
            <w:r>
              <w:rPr>
                <w:rFonts w:ascii="Times New Roman" w:hAnsi="Times New Roman" w:cs="Times New Roman" w:eastAsia="Times New Roman"/>
                <w:b w:val="0"/>
                <w:i w:val="0"/>
                <w:sz w:val="20"/>
              </w:rPr>
              <w:t>Girls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30.27</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2.16</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r>
          </w:p>
        </w:tc>
        <w:tc>
          <w:tcPr>
            <w:tcW w:type="dxa" w:w="1728"/>
            <w:shd w:val="clear" w:color="auto" w:fill="FFFFFF"/>
          </w:tcPr>
          <w:p>
            <w:pPr>
              <w:spacing w:before="20" w:after="20"/>
              <w:jc w:val="center"/>
            </w:pPr>
            <w:r>
              <w:rPr>
                <w:rFonts w:ascii="Times New Roman" w:hAnsi="Times New Roman" w:cs="Times New Roman" w:eastAsia="Times New Roman"/>
                <w:b w:val="0"/>
                <w:i w:val="0"/>
                <w:sz w:val="20"/>
              </w:rPr>
            </w:r>
          </w:p>
        </w:tc>
        <w:tc>
          <w:tcPr>
            <w:tcW w:type="dxa" w:w="2016"/>
            <w:shd w:val="clear" w:color="auto" w:fill="FFFFFF"/>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Girls score significantly higher than boys in artistic vocational interest (t = 21.01; p &lt; 0.001). Artistic interest is the second most gender-differentiated area in this study. Girls’ strong artistic inclination suggests rich potential for careers in the creative industries — fine arts, graphic design, fashion, architecture, performing arts — which are among the fastest-growing sectors of India’s economy. Schools and parents should channel girls’ artistic interests constructively rather than dismissing them as impractical.</w:t>
      </w:r>
    </w:p>
    <w:p>
      <w:pPr>
        <w:spacing w:before="200" w:after="160" w:lineRule="auto" w:line="276"/>
        <w:jc w:val="left"/>
      </w:pPr>
      <w:r>
        <w:rPr>
          <w:rFonts w:ascii="Times New Roman" w:hAnsi="Times New Roman" w:cs="Times New Roman" w:eastAsia="Times New Roman"/>
          <w:b/>
          <w:i w:val="0"/>
          <w:sz w:val="26"/>
        </w:rPr>
        <w:t>4.5.5  Hypothesis 5</w:t>
      </w:r>
    </w:p>
    <w:p>
      <w:pPr>
        <w:spacing w:before="0" w:after="120" w:lineRule="auto" w:line="360"/>
        <w:jc w:val="both"/>
      </w:pPr>
      <w:r>
        <w:rPr>
          <w:rFonts w:ascii="Times New Roman" w:hAnsi="Times New Roman" w:cs="Times New Roman" w:eastAsia="Times New Roman"/>
          <w:b w:val="0"/>
          <w:i/>
          <w:sz w:val="24"/>
        </w:rPr>
        <w:t>H₀₅: There is no significant difference in the mean agricultural vocational interest scores of rural and urban students at the secondary level.</w:t>
      </w:r>
    </w:p>
    <w:p>
      <w:pPr>
        <w:spacing w:before="0" w:after="120" w:lineRule="auto" w:line="360"/>
        <w:jc w:val="both"/>
      </w:pPr>
      <w:r>
        <w:rPr>
          <w:rFonts w:ascii="Times New Roman" w:hAnsi="Times New Roman" w:cs="Times New Roman" w:eastAsia="Times New Roman"/>
          <w:b w:val="0"/>
          <w:i w:val="0"/>
          <w:sz w:val="24"/>
        </w:rPr>
        <w:t>Calculation: M₁ (Rural) = 23.33; M₂ (Urban) = 11.13; SD₁ = 5.84; SD₂ = 2.06; N₁ = N₂ = 30. SE = √(SD₁²/N₁ + SD₂²/N₂) = 1.131; t = (M₁ − M₂) / SE = 12.20 / 1.131 = 10.79</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Group</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Mean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SD</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Calculated t</w:t>
            </w:r>
          </w:p>
        </w:tc>
        <w:tc>
          <w:tcPr>
            <w:tcW w:type="dxa" w:w="1728"/>
            <w:shd w:val="clear" w:color="auto" w:fill="1a356e"/>
          </w:tcPr>
          <w:p>
            <w:pPr>
              <w:spacing w:before="40" w:after="40"/>
              <w:jc w:val="center"/>
            </w:pPr>
            <w:r>
              <w:rPr>
                <w:rFonts w:ascii="Times New Roman" w:hAnsi="Times New Roman" w:cs="Times New Roman" w:eastAsia="Times New Roman"/>
                <w:b/>
                <w:i w:val="0"/>
                <w:color w:val="FFFFFF"/>
                <w:sz w:val="20"/>
              </w:rPr>
              <w:t>Critical t (0.05)</w:t>
            </w:r>
          </w:p>
        </w:tc>
        <w:tc>
          <w:tcPr>
            <w:tcW w:type="dxa" w:w="201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1584"/>
            <w:shd w:val="clear" w:color="auto" w:fill="EBF0FB"/>
          </w:tcPr>
          <w:p>
            <w:pPr>
              <w:spacing w:before="20" w:after="20"/>
              <w:jc w:val="center"/>
            </w:pPr>
            <w:r>
              <w:rPr>
                <w:rFonts w:ascii="Times New Roman" w:hAnsi="Times New Roman" w:cs="Times New Roman" w:eastAsia="Times New Roman"/>
                <w:b w:val="0"/>
                <w:i w:val="0"/>
                <w:sz w:val="20"/>
              </w:rPr>
              <w:t>Rural</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23.33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5.84</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10.79</w:t>
            </w:r>
          </w:p>
        </w:tc>
        <w:tc>
          <w:tcPr>
            <w:tcW w:type="dxa" w:w="1728"/>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201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1584"/>
            <w:shd w:val="clear" w:color="auto" w:fill="FFFFFF"/>
          </w:tcPr>
          <w:p>
            <w:pPr>
              <w:spacing w:before="20" w:after="20"/>
              <w:jc w:val="center"/>
            </w:pPr>
            <w:r>
              <w:rPr>
                <w:rFonts w:ascii="Times New Roman" w:hAnsi="Times New Roman" w:cs="Times New Roman" w:eastAsia="Times New Roman"/>
                <w:b w:val="0"/>
                <w:i w:val="0"/>
                <w:sz w:val="20"/>
              </w:rPr>
              <w:t>Urban</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11.13</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2.06</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r>
          </w:p>
        </w:tc>
        <w:tc>
          <w:tcPr>
            <w:tcW w:type="dxa" w:w="1728"/>
            <w:shd w:val="clear" w:color="auto" w:fill="FFFFFF"/>
          </w:tcPr>
          <w:p>
            <w:pPr>
              <w:spacing w:before="20" w:after="20"/>
              <w:jc w:val="center"/>
            </w:pPr>
            <w:r>
              <w:rPr>
                <w:rFonts w:ascii="Times New Roman" w:hAnsi="Times New Roman" w:cs="Times New Roman" w:eastAsia="Times New Roman"/>
                <w:b w:val="0"/>
                <w:i w:val="0"/>
                <w:sz w:val="20"/>
              </w:rPr>
            </w:r>
          </w:p>
        </w:tc>
        <w:tc>
          <w:tcPr>
            <w:tcW w:type="dxa" w:w="2016"/>
            <w:shd w:val="clear" w:color="auto" w:fill="FFFFFF"/>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Rural students score significantly higher than urban students in agricultural interest (t = 10.79; p &lt; 0.001). Students from rural backgrounds are far more likely to have direct exposure to agricultural activities and to perceive farming as a natural vocational pathway. Agricultural colleges, agribusiness programmes, and rural development courses should actively recruit from rural secondary schools where the student population has genuine affinity for agriculture-related vocations.</w:t>
      </w:r>
    </w:p>
    <w:p>
      <w:pPr>
        <w:spacing w:before="200" w:after="160" w:lineRule="auto" w:line="276"/>
        <w:jc w:val="left"/>
      </w:pPr>
      <w:r>
        <w:rPr>
          <w:rFonts w:ascii="Times New Roman" w:hAnsi="Times New Roman" w:cs="Times New Roman" w:eastAsia="Times New Roman"/>
          <w:b/>
          <w:i w:val="0"/>
          <w:sz w:val="26"/>
        </w:rPr>
        <w:t>4.5.6  Hypothesis 6</w:t>
      </w:r>
    </w:p>
    <w:p>
      <w:pPr>
        <w:spacing w:before="0" w:after="120" w:lineRule="auto" w:line="360"/>
        <w:jc w:val="both"/>
      </w:pPr>
      <w:r>
        <w:rPr>
          <w:rFonts w:ascii="Times New Roman" w:hAnsi="Times New Roman" w:cs="Times New Roman" w:eastAsia="Times New Roman"/>
          <w:b w:val="0"/>
          <w:i/>
          <w:sz w:val="24"/>
        </w:rPr>
        <w:t>H₀₆: There is no significant difference in the overall mean vocational interest scores of boys and girls at the secondary level.</w:t>
      </w:r>
    </w:p>
    <w:p>
      <w:pPr>
        <w:spacing w:before="0" w:after="120" w:lineRule="auto" w:line="360"/>
        <w:jc w:val="both"/>
      </w:pPr>
      <w:r>
        <w:rPr>
          <w:rFonts w:ascii="Times New Roman" w:hAnsi="Times New Roman" w:cs="Times New Roman" w:eastAsia="Times New Roman"/>
          <w:b w:val="0"/>
          <w:i w:val="0"/>
          <w:sz w:val="24"/>
        </w:rPr>
        <w:t>Calculation: M₁ (Boys) = 20.5; M₂ (Girls) = 21.87; SD₁ = 6.89; SD₂ = 6.24; N₁ = N₂ = 30. SE = √(SD₁²/N₁ + SD₂²/N₂) = 1.697; t = (M₁ − M₂) / SE = -1.37 / 1.697 = 0.807</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Group</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Mean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SD</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Calculated t</w:t>
            </w:r>
          </w:p>
        </w:tc>
        <w:tc>
          <w:tcPr>
            <w:tcW w:type="dxa" w:w="1728"/>
            <w:shd w:val="clear" w:color="auto" w:fill="1a356e"/>
          </w:tcPr>
          <w:p>
            <w:pPr>
              <w:spacing w:before="40" w:after="40"/>
              <w:jc w:val="center"/>
            </w:pPr>
            <w:r>
              <w:rPr>
                <w:rFonts w:ascii="Times New Roman" w:hAnsi="Times New Roman" w:cs="Times New Roman" w:eastAsia="Times New Roman"/>
                <w:b/>
                <w:i w:val="0"/>
                <w:color w:val="FFFFFF"/>
                <w:sz w:val="20"/>
              </w:rPr>
              <w:t>Critical t (0.05)</w:t>
            </w:r>
          </w:p>
        </w:tc>
        <w:tc>
          <w:tcPr>
            <w:tcW w:type="dxa" w:w="201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1584"/>
            <w:shd w:val="clear" w:color="auto" w:fill="EBF0FB"/>
          </w:tcPr>
          <w:p>
            <w:pPr>
              <w:spacing w:before="20" w:after="20"/>
              <w:jc w:val="center"/>
            </w:pPr>
            <w:r>
              <w:rPr>
                <w:rFonts w:ascii="Times New Roman" w:hAnsi="Times New Roman" w:cs="Times New Roman" w:eastAsia="Times New Roman"/>
                <w:b w:val="0"/>
                <w:i w:val="0"/>
                <w:sz w:val="20"/>
              </w:rPr>
              <w:t>Boys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20.5</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6.89</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0.807</w:t>
            </w:r>
          </w:p>
        </w:tc>
        <w:tc>
          <w:tcPr>
            <w:tcW w:type="dxa" w:w="1728"/>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2016"/>
            <w:shd w:val="clear" w:color="auto" w:fill="EBF0FB"/>
          </w:tcPr>
          <w:p>
            <w:pPr>
              <w:spacing w:before="20" w:after="20"/>
              <w:jc w:val="center"/>
            </w:pPr>
            <w:r>
              <w:rPr>
                <w:rFonts w:ascii="Times New Roman" w:hAnsi="Times New Roman" w:cs="Times New Roman" w:eastAsia="Times New Roman"/>
                <w:b w:val="0"/>
                <w:i w:val="0"/>
                <w:sz w:val="20"/>
              </w:rPr>
              <w:t>RETAINED ✔</w:t>
            </w:r>
          </w:p>
        </w:tc>
      </w:tr>
      <w:tr>
        <w:tc>
          <w:tcPr>
            <w:tcW w:type="dxa" w:w="1584"/>
            <w:shd w:val="clear" w:color="auto" w:fill="FFFFFF"/>
          </w:tcPr>
          <w:p>
            <w:pPr>
              <w:spacing w:before="20" w:after="20"/>
              <w:jc w:val="center"/>
            </w:pPr>
            <w:r>
              <w:rPr>
                <w:rFonts w:ascii="Times New Roman" w:hAnsi="Times New Roman" w:cs="Times New Roman" w:eastAsia="Times New Roman"/>
                <w:b w:val="0"/>
                <w:i w:val="0"/>
                <w:sz w:val="20"/>
              </w:rPr>
              <w:t>Girls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21.87</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6.24</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r>
          </w:p>
        </w:tc>
        <w:tc>
          <w:tcPr>
            <w:tcW w:type="dxa" w:w="1728"/>
            <w:shd w:val="clear" w:color="auto" w:fill="FFFFFF"/>
          </w:tcPr>
          <w:p>
            <w:pPr>
              <w:spacing w:before="20" w:after="20"/>
              <w:jc w:val="center"/>
            </w:pPr>
            <w:r>
              <w:rPr>
                <w:rFonts w:ascii="Times New Roman" w:hAnsi="Times New Roman" w:cs="Times New Roman" w:eastAsia="Times New Roman"/>
                <w:b w:val="0"/>
                <w:i w:val="0"/>
                <w:sz w:val="20"/>
              </w:rPr>
            </w:r>
          </w:p>
        </w:tc>
        <w:tc>
          <w:tcPr>
            <w:tcW w:type="dxa" w:w="2016"/>
            <w:shd w:val="clear" w:color="auto" w:fill="FFFFFF"/>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There is no statistically significant difference in overall vocational interest scores between boys and girls (t = 0.807; p &gt; 0.05). H₀₆ is retained. This important nuance confirms that boys and girls differ in the direction (preference for specific areas) of their vocational interests, not in the overall intensity or level of vocational engagement. Both genders show equal vocational motivation; they simply channel it into different areas.</w:t>
      </w:r>
    </w:p>
    <w:p>
      <w:pPr>
        <w:spacing w:before="200" w:after="160" w:lineRule="auto" w:line="276"/>
        <w:jc w:val="left"/>
      </w:pPr>
      <w:r>
        <w:rPr>
          <w:rFonts w:ascii="Times New Roman" w:hAnsi="Times New Roman" w:cs="Times New Roman" w:eastAsia="Times New Roman"/>
          <w:b/>
          <w:i w:val="0"/>
          <w:sz w:val="26"/>
        </w:rPr>
        <w:t>4.5.7  Hypothesis 7</w:t>
      </w:r>
    </w:p>
    <w:p>
      <w:pPr>
        <w:spacing w:before="0" w:after="120" w:lineRule="auto" w:line="360"/>
        <w:jc w:val="both"/>
      </w:pPr>
      <w:r>
        <w:rPr>
          <w:rFonts w:ascii="Times New Roman" w:hAnsi="Times New Roman" w:cs="Times New Roman" w:eastAsia="Times New Roman"/>
          <w:b w:val="0"/>
          <w:i/>
          <w:sz w:val="24"/>
        </w:rPr>
        <w:t>H₀₇: There is no significant difference in the overall mean vocational interest scores of rural and urban students at the secondary level.</w:t>
      </w:r>
    </w:p>
    <w:p>
      <w:pPr>
        <w:spacing w:before="0" w:after="120" w:lineRule="auto" w:line="360"/>
        <w:jc w:val="both"/>
      </w:pPr>
      <w:r>
        <w:rPr>
          <w:rFonts w:ascii="Times New Roman" w:hAnsi="Times New Roman" w:cs="Times New Roman" w:eastAsia="Times New Roman"/>
          <w:b w:val="0"/>
          <w:i w:val="0"/>
          <w:sz w:val="24"/>
        </w:rPr>
        <w:t>Calculation: M₁ (Rural) = 20.0; M₂ (Urban) = 22.37; SD₁ = 2.28; SD₂ = 5.64; N₁ = N₂ = 30. SE = √(SD₁²/N₁ + SD₂²/N₂) = 1.111; t = (M₁ − M₂) / SE = -2.37 / 1.111 = 2.135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Group</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Mean</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SD</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Calculated t</w:t>
            </w:r>
          </w:p>
        </w:tc>
        <w:tc>
          <w:tcPr>
            <w:tcW w:type="dxa" w:w="1728"/>
            <w:shd w:val="clear" w:color="auto" w:fill="1a356e"/>
          </w:tcPr>
          <w:p>
            <w:pPr>
              <w:spacing w:before="40" w:after="40"/>
              <w:jc w:val="center"/>
            </w:pPr>
            <w:r>
              <w:rPr>
                <w:rFonts w:ascii="Times New Roman" w:hAnsi="Times New Roman" w:cs="Times New Roman" w:eastAsia="Times New Roman"/>
                <w:b/>
                <w:i w:val="0"/>
                <w:color w:val="FFFFFF"/>
                <w:sz w:val="20"/>
              </w:rPr>
              <w:t>Critical t (0.05)</w:t>
            </w:r>
          </w:p>
        </w:tc>
        <w:tc>
          <w:tcPr>
            <w:tcW w:type="dxa" w:w="201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1584"/>
            <w:shd w:val="clear" w:color="auto" w:fill="EBF0FB"/>
          </w:tcPr>
          <w:p>
            <w:pPr>
              <w:spacing w:before="20" w:after="20"/>
              <w:jc w:val="center"/>
            </w:pPr>
            <w:r>
              <w:rPr>
                <w:rFonts w:ascii="Times New Roman" w:hAnsi="Times New Roman" w:cs="Times New Roman" w:eastAsia="Times New Roman"/>
                <w:b w:val="0"/>
                <w:i w:val="0"/>
                <w:sz w:val="20"/>
              </w:rPr>
              <w:t>Rural</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30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2.28</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2.135</w:t>
            </w:r>
          </w:p>
        </w:tc>
        <w:tc>
          <w:tcPr>
            <w:tcW w:type="dxa" w:w="1728"/>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201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1584"/>
            <w:shd w:val="clear" w:color="auto" w:fill="FFFFFF"/>
          </w:tcPr>
          <w:p>
            <w:pPr>
              <w:spacing w:before="20" w:after="20"/>
              <w:jc w:val="center"/>
            </w:pPr>
            <w:r>
              <w:rPr>
                <w:rFonts w:ascii="Times New Roman" w:hAnsi="Times New Roman" w:cs="Times New Roman" w:eastAsia="Times New Roman"/>
                <w:b w:val="0"/>
                <w:i w:val="0"/>
                <w:sz w:val="20"/>
              </w:rPr>
              <w:t>Urban</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22.37</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5.64</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r>
          </w:p>
        </w:tc>
        <w:tc>
          <w:tcPr>
            <w:tcW w:type="dxa" w:w="1728"/>
            <w:shd w:val="clear" w:color="auto" w:fill="FFFFFF"/>
          </w:tcPr>
          <w:p>
            <w:pPr>
              <w:spacing w:before="20" w:after="20"/>
              <w:jc w:val="center"/>
            </w:pPr>
            <w:r>
              <w:rPr>
                <w:rFonts w:ascii="Times New Roman" w:hAnsi="Times New Roman" w:cs="Times New Roman" w:eastAsia="Times New Roman"/>
                <w:b w:val="0"/>
                <w:i w:val="0"/>
                <w:sz w:val="20"/>
              </w:rPr>
            </w:r>
          </w:p>
        </w:tc>
        <w:tc>
          <w:tcPr>
            <w:tcW w:type="dxa" w:w="2016"/>
            <w:shd w:val="clear" w:color="auto" w:fill="FFFFFF"/>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There is a significant (though modest) difference in overall vocational interest between rural and urban students (t = 2.135; p &lt; 0.05). Urban students show slightly higher overall interest scores, reflecting their broader educational environment. However, the practical magnitude of the difference (2.37 points) is small, suggesting location matters less than the specific direction of interests.</w:t>
      </w:r>
    </w:p>
    <w:p>
      <w:pPr>
        <w:spacing w:before="200" w:after="160" w:lineRule="auto" w:line="276"/>
        <w:jc w:val="left"/>
      </w:pPr>
      <w:r>
        <w:rPr>
          <w:rFonts w:ascii="Times New Roman" w:hAnsi="Times New Roman" w:cs="Times New Roman" w:eastAsia="Times New Roman"/>
          <w:b/>
          <w:i w:val="0"/>
          <w:sz w:val="26"/>
        </w:rPr>
        <w:t>4.5.8  Consolidated t-test Summary Table</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Hyp.</w:t>
            </w:r>
          </w:p>
        </w:tc>
        <w:tc>
          <w:tcPr>
            <w:tcW w:type="dxa" w:w="1584"/>
            <w:shd w:val="clear" w:color="auto" w:fill="1a356e"/>
          </w:tcPr>
          <w:p>
            <w:pPr>
              <w:spacing w:before="40" w:after="40"/>
              <w:jc w:val="center"/>
            </w:pPr>
            <w:r>
              <w:rPr>
                <w:rFonts w:ascii="Times New Roman" w:hAnsi="Times New Roman" w:cs="Times New Roman" w:eastAsia="Times New Roman"/>
                <w:b/>
                <w:i w:val="0"/>
                <w:color w:val="FFFFFF"/>
                <w:sz w:val="20"/>
              </w:rPr>
              <w:t>Comparison</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Area</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M₁</w:t>
            </w:r>
          </w:p>
        </w:tc>
        <w:tc>
          <w:tcPr>
            <w:tcW w:type="dxa" w:w="864"/>
            <w:shd w:val="clear" w:color="auto" w:fill="1a356e"/>
          </w:tcPr>
          <w:p>
            <w:pPr>
              <w:spacing w:before="40" w:after="40"/>
              <w:jc w:val="center"/>
            </w:pPr>
            <w:r>
              <w:rPr>
                <w:rFonts w:ascii="Times New Roman" w:hAnsi="Times New Roman" w:cs="Times New Roman" w:eastAsia="Times New Roman"/>
                <w:b/>
                <w:i w:val="0"/>
                <w:color w:val="FFFFFF"/>
                <w:sz w:val="20"/>
              </w:rPr>
              <w:t>M₂</w:t>
            </w:r>
          </w:p>
        </w:tc>
        <w:tc>
          <w:tcPr>
            <w:tcW w:type="dxa" w:w="1008"/>
            <w:shd w:val="clear" w:color="auto" w:fill="1a356e"/>
          </w:tcPr>
          <w:p>
            <w:pPr>
              <w:spacing w:before="40" w:after="40"/>
              <w:jc w:val="center"/>
            </w:pPr>
            <w:r>
              <w:rPr>
                <w:rFonts w:ascii="Times New Roman" w:hAnsi="Times New Roman" w:cs="Times New Roman" w:eastAsia="Times New Roman"/>
                <w:b/>
                <w:i w:val="0"/>
                <w:color w:val="FFFFFF"/>
                <w:sz w:val="20"/>
              </w:rPr>
              <w:t>t-value</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df</w:t>
            </w:r>
          </w:p>
        </w:tc>
        <w:tc>
          <w:tcPr>
            <w:tcW w:type="dxa" w:w="1152"/>
            <w:shd w:val="clear" w:color="auto" w:fill="1a356e"/>
          </w:tcPr>
          <w:p>
            <w:pPr>
              <w:spacing w:before="40" w:after="40"/>
              <w:jc w:val="center"/>
            </w:pPr>
            <w:r>
              <w:rPr>
                <w:rFonts w:ascii="Times New Roman" w:hAnsi="Times New Roman" w:cs="Times New Roman" w:eastAsia="Times New Roman"/>
                <w:b/>
                <w:i w:val="0"/>
                <w:color w:val="FFFFFF"/>
                <w:sz w:val="20"/>
              </w:rPr>
              <w:t>Critical t</w:t>
            </w:r>
          </w:p>
        </w:tc>
        <w:tc>
          <w:tcPr>
            <w:tcW w:type="dxa" w:w="1296"/>
            <w:shd w:val="clear" w:color="auto" w:fill="1a356e"/>
          </w:tcPr>
          <w:p>
            <w:pPr>
              <w:spacing w:before="40" w:after="40"/>
              <w:jc w:val="center"/>
            </w:pPr>
            <w:r>
              <w:rPr>
                <w:rFonts w:ascii="Times New Roman" w:hAnsi="Times New Roman" w:cs="Times New Roman" w:eastAsia="Times New Roman"/>
                <w:b/>
                <w:i w:val="0"/>
                <w:color w:val="FFFFFF"/>
                <w:sz w:val="20"/>
              </w:rPr>
              <w:t>Decision</w:t>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H₀₁</w:t>
            </w:r>
          </w:p>
        </w:tc>
        <w:tc>
          <w:tcPr>
            <w:tcW w:type="dxa" w:w="1584"/>
            <w:shd w:val="clear" w:color="auto" w:fill="EBF0FB"/>
          </w:tcPr>
          <w:p>
            <w:pPr>
              <w:spacing w:before="20" w:after="20"/>
              <w:jc w:val="center"/>
            </w:pPr>
            <w:r>
              <w:rPr>
                <w:rFonts w:ascii="Times New Roman" w:hAnsi="Times New Roman" w:cs="Times New Roman" w:eastAsia="Times New Roman"/>
                <w:b w:val="0"/>
                <w:i w:val="0"/>
                <w:sz w:val="20"/>
              </w:rPr>
              <w:t>Boys vs. Girls</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31.07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12.67</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36.15</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152"/>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H₀₂</w:t>
            </w:r>
          </w:p>
        </w:tc>
        <w:tc>
          <w:tcPr>
            <w:tcW w:type="dxa" w:w="1584"/>
            <w:shd w:val="clear" w:color="auto" w:fill="FFFFFF"/>
          </w:tcPr>
          <w:p>
            <w:pPr>
              <w:spacing w:before="20" w:after="20"/>
              <w:jc w:val="center"/>
            </w:pPr>
            <w:r>
              <w:rPr>
                <w:rFonts w:ascii="Times New Roman" w:hAnsi="Times New Roman" w:cs="Times New Roman" w:eastAsia="Times New Roman"/>
                <w:b w:val="0"/>
                <w:i w:val="0"/>
                <w:sz w:val="20"/>
              </w:rPr>
              <w:t>Boys vs. Girls</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Scientific</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26.53</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20.53</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5.15</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58</w:t>
            </w:r>
          </w:p>
        </w:tc>
        <w:tc>
          <w:tcPr>
            <w:tcW w:type="dxa" w:w="1152"/>
            <w:shd w:val="clear" w:color="auto" w:fill="FFFFFF"/>
          </w:tcPr>
          <w:p>
            <w:pPr>
              <w:spacing w:before="20" w:after="20"/>
              <w:jc w:val="center"/>
            </w:pPr>
            <w:r>
              <w:rPr>
                <w:rFonts w:ascii="Times New Roman" w:hAnsi="Times New Roman" w:cs="Times New Roman" w:eastAsia="Times New Roman"/>
                <w:b w:val="0"/>
                <w:i w:val="0"/>
                <w:sz w:val="20"/>
              </w:rPr>
              <w:t>2.002</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Rejected ✘</w:t>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H₀₃</w:t>
            </w:r>
          </w:p>
        </w:tc>
        <w:tc>
          <w:tcPr>
            <w:tcW w:type="dxa" w:w="1584"/>
            <w:shd w:val="clear" w:color="auto" w:fill="EBF0FB"/>
          </w:tcPr>
          <w:p>
            <w:pPr>
              <w:spacing w:before="20" w:after="20"/>
              <w:jc w:val="center"/>
            </w:pPr>
            <w:r>
              <w:rPr>
                <w:rFonts w:ascii="Times New Roman" w:hAnsi="Times New Roman" w:cs="Times New Roman" w:eastAsia="Times New Roman"/>
                <w:b w:val="0"/>
                <w:i w:val="0"/>
                <w:sz w:val="20"/>
              </w:rPr>
              <w:t>Boys vs. Girls</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Social</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18.07</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29.07</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13.65</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152"/>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H₀₄</w:t>
            </w:r>
          </w:p>
        </w:tc>
        <w:tc>
          <w:tcPr>
            <w:tcW w:type="dxa" w:w="1584"/>
            <w:shd w:val="clear" w:color="auto" w:fill="FFFFFF"/>
          </w:tcPr>
          <w:p>
            <w:pPr>
              <w:spacing w:before="20" w:after="20"/>
              <w:jc w:val="center"/>
            </w:pPr>
            <w:r>
              <w:rPr>
                <w:rFonts w:ascii="Times New Roman" w:hAnsi="Times New Roman" w:cs="Times New Roman" w:eastAsia="Times New Roman"/>
                <w:b w:val="0"/>
                <w:i w:val="0"/>
                <w:sz w:val="20"/>
              </w:rPr>
              <w:t>Boys vs. Girls</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Artistic</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15.33</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30.27</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21.01</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58</w:t>
            </w:r>
          </w:p>
        </w:tc>
        <w:tc>
          <w:tcPr>
            <w:tcW w:type="dxa" w:w="1152"/>
            <w:shd w:val="clear" w:color="auto" w:fill="FFFFFF"/>
          </w:tcPr>
          <w:p>
            <w:pPr>
              <w:spacing w:before="20" w:after="20"/>
              <w:jc w:val="center"/>
            </w:pPr>
            <w:r>
              <w:rPr>
                <w:rFonts w:ascii="Times New Roman" w:hAnsi="Times New Roman" w:cs="Times New Roman" w:eastAsia="Times New Roman"/>
                <w:b w:val="0"/>
                <w:i w:val="0"/>
                <w:sz w:val="20"/>
              </w:rPr>
              <w:t>2.002</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Rejected ✘</w:t>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H₀₅</w:t>
            </w:r>
          </w:p>
        </w:tc>
        <w:tc>
          <w:tcPr>
            <w:tcW w:type="dxa" w:w="1584"/>
            <w:shd w:val="clear" w:color="auto" w:fill="EBF0FB"/>
          </w:tcPr>
          <w:p>
            <w:pPr>
              <w:spacing w:before="20" w:after="20"/>
              <w:jc w:val="center"/>
            </w:pPr>
            <w:r>
              <w:rPr>
                <w:rFonts w:ascii="Times New Roman" w:hAnsi="Times New Roman" w:cs="Times New Roman" w:eastAsia="Times New Roman"/>
                <w:b w:val="0"/>
                <w:i w:val="0"/>
                <w:sz w:val="20"/>
              </w:rPr>
              <w:t>Rural vs. Urban</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Agricultural</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23.33</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11.13</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10.79</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152"/>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Rejected ✘</w:t>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H₀₆</w:t>
            </w:r>
          </w:p>
        </w:tc>
        <w:tc>
          <w:tcPr>
            <w:tcW w:type="dxa" w:w="1584"/>
            <w:shd w:val="clear" w:color="auto" w:fill="FFFFFF"/>
          </w:tcPr>
          <w:p>
            <w:pPr>
              <w:spacing w:before="20" w:after="20"/>
              <w:jc w:val="center"/>
            </w:pPr>
            <w:r>
              <w:rPr>
                <w:rFonts w:ascii="Times New Roman" w:hAnsi="Times New Roman" w:cs="Times New Roman" w:eastAsia="Times New Roman"/>
                <w:b w:val="0"/>
                <w:i w:val="0"/>
                <w:sz w:val="20"/>
              </w:rPr>
              <w:t>Boys vs. Girls</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Overall</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20.50</w:t>
            </w:r>
          </w:p>
        </w:tc>
        <w:tc>
          <w:tcPr>
            <w:tcW w:type="dxa" w:w="864"/>
            <w:shd w:val="clear" w:color="auto" w:fill="FFFFFF"/>
          </w:tcPr>
          <w:p>
            <w:pPr>
              <w:spacing w:before="20" w:after="20"/>
              <w:jc w:val="center"/>
            </w:pPr>
            <w:r>
              <w:rPr>
                <w:rFonts w:ascii="Times New Roman" w:hAnsi="Times New Roman" w:cs="Times New Roman" w:eastAsia="Times New Roman"/>
                <w:b w:val="0"/>
                <w:i w:val="0"/>
                <w:sz w:val="20"/>
              </w:rPr>
              <w:t>21.87</w:t>
            </w:r>
          </w:p>
        </w:tc>
        <w:tc>
          <w:tcPr>
            <w:tcW w:type="dxa" w:w="1008"/>
            <w:shd w:val="clear" w:color="auto" w:fill="FFFFFF"/>
          </w:tcPr>
          <w:p>
            <w:pPr>
              <w:spacing w:before="20" w:after="20"/>
              <w:jc w:val="center"/>
            </w:pPr>
            <w:r>
              <w:rPr>
                <w:rFonts w:ascii="Times New Roman" w:hAnsi="Times New Roman" w:cs="Times New Roman" w:eastAsia="Times New Roman"/>
                <w:b w:val="0"/>
                <w:i w:val="0"/>
                <w:sz w:val="20"/>
              </w:rPr>
              <w:t>0.807</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t>58</w:t>
            </w:r>
          </w:p>
        </w:tc>
        <w:tc>
          <w:tcPr>
            <w:tcW w:type="dxa" w:w="1152"/>
            <w:shd w:val="clear" w:color="auto" w:fill="FFFFFF"/>
          </w:tcPr>
          <w:p>
            <w:pPr>
              <w:spacing w:before="20" w:after="20"/>
              <w:jc w:val="center"/>
            </w:pPr>
            <w:r>
              <w:rPr>
                <w:rFonts w:ascii="Times New Roman" w:hAnsi="Times New Roman" w:cs="Times New Roman" w:eastAsia="Times New Roman"/>
                <w:b w:val="0"/>
                <w:i w:val="0"/>
                <w:sz w:val="20"/>
              </w:rPr>
              <w:t>2.002</w:t>
            </w:r>
          </w:p>
        </w:tc>
        <w:tc>
          <w:tcPr>
            <w:tcW w:type="dxa" w:w="1296"/>
            <w:shd w:val="clear" w:color="auto" w:fill="FFFFFF"/>
          </w:tcPr>
          <w:p>
            <w:pPr>
              <w:spacing w:before="20" w:after="20"/>
              <w:jc w:val="center"/>
            </w:pPr>
            <w:r>
              <w:rPr>
                <w:rFonts w:ascii="Times New Roman" w:hAnsi="Times New Roman" w:cs="Times New Roman" w:eastAsia="Times New Roman"/>
                <w:b w:val="0"/>
                <w:i w:val="0"/>
                <w:sz w:val="20"/>
              </w:rPr>
              <w:t>Retained ✔</w:t>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H₀₇</w:t>
            </w:r>
          </w:p>
        </w:tc>
        <w:tc>
          <w:tcPr>
            <w:tcW w:type="dxa" w:w="1584"/>
            <w:shd w:val="clear" w:color="auto" w:fill="EBF0FB"/>
          </w:tcPr>
          <w:p>
            <w:pPr>
              <w:spacing w:before="20" w:after="20"/>
              <w:jc w:val="center"/>
            </w:pPr>
            <w:r>
              <w:rPr>
                <w:rFonts w:ascii="Times New Roman" w:hAnsi="Times New Roman" w:cs="Times New Roman" w:eastAsia="Times New Roman"/>
                <w:b w:val="0"/>
                <w:i w:val="0"/>
                <w:sz w:val="20"/>
              </w:rPr>
              <w:t>Rural vs. Urban</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Overall</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20.00</w:t>
            </w:r>
          </w:p>
        </w:tc>
        <w:tc>
          <w:tcPr>
            <w:tcW w:type="dxa" w:w="864"/>
            <w:shd w:val="clear" w:color="auto" w:fill="EBF0FB"/>
          </w:tcPr>
          <w:p>
            <w:pPr>
              <w:spacing w:before="20" w:after="20"/>
              <w:jc w:val="center"/>
            </w:pPr>
            <w:r>
              <w:rPr>
                <w:rFonts w:ascii="Times New Roman" w:hAnsi="Times New Roman" w:cs="Times New Roman" w:eastAsia="Times New Roman"/>
                <w:b w:val="0"/>
                <w:i w:val="0"/>
                <w:sz w:val="20"/>
              </w:rPr>
              <w:t>22.37</w:t>
            </w:r>
          </w:p>
        </w:tc>
        <w:tc>
          <w:tcPr>
            <w:tcW w:type="dxa" w:w="1008"/>
            <w:shd w:val="clear" w:color="auto" w:fill="EBF0FB"/>
          </w:tcPr>
          <w:p>
            <w:pPr>
              <w:spacing w:before="20" w:after="20"/>
              <w:jc w:val="center"/>
            </w:pPr>
            <w:r>
              <w:rPr>
                <w:rFonts w:ascii="Times New Roman" w:hAnsi="Times New Roman" w:cs="Times New Roman" w:eastAsia="Times New Roman"/>
                <w:b w:val="0"/>
                <w:i w:val="0"/>
                <w:sz w:val="20"/>
              </w:rPr>
              <w:t>2.135</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t>58</w:t>
            </w:r>
          </w:p>
        </w:tc>
        <w:tc>
          <w:tcPr>
            <w:tcW w:type="dxa" w:w="1152"/>
            <w:shd w:val="clear" w:color="auto" w:fill="EBF0FB"/>
          </w:tcPr>
          <w:p>
            <w:pPr>
              <w:spacing w:before="20" w:after="20"/>
              <w:jc w:val="center"/>
            </w:pPr>
            <w:r>
              <w:rPr>
                <w:rFonts w:ascii="Times New Roman" w:hAnsi="Times New Roman" w:cs="Times New Roman" w:eastAsia="Times New Roman"/>
                <w:b w:val="0"/>
                <w:i w:val="0"/>
                <w:sz w:val="20"/>
              </w:rPr>
              <w:t>2.002</w:t>
            </w:r>
          </w:p>
        </w:tc>
        <w:tc>
          <w:tcPr>
            <w:tcW w:type="dxa" w:w="1296"/>
            <w:shd w:val="clear" w:color="auto" w:fill="EBF0FB"/>
          </w:tcPr>
          <w:p>
            <w:pPr>
              <w:spacing w:before="20" w:after="20"/>
              <w:jc w:val="center"/>
            </w:pPr>
            <w:r>
              <w:rPr>
                <w:rFonts w:ascii="Times New Roman" w:hAnsi="Times New Roman" w:cs="Times New Roman" w:eastAsia="Times New Roman"/>
                <w:b w:val="0"/>
                <w:i w:val="0"/>
                <w:sz w:val="20"/>
              </w:rPr>
              <w:t>Rejected ✘</w:t>
            </w:r>
          </w:p>
        </w:tc>
      </w:tr>
    </w:tbl>
    <w:p/>
    <w:p>
      <w:pPr>
        <w:jc w:val="center"/>
      </w:pPr>
      <w:r>
        <w:drawing>
          <wp:inline xmlns:a="http://schemas.openxmlformats.org/drawingml/2006/main" xmlns:pic="http://schemas.openxmlformats.org/drawingml/2006/picture">
            <wp:extent cx="5669280" cy="3021218"/>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021218"/>
                    </a:xfrm>
                    <a:prstGeom prst="rect"/>
                  </pic:spPr>
                </pic:pic>
              </a:graphicData>
            </a:graphic>
          </wp:inline>
        </w:drawing>
      </w:r>
    </w:p>
    <w:p>
      <w:pPr>
        <w:spacing w:after="200"/>
        <w:jc w:val="center"/>
      </w:pPr>
      <w:r>
        <w:rPr>
          <w:rFonts w:ascii="Times New Roman" w:hAnsi="Times New Roman" w:cs="Times New Roman" w:eastAsia="Times New Roman"/>
          <w:b w:val="0"/>
          <w:i/>
          <w:sz w:val="20"/>
        </w:rPr>
        <w:t>Figure 4.11: Bar Graph – Calculated t-values for All 7 Hypotheses (Red line = Critical t = 2.002)</w:t>
      </w:r>
    </w:p>
    <w:p>
      <w:pPr>
        <w:spacing w:before="0" w:after="120" w:lineRule="auto" w:line="360"/>
        <w:jc w:val="both"/>
      </w:pPr>
      <w:r>
        <w:rPr>
          <w:rFonts w:ascii="Times New Roman" w:hAnsi="Times New Roman" w:cs="Times New Roman" w:eastAsia="Times New Roman"/>
          <w:b w:val="0"/>
          <w:i w:val="0"/>
          <w:sz w:val="24"/>
        </w:rPr>
        <w:t>The consolidated table and bar graph clearly show that six of the seven null hypotheses were rejected. The only retained hypothesis (H₀₆) confirms that the overall level of vocational engagement is equal between boys and girls. The highest t-value (36.15 for Technical interest) demonstrates near-perfect gender separation on that dimension, while the modest t-value for rural-urban overall comparison (2.135) indicates that location has a weaker influence on total vocational engagement than on specific area preferences.</w:t>
      </w:r>
    </w:p>
    <w:p>
      <w:pPr>
        <w:spacing w:before="280" w:after="160" w:lineRule="auto" w:line="276"/>
        <w:jc w:val="left"/>
      </w:pPr>
      <w:r>
        <w:rPr>
          <w:rFonts w:ascii="Times New Roman" w:hAnsi="Times New Roman" w:cs="Times New Roman" w:eastAsia="Times New Roman"/>
          <w:b/>
          <w:i w:val="0"/>
          <w:color w:val="8B0000"/>
          <w:sz w:val="28"/>
        </w:rPr>
        <w:t>4.6  Major Observations</w:t>
      </w:r>
    </w:p>
    <w:p>
      <w:pPr>
        <w:spacing w:before="0" w:after="80" w:lineRule="auto" w:line="360"/>
        <w:jc w:val="both"/>
      </w:pPr>
      <w:r>
        <w:rPr>
          <w:rFonts w:ascii="Times New Roman" w:hAnsi="Times New Roman" w:cs="Times New Roman" w:eastAsia="Times New Roman"/>
          <w:b w:val="0"/>
          <w:i w:val="0"/>
          <w:sz w:val="24"/>
        </w:rPr>
        <w:t>1.  Technical interest is the single most gender-differentiated vocational area (t = 36.15; mean difference = 18.40 points; boys dramatically higher).</w:t>
      </w:r>
    </w:p>
    <w:p>
      <w:pPr>
        <w:spacing w:before="0" w:after="80" w:lineRule="auto" w:line="360"/>
        <w:jc w:val="both"/>
      </w:pPr>
      <w:r>
        <w:rPr>
          <w:rFonts w:ascii="Times New Roman" w:hAnsi="Times New Roman" w:cs="Times New Roman" w:eastAsia="Times New Roman"/>
          <w:b w:val="0"/>
          <w:i w:val="0"/>
          <w:sz w:val="24"/>
        </w:rPr>
        <w:t>2.  Household interest shows the second-largest gender difference (16.87 points in girls’ favour), particularly pronounced among rural girls.</w:t>
      </w:r>
    </w:p>
    <w:p>
      <w:pPr>
        <w:spacing w:before="0" w:after="80" w:lineRule="auto" w:line="360"/>
        <w:jc w:val="both"/>
      </w:pPr>
      <w:r>
        <w:rPr>
          <w:rFonts w:ascii="Times New Roman" w:hAnsi="Times New Roman" w:cs="Times New Roman" w:eastAsia="Times New Roman"/>
          <w:b w:val="0"/>
          <w:i w:val="0"/>
          <w:sz w:val="24"/>
        </w:rPr>
        <w:t>3.  Artistic and Social interests are strongly female-oriented (t = 21.01 and t = 13.65 respectively).</w:t>
      </w:r>
    </w:p>
    <w:p>
      <w:pPr>
        <w:spacing w:before="0" w:after="80" w:lineRule="auto" w:line="360"/>
        <w:jc w:val="both"/>
      </w:pPr>
      <w:r>
        <w:rPr>
          <w:rFonts w:ascii="Times New Roman" w:hAnsi="Times New Roman" w:cs="Times New Roman" w:eastAsia="Times New Roman"/>
          <w:b w:val="0"/>
          <w:i w:val="0"/>
          <w:sz w:val="24"/>
        </w:rPr>
        <w:t>4.  Agricultural interest is the strongest rural-urban differentiator (t = 10.79; rural students 12.20 points higher on average).</w:t>
      </w:r>
    </w:p>
    <w:p>
      <w:pPr>
        <w:spacing w:before="0" w:after="80" w:lineRule="auto" w:line="360"/>
        <w:jc w:val="both"/>
      </w:pPr>
      <w:r>
        <w:rPr>
          <w:rFonts w:ascii="Times New Roman" w:hAnsi="Times New Roman" w:cs="Times New Roman" w:eastAsia="Times New Roman"/>
          <w:b w:val="0"/>
          <w:i w:val="0"/>
          <w:sz w:val="24"/>
        </w:rPr>
        <w:t>5.  Urban girls show a dramatically more diverse interest profile than rural girls, especially in Scientific (+11.20 points), Commercial (+9.20), and Executive (+7.87) areas — demonstrating the significant moderating role of school environment.</w:t>
      </w:r>
    </w:p>
    <w:p>
      <w:pPr>
        <w:spacing w:before="0" w:after="80" w:lineRule="auto" w:line="360"/>
        <w:jc w:val="both"/>
      </w:pPr>
      <w:r>
        <w:rPr>
          <w:rFonts w:ascii="Times New Roman" w:hAnsi="Times New Roman" w:cs="Times New Roman" w:eastAsia="Times New Roman"/>
          <w:b w:val="0"/>
          <w:i w:val="0"/>
          <w:sz w:val="24"/>
        </w:rPr>
        <w:t>6.  Commercial interest is the most gender-neutral area (difference = 0.47 points), suggesting growing convergence in business aspirations across genders.</w:t>
      </w:r>
    </w:p>
    <w:p>
      <w:pPr>
        <w:spacing w:before="0" w:after="80" w:lineRule="auto" w:line="360"/>
        <w:jc w:val="both"/>
      </w:pPr>
      <w:r>
        <w:rPr>
          <w:rFonts w:ascii="Times New Roman" w:hAnsi="Times New Roman" w:cs="Times New Roman" w:eastAsia="Times New Roman"/>
          <w:b w:val="0"/>
          <w:i w:val="0"/>
          <w:sz w:val="24"/>
        </w:rPr>
        <w:t>7.  Overall vocational interest level is equal between boys and girls (H₀₆ retained), confirming that gender differences are directional, not motivational.</w:t>
      </w:r>
    </w:p>
    <w:p>
      <w:pPr>
        <w:spacing w:before="0" w:after="80" w:lineRule="auto" w:line="360"/>
        <w:jc w:val="both"/>
      </w:pPr>
      <w:r>
        <w:rPr>
          <w:rFonts w:ascii="Times New Roman" w:hAnsi="Times New Roman" w:cs="Times New Roman" w:eastAsia="Times New Roman"/>
          <w:b w:val="0"/>
          <w:i w:val="0"/>
          <w:sz w:val="24"/>
        </w:rPr>
        <w:t>8.  Urban students show slightly but significantly higher overall vocational interest than rural students, reflecting broader vocational exposure in urban environments.</w:t>
      </w:r>
    </w:p>
    <w:p>
      <w:r>
        <w:br w:type="page"/>
      </w:r>
    </w:p>
    <w:p>
      <w:pPr>
        <w:spacing w:before="400" w:after="160" w:lineRule="auto" w:line="276"/>
        <w:jc w:val="center"/>
      </w:pPr>
      <w:r>
        <w:rPr>
          <w:rFonts w:ascii="Times New Roman" w:hAnsi="Times New Roman" w:cs="Times New Roman" w:eastAsia="Times New Roman"/>
          <w:b/>
          <w:i w:val="0"/>
          <w:color w:val="1A356E"/>
          <w:sz w:val="32"/>
        </w:rPr>
        <w:t>CHAPTER 5</w:t>
      </w:r>
    </w:p>
    <w:p>
      <w:pPr>
        <w:spacing w:before="400" w:after="160" w:lineRule="auto" w:line="276"/>
        <w:jc w:val="center"/>
      </w:pPr>
      <w:r>
        <w:rPr>
          <w:rFonts w:ascii="Times New Roman" w:hAnsi="Times New Roman" w:cs="Times New Roman" w:eastAsia="Times New Roman"/>
          <w:b/>
          <w:i w:val="0"/>
          <w:color w:val="1A356E"/>
          <w:sz w:val="32"/>
        </w:rPr>
        <w:t>SUMMARY, FINDINGS, CONCLUSIONS AND SUGGESTIONS</w:t>
      </w:r>
    </w:p>
    <w:p>
      <w:pPr>
        <w:spacing w:before="280" w:after="160" w:lineRule="auto" w:line="276"/>
        <w:jc w:val="left"/>
      </w:pPr>
      <w:r>
        <w:rPr>
          <w:rFonts w:ascii="Times New Roman" w:hAnsi="Times New Roman" w:cs="Times New Roman" w:eastAsia="Times New Roman"/>
          <w:b/>
          <w:i w:val="0"/>
          <w:color w:val="8B0000"/>
          <w:sz w:val="28"/>
        </w:rPr>
        <w:t>5.1  Summary of the Study</w:t>
      </w:r>
    </w:p>
    <w:p>
      <w:pPr>
        <w:spacing w:before="0" w:after="120" w:lineRule="auto" w:line="360"/>
        <w:jc w:val="both"/>
      </w:pPr>
      <w:r>
        <w:rPr>
          <w:rFonts w:ascii="Times New Roman" w:hAnsi="Times New Roman" w:cs="Times New Roman" w:eastAsia="Times New Roman"/>
          <w:b w:val="0"/>
          <w:i w:val="0"/>
          <w:sz w:val="24"/>
        </w:rPr>
        <w:t>The present study was undertaken with the principal objective of examining and comparing the vocational interests of boys and girls studying at the secondary level in the Kila Parikshit Garh area of Meerut district, Uttar Pradesh. The specific focus was on exploring gender-based and school-type-based differences in vocational interests using a scientifically validated measurement instrument in a sample representing both rural government and urban private secondary school environments.</w:t>
      </w:r>
    </w:p>
    <w:p>
      <w:pPr>
        <w:spacing w:before="0" w:after="100" w:lineRule="auto" w:line="360"/>
        <w:jc w:val="both"/>
      </w:pPr>
      <w:r>
        <w:rPr>
          <w:rFonts w:ascii="Times New Roman" w:hAnsi="Times New Roman" w:cs="Times New Roman" w:eastAsia="Times New Roman"/>
          <w:b/>
          <w:i w:val="0"/>
          <w:sz w:val="24"/>
        </w:rPr>
        <w:t xml:space="preserve">Title: </w:t>
      </w:r>
      <w:r>
        <w:rPr>
          <w:rFonts w:ascii="Times New Roman" w:hAnsi="Times New Roman" w:cs="Times New Roman" w:eastAsia="Times New Roman"/>
          <w:b w:val="0"/>
          <w:i w:val="0"/>
          <w:sz w:val="24"/>
        </w:rPr>
        <w:t>“A Comparative Study of the Vocational Interests of Boys and Girls Studying at Secondary Level”</w:t>
      </w:r>
    </w:p>
    <w:p>
      <w:pPr>
        <w:spacing w:before="0" w:after="100" w:lineRule="auto" w:line="360"/>
        <w:jc w:val="both"/>
      </w:pPr>
      <w:r>
        <w:rPr>
          <w:rFonts w:ascii="Times New Roman" w:hAnsi="Times New Roman" w:cs="Times New Roman" w:eastAsia="Times New Roman"/>
          <w:b/>
          <w:i w:val="0"/>
          <w:sz w:val="24"/>
        </w:rPr>
        <w:t xml:space="preserve">Research Scholar: </w:t>
      </w:r>
      <w:r>
        <w:rPr>
          <w:rFonts w:ascii="Times New Roman" w:hAnsi="Times New Roman" w:cs="Times New Roman" w:eastAsia="Times New Roman"/>
          <w:b w:val="0"/>
          <w:i w:val="0"/>
          <w:sz w:val="24"/>
        </w:rPr>
        <w:t>Vipul Chaudhary, Roll No. 230557023</w:t>
      </w:r>
    </w:p>
    <w:p>
      <w:pPr>
        <w:spacing w:before="0" w:after="100" w:lineRule="auto" w:line="360"/>
        <w:jc w:val="both"/>
      </w:pPr>
      <w:r>
        <w:rPr>
          <w:rFonts w:ascii="Times New Roman" w:hAnsi="Times New Roman" w:cs="Times New Roman" w:eastAsia="Times New Roman"/>
          <w:b/>
          <w:i w:val="0"/>
          <w:sz w:val="24"/>
        </w:rPr>
        <w:t xml:space="preserve">Supervisor: </w:t>
      </w:r>
      <w:r>
        <w:rPr>
          <w:rFonts w:ascii="Times New Roman" w:hAnsi="Times New Roman" w:cs="Times New Roman" w:eastAsia="Times New Roman"/>
          <w:b w:val="0"/>
          <w:i w:val="0"/>
          <w:sz w:val="24"/>
        </w:rPr>
        <w:t>Dr. Seema Sharma, Department of Education, Meerut College, Meerut</w:t>
      </w:r>
    </w:p>
    <w:p>
      <w:pPr>
        <w:spacing w:before="0" w:after="100" w:lineRule="auto" w:line="360"/>
        <w:jc w:val="both"/>
      </w:pPr>
      <w:r>
        <w:rPr>
          <w:rFonts w:ascii="Times New Roman" w:hAnsi="Times New Roman" w:cs="Times New Roman" w:eastAsia="Times New Roman"/>
          <w:b/>
          <w:i w:val="0"/>
          <w:sz w:val="24"/>
        </w:rPr>
        <w:t xml:space="preserve">University: </w:t>
      </w:r>
      <w:r>
        <w:rPr>
          <w:rFonts w:ascii="Times New Roman" w:hAnsi="Times New Roman" w:cs="Times New Roman" w:eastAsia="Times New Roman"/>
          <w:b w:val="0"/>
          <w:i w:val="0"/>
          <w:sz w:val="24"/>
        </w:rPr>
        <w:t>Chaudhary Charan Singh University, Meerut</w:t>
      </w:r>
    </w:p>
    <w:p>
      <w:pPr>
        <w:spacing w:before="0" w:after="100" w:lineRule="auto" w:line="360"/>
        <w:jc w:val="both"/>
      </w:pPr>
      <w:r>
        <w:rPr>
          <w:rFonts w:ascii="Times New Roman" w:hAnsi="Times New Roman" w:cs="Times New Roman" w:eastAsia="Times New Roman"/>
          <w:b/>
          <w:i w:val="0"/>
          <w:sz w:val="24"/>
        </w:rPr>
        <w:t xml:space="preserve">Session: </w:t>
      </w:r>
      <w:r>
        <w:rPr>
          <w:rFonts w:ascii="Times New Roman" w:hAnsi="Times New Roman" w:cs="Times New Roman" w:eastAsia="Times New Roman"/>
          <w:b w:val="0"/>
          <w:i w:val="0"/>
          <w:sz w:val="24"/>
        </w:rPr>
        <w:t>2024–2026</w:t>
      </w:r>
    </w:p>
    <w:p>
      <w:pPr>
        <w:spacing w:before="0" w:after="100" w:lineRule="auto" w:line="360"/>
        <w:jc w:val="both"/>
      </w:pPr>
      <w:r>
        <w:rPr>
          <w:rFonts w:ascii="Times New Roman" w:hAnsi="Times New Roman" w:cs="Times New Roman" w:eastAsia="Times New Roman"/>
          <w:b/>
          <w:i w:val="0"/>
          <w:sz w:val="24"/>
        </w:rPr>
        <w:t xml:space="preserve">Method: </w:t>
      </w:r>
      <w:r>
        <w:rPr>
          <w:rFonts w:ascii="Times New Roman" w:hAnsi="Times New Roman" w:cs="Times New Roman" w:eastAsia="Times New Roman"/>
          <w:b w:val="0"/>
          <w:i w:val="0"/>
          <w:sz w:val="24"/>
        </w:rPr>
        <w:t>Descriptive Survey Method with Comparative Design.</w:t>
      </w:r>
    </w:p>
    <w:p>
      <w:pPr>
        <w:spacing w:before="0" w:after="100" w:lineRule="auto" w:line="360"/>
        <w:jc w:val="both"/>
      </w:pPr>
      <w:r>
        <w:rPr>
          <w:rFonts w:ascii="Times New Roman" w:hAnsi="Times New Roman" w:cs="Times New Roman" w:eastAsia="Times New Roman"/>
          <w:b/>
          <w:i w:val="0"/>
          <w:sz w:val="24"/>
        </w:rPr>
        <w:t xml:space="preserve">Sample: </w:t>
      </w:r>
      <w:r>
        <w:rPr>
          <w:rFonts w:ascii="Times New Roman" w:hAnsi="Times New Roman" w:cs="Times New Roman" w:eastAsia="Times New Roman"/>
          <w:b w:val="0"/>
          <w:i w:val="0"/>
          <w:sz w:val="24"/>
        </w:rPr>
        <w:t>60 secondary school students (30 boys and 30 girls) — 15 rural boys and 15 rural girls from Shri Sanskrit Inter College, Meerut (Class IX, U.P. Board); 15 urban boys and 15 urban girls from KP International School, Kila Parikshit Garh (Class X, CBSE).</w:t>
      </w:r>
    </w:p>
    <w:p>
      <w:pPr>
        <w:spacing w:before="0" w:after="100" w:lineRule="auto" w:line="360"/>
        <w:jc w:val="both"/>
      </w:pPr>
      <w:r>
        <w:rPr>
          <w:rFonts w:ascii="Times New Roman" w:hAnsi="Times New Roman" w:cs="Times New Roman" w:eastAsia="Times New Roman"/>
          <w:b/>
          <w:i w:val="0"/>
          <w:sz w:val="24"/>
        </w:rPr>
        <w:t xml:space="preserve">Sampling Technique: </w:t>
      </w:r>
      <w:r>
        <w:rPr>
          <w:rFonts w:ascii="Times New Roman" w:hAnsi="Times New Roman" w:cs="Times New Roman" w:eastAsia="Times New Roman"/>
          <w:b w:val="0"/>
          <w:i w:val="0"/>
          <w:sz w:val="24"/>
        </w:rPr>
        <w:t>Simple Random Sampling.</w:t>
      </w:r>
    </w:p>
    <w:p>
      <w:pPr>
        <w:spacing w:before="0" w:after="100" w:lineRule="auto" w:line="360"/>
        <w:jc w:val="both"/>
      </w:pPr>
      <w:r>
        <w:rPr>
          <w:rFonts w:ascii="Times New Roman" w:hAnsi="Times New Roman" w:cs="Times New Roman" w:eastAsia="Times New Roman"/>
          <w:b/>
          <w:i w:val="0"/>
          <w:sz w:val="24"/>
        </w:rPr>
        <w:t xml:space="preserve">Tool: </w:t>
      </w:r>
      <w:r>
        <w:rPr>
          <w:rFonts w:ascii="Times New Roman" w:hAnsi="Times New Roman" w:cs="Times New Roman" w:eastAsia="Times New Roman"/>
          <w:b w:val="0"/>
          <w:i w:val="0"/>
          <w:sz w:val="24"/>
        </w:rPr>
        <w:t>S.P. Kulshrestha Vocational Interest Record (KVIR), measuring nine areas: Literary, Scientific, Technical, Artistic, Commercial, Executive, Agricultural, Household, and Social.</w:t>
      </w:r>
    </w:p>
    <w:p>
      <w:pPr>
        <w:spacing w:before="0" w:after="100" w:lineRule="auto" w:line="360"/>
        <w:jc w:val="both"/>
      </w:pPr>
      <w:r>
        <w:rPr>
          <w:rFonts w:ascii="Times New Roman" w:hAnsi="Times New Roman" w:cs="Times New Roman" w:eastAsia="Times New Roman"/>
          <w:b/>
          <w:i w:val="0"/>
          <w:sz w:val="24"/>
        </w:rPr>
        <w:t xml:space="preserve">Statistical Techniques: </w:t>
      </w:r>
      <w:r>
        <w:rPr>
          <w:rFonts w:ascii="Times New Roman" w:hAnsi="Times New Roman" w:cs="Times New Roman" w:eastAsia="Times New Roman"/>
          <w:b w:val="0"/>
          <w:i w:val="0"/>
          <w:sz w:val="24"/>
        </w:rPr>
        <w:t>Percentage Analysis, Mean, Standard Deviation, and t-test for Independent Samples. All hypotheses tested at the 0.05 level of significance.</w:t>
      </w:r>
    </w:p>
    <w:p>
      <w:pPr>
        <w:spacing w:before="0" w:after="100" w:lineRule="auto" w:line="360"/>
        <w:jc w:val="both"/>
      </w:pPr>
      <w:r>
        <w:rPr>
          <w:rFonts w:ascii="Times New Roman" w:hAnsi="Times New Roman" w:cs="Times New Roman" w:eastAsia="Times New Roman"/>
          <w:b/>
          <w:i w:val="0"/>
          <w:sz w:val="24"/>
        </w:rPr>
        <w:t xml:space="preserve">Hypotheses: </w:t>
      </w:r>
      <w:r>
        <w:rPr>
          <w:rFonts w:ascii="Times New Roman" w:hAnsi="Times New Roman" w:cs="Times New Roman" w:eastAsia="Times New Roman"/>
          <w:b w:val="0"/>
          <w:i w:val="0"/>
          <w:sz w:val="24"/>
        </w:rPr>
        <w:t>Seven null hypotheses were formulated and tested. Six were rejected; one was retained.</w:t>
      </w:r>
    </w:p>
    <w:p>
      <w:pPr>
        <w:spacing w:before="0" w:after="120" w:lineRule="auto" w:line="360"/>
        <w:jc w:val="both"/>
      </w:pPr>
      <w:r>
        <w:rPr>
          <w:rFonts w:ascii="Times New Roman" w:hAnsi="Times New Roman" w:cs="Times New Roman" w:eastAsia="Times New Roman"/>
          <w:b w:val="0"/>
          <w:i w:val="0"/>
          <w:sz w:val="24"/>
        </w:rPr>
        <w:t>Data collection was completed during September 2025 at both schools, following formal permissions from respective principals and informed assent from all participating students. All 60 answer sheets were complete and usable.</w:t>
      </w:r>
    </w:p>
    <w:p>
      <w:pPr>
        <w:spacing w:before="280" w:after="160" w:lineRule="auto" w:line="276"/>
        <w:jc w:val="left"/>
      </w:pPr>
      <w:r>
        <w:rPr>
          <w:rFonts w:ascii="Times New Roman" w:hAnsi="Times New Roman" w:cs="Times New Roman" w:eastAsia="Times New Roman"/>
          <w:b/>
          <w:i w:val="0"/>
          <w:color w:val="8B0000"/>
          <w:sz w:val="28"/>
        </w:rPr>
        <w:t>5.2  Major Findings</w:t>
      </w:r>
    </w:p>
    <w:p>
      <w:pPr>
        <w:spacing w:before="200" w:after="160" w:lineRule="auto" w:line="276"/>
        <w:jc w:val="left"/>
      </w:pPr>
      <w:r>
        <w:rPr>
          <w:rFonts w:ascii="Times New Roman" w:hAnsi="Times New Roman" w:cs="Times New Roman" w:eastAsia="Times New Roman"/>
          <w:b/>
          <w:i w:val="0"/>
          <w:sz w:val="26"/>
        </w:rPr>
        <w:t>5.2.1  Gender-wise Findings</w:t>
      </w:r>
    </w:p>
    <w:p>
      <w:pPr>
        <w:spacing w:before="0" w:after="80" w:lineRule="auto" w:line="360"/>
        <w:jc w:val="both"/>
      </w:pPr>
      <w:r>
        <w:rPr>
          <w:rFonts w:ascii="Times New Roman" w:hAnsi="Times New Roman" w:cs="Times New Roman" w:eastAsia="Times New Roman"/>
          <w:b w:val="0"/>
          <w:i w:val="0"/>
          <w:sz w:val="24"/>
        </w:rPr>
        <w:t>1.  Boys scored significantly higher than girls in Technical vocational interest (Boys M = 31.07, Girls M = 12.67; t = 36.15, p &lt; 0.001). This is the most gender-differentiated area in the entire study.</w:t>
      </w:r>
    </w:p>
    <w:p>
      <w:pPr>
        <w:spacing w:before="0" w:after="80" w:lineRule="auto" w:line="360"/>
        <w:jc w:val="both"/>
      </w:pPr>
      <w:r>
        <w:rPr>
          <w:rFonts w:ascii="Times New Roman" w:hAnsi="Times New Roman" w:cs="Times New Roman" w:eastAsia="Times New Roman"/>
          <w:b w:val="0"/>
          <w:i w:val="0"/>
          <w:sz w:val="24"/>
        </w:rPr>
        <w:t>2.  Boys scored significantly higher than girls in Scientific vocational interest (Boys M = 26.53, Girls M = 20.53; t = 5.15, p &lt; 0.05). The gender gap in science is smaller than in technical fields.</w:t>
      </w:r>
    </w:p>
    <w:p>
      <w:pPr>
        <w:spacing w:before="0" w:after="80" w:lineRule="auto" w:line="360"/>
        <w:jc w:val="both"/>
      </w:pPr>
      <w:r>
        <w:rPr>
          <w:rFonts w:ascii="Times New Roman" w:hAnsi="Times New Roman" w:cs="Times New Roman" w:eastAsia="Times New Roman"/>
          <w:b w:val="0"/>
          <w:i w:val="0"/>
          <w:sz w:val="24"/>
        </w:rPr>
        <w:t>3.  Girls scored significantly higher than boys in Social vocational interest (Girls M = 29.07, Boys M = 18.07; t = 13.65, p &lt; 0.001).</w:t>
      </w:r>
    </w:p>
    <w:p>
      <w:pPr>
        <w:spacing w:before="0" w:after="80" w:lineRule="auto" w:line="360"/>
        <w:jc w:val="both"/>
      </w:pPr>
      <w:r>
        <w:rPr>
          <w:rFonts w:ascii="Times New Roman" w:hAnsi="Times New Roman" w:cs="Times New Roman" w:eastAsia="Times New Roman"/>
          <w:b w:val="0"/>
          <w:i w:val="0"/>
          <w:sz w:val="24"/>
        </w:rPr>
        <w:t>4.  Girls scored significantly higher than boys in Artistic vocational interest (Girls M = 30.27, Boys M = 15.33; t = 21.01, p &lt; 0.001).</w:t>
      </w:r>
    </w:p>
    <w:p>
      <w:pPr>
        <w:spacing w:before="0" w:after="80" w:lineRule="auto" w:line="360"/>
        <w:jc w:val="both"/>
      </w:pPr>
      <w:r>
        <w:rPr>
          <w:rFonts w:ascii="Times New Roman" w:hAnsi="Times New Roman" w:cs="Times New Roman" w:eastAsia="Times New Roman"/>
          <w:b w:val="0"/>
          <w:i w:val="0"/>
          <w:sz w:val="24"/>
        </w:rPr>
        <w:t>5.  Girls scored substantially higher in Household interest (Girls M = 25.93 vs. Boys M = 9.07; difference = 16.87 points), particularly among rural girls (M = 30.80).</w:t>
      </w:r>
    </w:p>
    <w:p>
      <w:pPr>
        <w:spacing w:before="0" w:after="80" w:lineRule="auto" w:line="360"/>
        <w:jc w:val="both"/>
      </w:pPr>
      <w:r>
        <w:rPr>
          <w:rFonts w:ascii="Times New Roman" w:hAnsi="Times New Roman" w:cs="Times New Roman" w:eastAsia="Times New Roman"/>
          <w:b w:val="0"/>
          <w:i w:val="0"/>
          <w:sz w:val="24"/>
        </w:rPr>
        <w:t>6.  Commercial vocational interest showed the smallest gender difference in the entire study (Boys M = 20.53, Girls M = 20.07; difference = 0.47 points), indicating that business and entrepreneurship interests are increasingly gender-neutral.</w:t>
      </w:r>
    </w:p>
    <w:p>
      <w:pPr>
        <w:spacing w:before="0" w:after="80" w:lineRule="auto" w:line="360"/>
        <w:jc w:val="both"/>
      </w:pPr>
      <w:r>
        <w:rPr>
          <w:rFonts w:ascii="Times New Roman" w:hAnsi="Times New Roman" w:cs="Times New Roman" w:eastAsia="Times New Roman"/>
          <w:b w:val="0"/>
          <w:i w:val="0"/>
          <w:sz w:val="24"/>
        </w:rPr>
        <w:t>7.  The overall vocational interest scores did not differ significantly between boys and girls (t = 0.807, p &gt; 0.05; H₀₆ retained). Gender differences are directional, not motivational.</w:t>
      </w:r>
    </w:p>
    <w:p>
      <w:pPr>
        <w:spacing w:before="200" w:after="160" w:lineRule="auto" w:line="276"/>
        <w:jc w:val="left"/>
      </w:pPr>
      <w:r>
        <w:rPr>
          <w:rFonts w:ascii="Times New Roman" w:hAnsi="Times New Roman" w:cs="Times New Roman" w:eastAsia="Times New Roman"/>
          <w:b/>
          <w:i w:val="0"/>
          <w:sz w:val="26"/>
        </w:rPr>
        <w:t>5.2.2  Location-wise Findings</w:t>
      </w:r>
    </w:p>
    <w:p>
      <w:pPr>
        <w:spacing w:before="0" w:after="80" w:lineRule="auto" w:line="360"/>
        <w:jc w:val="both"/>
      </w:pPr>
      <w:r>
        <w:rPr>
          <w:rFonts w:ascii="Times New Roman" w:hAnsi="Times New Roman" w:cs="Times New Roman" w:eastAsia="Times New Roman"/>
          <w:b w:val="0"/>
          <w:i w:val="0"/>
          <w:sz w:val="24"/>
        </w:rPr>
        <w:t>1.  Rural students scored significantly higher than urban students in Agricultural vocational interest (Rural M = 23.33, Urban M = 11.13; t = 10.79, p &lt; 0.001). This is the largest rural-urban difference in the study.</w:t>
      </w:r>
    </w:p>
    <w:p>
      <w:pPr>
        <w:spacing w:before="0" w:after="80" w:lineRule="auto" w:line="360"/>
        <w:jc w:val="both"/>
      </w:pPr>
      <w:r>
        <w:rPr>
          <w:rFonts w:ascii="Times New Roman" w:hAnsi="Times New Roman" w:cs="Times New Roman" w:eastAsia="Times New Roman"/>
          <w:b w:val="0"/>
          <w:i w:val="0"/>
          <w:sz w:val="24"/>
        </w:rPr>
        <w:t>2.  Urban boys showed considerably higher Scientific (M = 30.13 vs. M = 22.93), Commercial (M = 24.67 vs. M = 16.40), and Executive (M = 27.87 vs. M = 20.13) interests compared to rural boys.</w:t>
      </w:r>
    </w:p>
    <w:p>
      <w:pPr>
        <w:spacing w:before="0" w:after="80" w:lineRule="auto" w:line="360"/>
        <w:jc w:val="both"/>
      </w:pPr>
      <w:r>
        <w:rPr>
          <w:rFonts w:ascii="Times New Roman" w:hAnsi="Times New Roman" w:cs="Times New Roman" w:eastAsia="Times New Roman"/>
          <w:b w:val="0"/>
          <w:i w:val="0"/>
          <w:sz w:val="24"/>
        </w:rPr>
        <w:t>3.  Urban girls showed dramatically higher Scientific interest (M = 26.13 vs. M = 14.93; difference = 11.20 points) and substantially higher Commercial (M = 24.67 vs. M = 15.47) and Executive (M = 22.13 vs. M = 14.27) interests compared to rural girls.</w:t>
      </w:r>
    </w:p>
    <w:p>
      <w:pPr>
        <w:spacing w:before="0" w:after="80" w:lineRule="auto" w:line="360"/>
        <w:jc w:val="both"/>
      </w:pPr>
      <w:r>
        <w:rPr>
          <w:rFonts w:ascii="Times New Roman" w:hAnsi="Times New Roman" w:cs="Times New Roman" w:eastAsia="Times New Roman"/>
          <w:b w:val="0"/>
          <w:i w:val="0"/>
          <w:sz w:val="24"/>
        </w:rPr>
        <w:t>4.  Rural girls showed the highest household interest of all four groups (M = 30.80), while rural boys showed the highest agricultural interest (M = 28.67).</w:t>
      </w:r>
    </w:p>
    <w:p>
      <w:pPr>
        <w:spacing w:before="0" w:after="80" w:lineRule="auto" w:line="360"/>
        <w:jc w:val="both"/>
      </w:pPr>
      <w:r>
        <w:rPr>
          <w:rFonts w:ascii="Times New Roman" w:hAnsi="Times New Roman" w:cs="Times New Roman" w:eastAsia="Times New Roman"/>
          <w:b w:val="0"/>
          <w:i w:val="0"/>
          <w:sz w:val="24"/>
        </w:rPr>
        <w:t>5.  Urban students showed slightly but significantly higher overall vocational interest scores (Urban M = 22.37 vs. Rural M = 20.00; t = 2.135, p &lt; 0.05; H₀₇ rejected).</w:t>
      </w:r>
    </w:p>
    <w:p>
      <w:pPr>
        <w:spacing w:before="200" w:after="160" w:lineRule="auto" w:line="276"/>
        <w:jc w:val="left"/>
      </w:pPr>
      <w:r>
        <w:rPr>
          <w:rFonts w:ascii="Times New Roman" w:hAnsi="Times New Roman" w:cs="Times New Roman" w:eastAsia="Times New Roman"/>
          <w:b/>
          <w:i w:val="0"/>
          <w:sz w:val="26"/>
        </w:rPr>
        <w:t>5.2.3  Dominant Interest Area Findings</w:t>
      </w:r>
    </w:p>
    <w:p>
      <w:pPr>
        <w:spacing w:before="0" w:after="80" w:lineRule="auto" w:line="360"/>
        <w:jc w:val="both"/>
      </w:pPr>
      <w:r>
        <w:rPr>
          <w:rFonts w:ascii="Times New Roman" w:hAnsi="Times New Roman" w:cs="Times New Roman" w:eastAsia="Times New Roman"/>
          <w:b w:val="0"/>
          <w:i w:val="0"/>
          <w:sz w:val="24"/>
        </w:rPr>
        <w:t>1.  Dominant interest among rural boys: Technical (46.67%), followed by Agricultural (33.33%).</w:t>
      </w:r>
    </w:p>
    <w:p>
      <w:pPr>
        <w:spacing w:before="0" w:after="80" w:lineRule="auto" w:line="360"/>
        <w:jc w:val="both"/>
      </w:pPr>
      <w:r>
        <w:rPr>
          <w:rFonts w:ascii="Times New Roman" w:hAnsi="Times New Roman" w:cs="Times New Roman" w:eastAsia="Times New Roman"/>
          <w:b w:val="0"/>
          <w:i w:val="0"/>
          <w:sz w:val="24"/>
        </w:rPr>
        <w:t>2.  Dominant interest among rural girls: Household (40.00%), followed by Social (33.33%).</w:t>
      </w:r>
    </w:p>
    <w:p>
      <w:pPr>
        <w:spacing w:before="0" w:after="80" w:lineRule="auto" w:line="360"/>
        <w:jc w:val="both"/>
      </w:pPr>
      <w:r>
        <w:rPr>
          <w:rFonts w:ascii="Times New Roman" w:hAnsi="Times New Roman" w:cs="Times New Roman" w:eastAsia="Times New Roman"/>
          <w:b w:val="0"/>
          <w:i w:val="0"/>
          <w:sz w:val="24"/>
        </w:rPr>
        <w:t>3.  Dominant interest among urban boys: Technical (40.00%), followed by Scientific (33.33%).</w:t>
      </w:r>
    </w:p>
    <w:p>
      <w:pPr>
        <w:spacing w:before="0" w:after="80" w:lineRule="auto" w:line="360"/>
        <w:jc w:val="both"/>
      </w:pPr>
      <w:r>
        <w:rPr>
          <w:rFonts w:ascii="Times New Roman" w:hAnsi="Times New Roman" w:cs="Times New Roman" w:eastAsia="Times New Roman"/>
          <w:b w:val="0"/>
          <w:i w:val="0"/>
          <w:sz w:val="24"/>
        </w:rPr>
        <w:t>4.  Dominant interest among urban girls: Artistic (33.33%), followed by Social (26.67%) and Scientific (20.00%).</w:t>
      </w:r>
    </w:p>
    <w:p>
      <w:pPr>
        <w:spacing w:before="280" w:after="160" w:lineRule="auto" w:line="276"/>
        <w:jc w:val="left"/>
      </w:pPr>
      <w:r>
        <w:rPr>
          <w:rFonts w:ascii="Times New Roman" w:hAnsi="Times New Roman" w:cs="Times New Roman" w:eastAsia="Times New Roman"/>
          <w:b/>
          <w:i w:val="0"/>
          <w:color w:val="8B0000"/>
          <w:sz w:val="28"/>
        </w:rPr>
        <w:t>5.3  Educational Implications</w:t>
      </w:r>
    </w:p>
    <w:p>
      <w:pPr>
        <w:spacing w:before="0" w:after="80" w:lineRule="auto" w:line="360"/>
        <w:jc w:val="both"/>
      </w:pPr>
      <w:r>
        <w:rPr>
          <w:rFonts w:ascii="Times New Roman" w:hAnsi="Times New Roman" w:cs="Times New Roman" w:eastAsia="Times New Roman"/>
          <w:b w:val="0"/>
          <w:i w:val="0"/>
          <w:sz w:val="24"/>
        </w:rPr>
        <w:t>1.  The existence of significant gender differences in specific vocational areas underscores the urgent need for structured vocational guidance programmes in secondary schools. These programmes should use standardised interest inventories to help students understand their own interest profiles and should actively challenge gender-stereotyped vocational assumptions.</w:t>
      </w:r>
    </w:p>
    <w:p>
      <w:pPr>
        <w:spacing w:before="0" w:after="80" w:lineRule="auto" w:line="360"/>
        <w:jc w:val="both"/>
      </w:pPr>
      <w:r>
        <w:rPr>
          <w:rFonts w:ascii="Times New Roman" w:hAnsi="Times New Roman" w:cs="Times New Roman" w:eastAsia="Times New Roman"/>
          <w:b w:val="0"/>
          <w:i w:val="0"/>
          <w:sz w:val="24"/>
        </w:rPr>
        <w:t>2.  The dramatic absence of technical and scientific interest among rural girls, contrasted with the emergence of scientific interest among urban girls, demonstrates that girls’ vocational horizons are significantly constrained by their educational environment. Targeted interventions — science clubs, field visits, guest lectures, and mentoring programmes — could broaden rural girls’ aspirations.</w:t>
      </w:r>
    </w:p>
    <w:p>
      <w:pPr>
        <w:spacing w:before="0" w:after="80" w:lineRule="auto" w:line="360"/>
        <w:jc w:val="both"/>
      </w:pPr>
      <w:r>
        <w:rPr>
          <w:rFonts w:ascii="Times New Roman" w:hAnsi="Times New Roman" w:cs="Times New Roman" w:eastAsia="Times New Roman"/>
          <w:b w:val="0"/>
          <w:i w:val="0"/>
          <w:sz w:val="24"/>
        </w:rPr>
        <w:t>3.  Rural students’ high agricultural interest should be leveraged constructively. Rather than treating agriculture as a low-status default, schools should promote modern, scientific agriculture — agribusiness, soil science, food technology, agricultural engineering — as exciting and viable career pathways.</w:t>
      </w:r>
    </w:p>
    <w:p>
      <w:pPr>
        <w:spacing w:before="0" w:after="80" w:lineRule="auto" w:line="360"/>
        <w:jc w:val="both"/>
      </w:pPr>
      <w:r>
        <w:rPr>
          <w:rFonts w:ascii="Times New Roman" w:hAnsi="Times New Roman" w:cs="Times New Roman" w:eastAsia="Times New Roman"/>
          <w:b w:val="0"/>
          <w:i w:val="0"/>
          <w:sz w:val="24"/>
        </w:rPr>
        <w:t>4.  The study’s findings provide empirical support for NEP 2020’s emphasis on vocational education and career guidance. The new policy’s vision of interest-aligned, flexible schooling is directly validated by evidence that location and school type significantly shape vocational interests.</w:t>
      </w:r>
    </w:p>
    <w:p>
      <w:pPr>
        <w:spacing w:before="280" w:after="160" w:lineRule="auto" w:line="276"/>
        <w:jc w:val="left"/>
      </w:pPr>
      <w:r>
        <w:rPr>
          <w:rFonts w:ascii="Times New Roman" w:hAnsi="Times New Roman" w:cs="Times New Roman" w:eastAsia="Times New Roman"/>
          <w:b/>
          <w:i w:val="0"/>
          <w:color w:val="8B0000"/>
          <w:sz w:val="28"/>
        </w:rPr>
        <w:t>5.4  Conclusions</w:t>
      </w:r>
    </w:p>
    <w:p>
      <w:pPr>
        <w:spacing w:before="0" w:after="80" w:lineRule="auto" w:line="360"/>
        <w:jc w:val="both"/>
      </w:pPr>
      <w:r>
        <w:rPr>
          <w:rFonts w:ascii="Times New Roman" w:hAnsi="Times New Roman" w:cs="Times New Roman" w:eastAsia="Times New Roman"/>
          <w:b w:val="0"/>
          <w:i w:val="0"/>
          <w:sz w:val="24"/>
        </w:rPr>
        <w:t>1.  Significant gender differences exist in specific vocational interest areas. Boys show significantly higher technical and scientific interests; girls show significantly higher social, artistic, and household interests. These differences are robust and consistent with national and international literature.</w:t>
      </w:r>
    </w:p>
    <w:p>
      <w:pPr>
        <w:spacing w:before="0" w:after="80" w:lineRule="auto" w:line="360"/>
        <w:jc w:val="both"/>
      </w:pPr>
      <w:r>
        <w:rPr>
          <w:rFonts w:ascii="Times New Roman" w:hAnsi="Times New Roman" w:cs="Times New Roman" w:eastAsia="Times New Roman"/>
          <w:b w:val="0"/>
          <w:i w:val="0"/>
          <w:sz w:val="24"/>
        </w:rPr>
        <w:t>2.  The overall intensity of vocational interest is equal between boys and girls. Gender differences are in the direction, not the overall level, of vocational motivation.</w:t>
      </w:r>
    </w:p>
    <w:p>
      <w:pPr>
        <w:spacing w:before="0" w:after="80" w:lineRule="auto" w:line="360"/>
        <w:jc w:val="both"/>
      </w:pPr>
      <w:r>
        <w:rPr>
          <w:rFonts w:ascii="Times New Roman" w:hAnsi="Times New Roman" w:cs="Times New Roman" w:eastAsia="Times New Roman"/>
          <w:b w:val="0"/>
          <w:i w:val="0"/>
          <w:sz w:val="24"/>
        </w:rPr>
        <w:t>3.  Rural and urban secondary school students differ significantly in their vocational interest profiles. Rural students show stronger agricultural interests; urban students show stronger scientific, commercial, and executive interests.</w:t>
      </w:r>
    </w:p>
    <w:p>
      <w:pPr>
        <w:spacing w:before="0" w:after="80" w:lineRule="auto" w:line="360"/>
        <w:jc w:val="both"/>
      </w:pPr>
      <w:r>
        <w:rPr>
          <w:rFonts w:ascii="Times New Roman" w:hAnsi="Times New Roman" w:cs="Times New Roman" w:eastAsia="Times New Roman"/>
          <w:b w:val="0"/>
          <w:i w:val="0"/>
          <w:sz w:val="24"/>
        </w:rPr>
        <w:t>4.  School type significantly moderates the expression of gender-differentiated vocational interests, particularly for girls. Urban girls show considerably more diverse profiles — including higher scientific interest — compared to rural girls.</w:t>
      </w:r>
    </w:p>
    <w:p>
      <w:pPr>
        <w:spacing w:before="0" w:after="80" w:lineRule="auto" w:line="360"/>
        <w:jc w:val="both"/>
      </w:pPr>
      <w:r>
        <w:rPr>
          <w:rFonts w:ascii="Times New Roman" w:hAnsi="Times New Roman" w:cs="Times New Roman" w:eastAsia="Times New Roman"/>
          <w:b w:val="0"/>
          <w:i w:val="0"/>
          <w:sz w:val="24"/>
        </w:rPr>
        <w:t>5.  The rural school environment, combined with traditional gender norms, creates a particularly constraining context for girls’ vocational interests. This is not a reflection of girls’ inherent limitations but of their restricted occupational exposure and socialisation.</w:t>
      </w:r>
    </w:p>
    <w:p>
      <w:pPr>
        <w:spacing w:before="0" w:after="80" w:lineRule="auto" w:line="360"/>
        <w:jc w:val="both"/>
      </w:pPr>
      <w:r>
        <w:rPr>
          <w:rFonts w:ascii="Times New Roman" w:hAnsi="Times New Roman" w:cs="Times New Roman" w:eastAsia="Times New Roman"/>
          <w:b w:val="0"/>
          <w:i w:val="0"/>
          <w:sz w:val="24"/>
        </w:rPr>
        <w:t>6.  Commercial interest is emerging as an increasingly gender-neutral vocational area, reflecting growing awareness of entrepreneurship and business careers.</w:t>
      </w:r>
    </w:p>
    <w:p>
      <w:pPr>
        <w:spacing w:before="0" w:after="80" w:lineRule="auto" w:line="360"/>
        <w:jc w:val="both"/>
      </w:pPr>
      <w:r>
        <w:rPr>
          <w:rFonts w:ascii="Times New Roman" w:hAnsi="Times New Roman" w:cs="Times New Roman" w:eastAsia="Times New Roman"/>
          <w:b w:val="0"/>
          <w:i w:val="0"/>
          <w:sz w:val="24"/>
        </w:rPr>
        <w:t>7.  The S.P. Kulshrestha Vocational Interest Record remains a valid, reliable, and practically useful tool for assessing vocational interests in Indian secondary school students, and its systematic use in school guidance programmes is strongly recommended.</w:t>
      </w:r>
    </w:p>
    <w:p>
      <w:pPr>
        <w:spacing w:before="280" w:after="160" w:lineRule="auto" w:line="276"/>
        <w:jc w:val="left"/>
      </w:pPr>
      <w:r>
        <w:rPr>
          <w:rFonts w:ascii="Times New Roman" w:hAnsi="Times New Roman" w:cs="Times New Roman" w:eastAsia="Times New Roman"/>
          <w:b/>
          <w:i w:val="0"/>
          <w:color w:val="8B0000"/>
          <w:sz w:val="28"/>
        </w:rPr>
        <w:t>5.5  Suggestions</w:t>
      </w:r>
    </w:p>
    <w:p>
      <w:pPr>
        <w:spacing w:before="200" w:after="160" w:lineRule="auto" w:line="276"/>
        <w:jc w:val="left"/>
      </w:pPr>
      <w:r>
        <w:rPr>
          <w:rFonts w:ascii="Times New Roman" w:hAnsi="Times New Roman" w:cs="Times New Roman" w:eastAsia="Times New Roman"/>
          <w:b/>
          <w:i w:val="0"/>
          <w:sz w:val="26"/>
        </w:rPr>
        <w:t>5.5.1  Suggestions for Teachers</w:t>
      </w:r>
    </w:p>
    <w:p>
      <w:pPr>
        <w:spacing w:before="0" w:after="80" w:lineRule="auto" w:line="360"/>
        <w:jc w:val="both"/>
      </w:pPr>
      <w:r>
        <w:rPr>
          <w:rFonts w:ascii="Times New Roman" w:hAnsi="Times New Roman" w:cs="Times New Roman" w:eastAsia="Times New Roman"/>
          <w:b w:val="0"/>
          <w:i w:val="0"/>
          <w:sz w:val="24"/>
        </w:rPr>
        <w:t>1.  Incorporate discussions about careers and vocations into regular classroom teaching, drawing connections between subject matter and relevant vocational pathways.</w:t>
      </w:r>
    </w:p>
    <w:p>
      <w:pPr>
        <w:spacing w:before="0" w:after="80" w:lineRule="auto" w:line="360"/>
        <w:jc w:val="both"/>
      </w:pPr>
      <w:r>
        <w:rPr>
          <w:rFonts w:ascii="Times New Roman" w:hAnsi="Times New Roman" w:cs="Times New Roman" w:eastAsia="Times New Roman"/>
          <w:b w:val="0"/>
          <w:i w:val="0"/>
          <w:sz w:val="24"/>
        </w:rPr>
        <w:t>2.  Avoid gender-stereotyped assumptions about students’ vocational interests. Boys who express interest in artistic or social fields, and girls who show interest in technical or scientific areas, should be actively encouraged.</w:t>
      </w:r>
    </w:p>
    <w:p>
      <w:pPr>
        <w:spacing w:before="0" w:after="80" w:lineRule="auto" w:line="360"/>
        <w:jc w:val="both"/>
      </w:pPr>
      <w:r>
        <w:rPr>
          <w:rFonts w:ascii="Times New Roman" w:hAnsi="Times New Roman" w:cs="Times New Roman" w:eastAsia="Times New Roman"/>
          <w:b w:val="0"/>
          <w:i w:val="0"/>
          <w:sz w:val="24"/>
        </w:rPr>
        <w:t>3.  Use vocational interest inventories like the KVIR as a regular part of the school’s guidance programme, starting from Class VIII or IX.</w:t>
      </w:r>
    </w:p>
    <w:p>
      <w:pPr>
        <w:spacing w:before="0" w:after="80" w:lineRule="auto" w:line="360"/>
        <w:jc w:val="both"/>
      </w:pPr>
      <w:r>
        <w:rPr>
          <w:rFonts w:ascii="Times New Roman" w:hAnsi="Times New Roman" w:cs="Times New Roman" w:eastAsia="Times New Roman"/>
          <w:b w:val="0"/>
          <w:i w:val="0"/>
          <w:sz w:val="24"/>
        </w:rPr>
        <w:t>4.  Organise career awareness programmes, including talks by professionals from diverse fields, particularly in rural schools where students may have limited direct exposure to various career options.</w:t>
      </w:r>
    </w:p>
    <w:p>
      <w:pPr>
        <w:spacing w:before="200" w:after="160" w:lineRule="auto" w:line="276"/>
        <w:jc w:val="left"/>
      </w:pPr>
      <w:r>
        <w:rPr>
          <w:rFonts w:ascii="Times New Roman" w:hAnsi="Times New Roman" w:cs="Times New Roman" w:eastAsia="Times New Roman"/>
          <w:b/>
          <w:i w:val="0"/>
          <w:sz w:val="26"/>
        </w:rPr>
        <w:t>5.5.2  Suggestions for Parents</w:t>
      </w:r>
    </w:p>
    <w:p>
      <w:pPr>
        <w:spacing w:before="0" w:after="80" w:lineRule="auto" w:line="360"/>
        <w:jc w:val="both"/>
      </w:pPr>
      <w:r>
        <w:rPr>
          <w:rFonts w:ascii="Times New Roman" w:hAnsi="Times New Roman" w:cs="Times New Roman" w:eastAsia="Times New Roman"/>
          <w:b w:val="0"/>
          <w:i w:val="0"/>
          <w:sz w:val="24"/>
        </w:rPr>
        <w:t>1.  Avoid channelling children’s vocational choices based primarily on gender expectations or social prestige. Support children in exploring a wide range of vocational interests, including those that may challenge conventional gender norms.</w:t>
      </w:r>
    </w:p>
    <w:p>
      <w:pPr>
        <w:spacing w:before="0" w:after="80" w:lineRule="auto" w:line="360"/>
        <w:jc w:val="both"/>
      </w:pPr>
      <w:r>
        <w:rPr>
          <w:rFonts w:ascii="Times New Roman" w:hAnsi="Times New Roman" w:cs="Times New Roman" w:eastAsia="Times New Roman"/>
          <w:b w:val="0"/>
          <w:i w:val="0"/>
          <w:sz w:val="24"/>
        </w:rPr>
        <w:t>2.  Expose children to diverse occupational environments from an early age through family discussions, media, and community interactions.</w:t>
      </w:r>
    </w:p>
    <w:p>
      <w:pPr>
        <w:spacing w:before="0" w:after="80" w:lineRule="auto" w:line="360"/>
        <w:jc w:val="both"/>
      </w:pPr>
      <w:r>
        <w:rPr>
          <w:rFonts w:ascii="Times New Roman" w:hAnsi="Times New Roman" w:cs="Times New Roman" w:eastAsia="Times New Roman"/>
          <w:b w:val="0"/>
          <w:i w:val="0"/>
          <w:sz w:val="24"/>
        </w:rPr>
        <w:t>3.  For parents of rural girls especially: actively invest in your daughter’s education and career aspiration. The findings show that girls in supportive educational environments develop diverse and ambitious vocational profiles.</w:t>
      </w:r>
    </w:p>
    <w:p>
      <w:pPr>
        <w:spacing w:before="0" w:after="80" w:lineRule="auto" w:line="360"/>
        <w:jc w:val="both"/>
      </w:pPr>
      <w:r>
        <w:rPr>
          <w:rFonts w:ascii="Times New Roman" w:hAnsi="Times New Roman" w:cs="Times New Roman" w:eastAsia="Times New Roman"/>
          <w:b w:val="0"/>
          <w:i w:val="0"/>
          <w:sz w:val="24"/>
        </w:rPr>
        <w:t>4.  Treat agricultural and vocational technical careers with the same respect as academic professional careers.</w:t>
      </w:r>
    </w:p>
    <w:p>
      <w:pPr>
        <w:spacing w:before="200" w:after="160" w:lineRule="auto" w:line="276"/>
        <w:jc w:val="left"/>
      </w:pPr>
      <w:r>
        <w:rPr>
          <w:rFonts w:ascii="Times New Roman" w:hAnsi="Times New Roman" w:cs="Times New Roman" w:eastAsia="Times New Roman"/>
          <w:b/>
          <w:i w:val="0"/>
          <w:sz w:val="26"/>
        </w:rPr>
        <w:t>5.5.3  Suggestions for Schools</w:t>
      </w:r>
    </w:p>
    <w:p>
      <w:pPr>
        <w:spacing w:before="0" w:after="80" w:lineRule="auto" w:line="360"/>
        <w:jc w:val="both"/>
      </w:pPr>
      <w:r>
        <w:rPr>
          <w:rFonts w:ascii="Times New Roman" w:hAnsi="Times New Roman" w:cs="Times New Roman" w:eastAsia="Times New Roman"/>
          <w:b w:val="0"/>
          <w:i w:val="0"/>
          <w:sz w:val="24"/>
        </w:rPr>
        <w:t>1.  Establish or strengthen a dedicated vocational guidance cell in every secondary school, staffed by trained guidance counsellors.</w:t>
      </w:r>
    </w:p>
    <w:p>
      <w:pPr>
        <w:spacing w:before="0" w:after="80" w:lineRule="auto" w:line="360"/>
        <w:jc w:val="both"/>
      </w:pPr>
      <w:r>
        <w:rPr>
          <w:rFonts w:ascii="Times New Roman" w:hAnsi="Times New Roman" w:cs="Times New Roman" w:eastAsia="Times New Roman"/>
          <w:b w:val="0"/>
          <w:i w:val="0"/>
          <w:sz w:val="24"/>
        </w:rPr>
        <w:t>2.  Conduct systematic vocational interest assessments for all students in Classes VIII–X and use results for individual career counselling.</w:t>
      </w:r>
    </w:p>
    <w:p>
      <w:pPr>
        <w:spacing w:before="0" w:after="80" w:lineRule="auto" w:line="360"/>
        <w:jc w:val="both"/>
      </w:pPr>
      <w:r>
        <w:rPr>
          <w:rFonts w:ascii="Times New Roman" w:hAnsi="Times New Roman" w:cs="Times New Roman" w:eastAsia="Times New Roman"/>
          <w:b w:val="0"/>
          <w:i w:val="0"/>
          <w:sz w:val="24"/>
        </w:rPr>
        <w:t>3.  Rural government schools should organise periodic career exposure visits to urban industries, technology centres, hospitals, and institutions.</w:t>
      </w:r>
    </w:p>
    <w:p>
      <w:pPr>
        <w:spacing w:before="0" w:after="80" w:lineRule="auto" w:line="360"/>
        <w:jc w:val="both"/>
      </w:pPr>
      <w:r>
        <w:rPr>
          <w:rFonts w:ascii="Times New Roman" w:hAnsi="Times New Roman" w:cs="Times New Roman" w:eastAsia="Times New Roman"/>
          <w:b w:val="0"/>
          <w:i w:val="0"/>
          <w:sz w:val="24"/>
        </w:rPr>
        <w:t>4.  Develop gender-inclusive science and technology programmes to encourage girls’ participation in STEM activities.</w:t>
      </w:r>
    </w:p>
    <w:p>
      <w:pPr>
        <w:spacing w:before="0" w:after="80" w:lineRule="auto" w:line="360"/>
        <w:jc w:val="both"/>
      </w:pPr>
      <w:r>
        <w:rPr>
          <w:rFonts w:ascii="Times New Roman" w:hAnsi="Times New Roman" w:cs="Times New Roman" w:eastAsia="Times New Roman"/>
          <w:b w:val="0"/>
          <w:i w:val="0"/>
          <w:sz w:val="24"/>
        </w:rPr>
        <w:t>5.  Develop ‘Modern Agriculture’ clubs in rural schools presenting farming as a scientifically sophisticated, economically rewarding vocation.</w:t>
      </w:r>
    </w:p>
    <w:p>
      <w:pPr>
        <w:spacing w:before="200" w:after="160" w:lineRule="auto" w:line="276"/>
        <w:jc w:val="left"/>
      </w:pPr>
      <w:r>
        <w:rPr>
          <w:rFonts w:ascii="Times New Roman" w:hAnsi="Times New Roman" w:cs="Times New Roman" w:eastAsia="Times New Roman"/>
          <w:b/>
          <w:i w:val="0"/>
          <w:sz w:val="26"/>
        </w:rPr>
        <w:t>5.5.4  Suggestions for Guidance Counsellors</w:t>
      </w:r>
    </w:p>
    <w:p>
      <w:pPr>
        <w:spacing w:before="0" w:after="80" w:lineRule="auto" w:line="360"/>
        <w:jc w:val="both"/>
      </w:pPr>
      <w:r>
        <w:rPr>
          <w:rFonts w:ascii="Times New Roman" w:hAnsi="Times New Roman" w:cs="Times New Roman" w:eastAsia="Times New Roman"/>
          <w:b w:val="0"/>
          <w:i w:val="0"/>
          <w:sz w:val="24"/>
        </w:rPr>
        <w:t>1.  Use the KVIR or similar standardised interest inventories as the foundation of all individual vocational counselling sessions.</w:t>
      </w:r>
    </w:p>
    <w:p>
      <w:pPr>
        <w:spacing w:before="0" w:after="80" w:lineRule="auto" w:line="360"/>
        <w:jc w:val="both"/>
      </w:pPr>
      <w:r>
        <w:rPr>
          <w:rFonts w:ascii="Times New Roman" w:hAnsi="Times New Roman" w:cs="Times New Roman" w:eastAsia="Times New Roman"/>
          <w:b w:val="0"/>
          <w:i w:val="0"/>
          <w:sz w:val="24"/>
        </w:rPr>
        <w:t>2.  Be particularly attentive to students whose expressed vocational interest conflicts with their social environment’s expectations — these students may need additional encouragement and information.</w:t>
      </w:r>
    </w:p>
    <w:p>
      <w:pPr>
        <w:spacing w:before="0" w:after="80" w:lineRule="auto" w:line="360"/>
        <w:jc w:val="both"/>
      </w:pPr>
      <w:r>
        <w:rPr>
          <w:rFonts w:ascii="Times New Roman" w:hAnsi="Times New Roman" w:cs="Times New Roman" w:eastAsia="Times New Roman"/>
          <w:b w:val="0"/>
          <w:i w:val="0"/>
          <w:sz w:val="24"/>
        </w:rPr>
        <w:t>3.  Develop culturally sensitive counselling approaches that acknowledge real social and economic constraints while actively broadening students’ awareness of possible pathways.</w:t>
      </w:r>
    </w:p>
    <w:p>
      <w:pPr>
        <w:spacing w:before="0" w:after="80" w:lineRule="auto" w:line="360"/>
        <w:jc w:val="both"/>
      </w:pPr>
      <w:r>
        <w:rPr>
          <w:rFonts w:ascii="Times New Roman" w:hAnsi="Times New Roman" w:cs="Times New Roman" w:eastAsia="Times New Roman"/>
          <w:b w:val="0"/>
          <w:i w:val="0"/>
          <w:sz w:val="24"/>
        </w:rPr>
        <w:t>4.  Provide separate group counselling sessions for boys and girls to address gender-specific vocational guidance needs, including sessions that challenge stereotyped thinking.</w:t>
      </w:r>
    </w:p>
    <w:p>
      <w:pPr>
        <w:spacing w:before="200" w:after="160" w:lineRule="auto" w:line="276"/>
        <w:jc w:val="left"/>
      </w:pPr>
      <w:r>
        <w:rPr>
          <w:rFonts w:ascii="Times New Roman" w:hAnsi="Times New Roman" w:cs="Times New Roman" w:eastAsia="Times New Roman"/>
          <w:b/>
          <w:i w:val="0"/>
          <w:sz w:val="26"/>
        </w:rPr>
        <w:t>5.5.5  Suggestions for Future Researchers</w:t>
      </w:r>
    </w:p>
    <w:p>
      <w:pPr>
        <w:spacing w:before="0" w:after="80" w:lineRule="auto" w:line="360"/>
        <w:jc w:val="both"/>
      </w:pPr>
      <w:r>
        <w:rPr>
          <w:rFonts w:ascii="Times New Roman" w:hAnsi="Times New Roman" w:cs="Times New Roman" w:eastAsia="Times New Roman"/>
          <w:b w:val="0"/>
          <w:i w:val="0"/>
          <w:sz w:val="24"/>
        </w:rPr>
        <w:t>1.  Conduct a larger-scale study across multiple districts of Uttar Pradesh to generate more generalisable findings.</w:t>
      </w:r>
    </w:p>
    <w:p>
      <w:pPr>
        <w:spacing w:before="0" w:after="80" w:lineRule="auto" w:line="360"/>
        <w:jc w:val="both"/>
      </w:pPr>
      <w:r>
        <w:rPr>
          <w:rFonts w:ascii="Times New Roman" w:hAnsi="Times New Roman" w:cs="Times New Roman" w:eastAsia="Times New Roman"/>
          <w:b w:val="0"/>
          <w:i w:val="0"/>
          <w:sz w:val="24"/>
        </w:rPr>
        <w:t>2.  Longitudinal studies tracking the development of vocational interests from Class VI through Class XII would provide valuable insights into how interests evolve.</w:t>
      </w:r>
    </w:p>
    <w:p>
      <w:pPr>
        <w:spacing w:before="0" w:after="80" w:lineRule="auto" w:line="360"/>
        <w:jc w:val="both"/>
      </w:pPr>
      <w:r>
        <w:rPr>
          <w:rFonts w:ascii="Times New Roman" w:hAnsi="Times New Roman" w:cs="Times New Roman" w:eastAsia="Times New Roman"/>
          <w:b w:val="0"/>
          <w:i w:val="0"/>
          <w:sz w:val="24"/>
        </w:rPr>
        <w:t>3.  Future studies should examine the relationship between vocational interests and academic stream choice at the Class XI level.</w:t>
      </w:r>
    </w:p>
    <w:p>
      <w:pPr>
        <w:spacing w:before="0" w:after="80" w:lineRule="auto" w:line="360"/>
        <w:jc w:val="both"/>
      </w:pPr>
      <w:r>
        <w:rPr>
          <w:rFonts w:ascii="Times New Roman" w:hAnsi="Times New Roman" w:cs="Times New Roman" w:eastAsia="Times New Roman"/>
          <w:b w:val="0"/>
          <w:i w:val="0"/>
          <w:sz w:val="24"/>
        </w:rPr>
        <w:t>4.  A study examining the role of specific teacher behaviours and school practices in shaping vocational interests would help design more effective interventions.</w:t>
      </w:r>
    </w:p>
    <w:p>
      <w:pPr>
        <w:spacing w:before="0" w:after="80" w:lineRule="auto" w:line="360"/>
        <w:jc w:val="both"/>
      </w:pPr>
      <w:r>
        <w:rPr>
          <w:rFonts w:ascii="Times New Roman" w:hAnsi="Times New Roman" w:cs="Times New Roman" w:eastAsia="Times New Roman"/>
          <w:b w:val="0"/>
          <w:i w:val="0"/>
          <w:sz w:val="24"/>
        </w:rPr>
        <w:t>5.  Qualitative methods — including in-depth interviews and focus groups — could complement quantitative findings with rich personal narratives.</w:t>
      </w:r>
    </w:p>
    <w:p>
      <w:pPr>
        <w:spacing w:before="0" w:after="80" w:lineRule="auto" w:line="360"/>
        <w:jc w:val="both"/>
      </w:pPr>
      <w:r>
        <w:rPr>
          <w:rFonts w:ascii="Times New Roman" w:hAnsi="Times New Roman" w:cs="Times New Roman" w:eastAsia="Times New Roman"/>
          <w:b w:val="0"/>
          <w:i w:val="0"/>
          <w:sz w:val="24"/>
        </w:rPr>
        <w:t>6.  Research examining the impact of NEP 2020 vocational education reforms on students’ interest profiles would be of great value to policymakers.</w:t>
      </w:r>
    </w:p>
    <w:p>
      <w:pPr>
        <w:spacing w:before="280" w:after="160" w:lineRule="auto" w:line="276"/>
        <w:jc w:val="left"/>
      </w:pPr>
      <w:r>
        <w:rPr>
          <w:rFonts w:ascii="Times New Roman" w:hAnsi="Times New Roman" w:cs="Times New Roman" w:eastAsia="Times New Roman"/>
          <w:b/>
          <w:i w:val="0"/>
          <w:color w:val="8B0000"/>
          <w:sz w:val="28"/>
        </w:rPr>
        <w:t>5.6  Limitations of the Study</w:t>
      </w:r>
    </w:p>
    <w:p>
      <w:pPr>
        <w:spacing w:before="0" w:after="80" w:lineRule="auto" w:line="360"/>
        <w:jc w:val="both"/>
      </w:pPr>
      <w:r>
        <w:rPr>
          <w:rFonts w:ascii="Times New Roman" w:hAnsi="Times New Roman" w:cs="Times New Roman" w:eastAsia="Times New Roman"/>
          <w:b w:val="0"/>
          <w:i w:val="0"/>
          <w:sz w:val="24"/>
        </w:rPr>
        <w:t>1.  Sample size of only 60 students limits generalisability.</w:t>
      </w:r>
    </w:p>
    <w:p>
      <w:pPr>
        <w:spacing w:before="0" w:after="80" w:lineRule="auto" w:line="360"/>
        <w:jc w:val="both"/>
      </w:pPr>
      <w:r>
        <w:rPr>
          <w:rFonts w:ascii="Times New Roman" w:hAnsi="Times New Roman" w:cs="Times New Roman" w:eastAsia="Times New Roman"/>
          <w:b w:val="0"/>
          <w:i w:val="0"/>
          <w:sz w:val="24"/>
        </w:rPr>
        <w:t>2.  Study covers only two schools; school-specific culture may have influenced results.</w:t>
      </w:r>
    </w:p>
    <w:p>
      <w:pPr>
        <w:spacing w:before="0" w:after="80" w:lineRule="auto" w:line="360"/>
        <w:jc w:val="both"/>
      </w:pPr>
      <w:r>
        <w:rPr>
          <w:rFonts w:ascii="Times New Roman" w:hAnsi="Times New Roman" w:cs="Times New Roman" w:eastAsia="Times New Roman"/>
          <w:b w:val="0"/>
          <w:i w:val="0"/>
          <w:sz w:val="24"/>
        </w:rPr>
        <w:t>3.  Cross-sectional design cannot capture how interests develop over time.</w:t>
      </w:r>
    </w:p>
    <w:p>
      <w:pPr>
        <w:spacing w:before="0" w:after="80" w:lineRule="auto" w:line="360"/>
        <w:jc w:val="both"/>
      </w:pPr>
      <w:r>
        <w:rPr>
          <w:rFonts w:ascii="Times New Roman" w:hAnsi="Times New Roman" w:cs="Times New Roman" w:eastAsia="Times New Roman"/>
          <w:b w:val="0"/>
          <w:i w:val="0"/>
          <w:sz w:val="24"/>
        </w:rPr>
        <w:t>4.  The KVIR is a self-report instrument; social desirability bias may have affected responses, particularly regarding gender-typed interests.</w:t>
      </w:r>
    </w:p>
    <w:p>
      <w:pPr>
        <w:spacing w:before="0" w:after="80" w:lineRule="auto" w:line="360"/>
        <w:jc w:val="both"/>
      </w:pPr>
      <w:r>
        <w:rPr>
          <w:rFonts w:ascii="Times New Roman" w:hAnsi="Times New Roman" w:cs="Times New Roman" w:eastAsia="Times New Roman"/>
          <w:b w:val="0"/>
          <w:i w:val="0"/>
          <w:sz w:val="24"/>
        </w:rPr>
        <w:t>5.  Single tool used; triangulation with multiple instruments would provide richer data.</w:t>
      </w:r>
    </w:p>
    <w:p>
      <w:pPr>
        <w:spacing w:before="0" w:after="80" w:lineRule="auto" w:line="360"/>
        <w:jc w:val="both"/>
      </w:pPr>
      <w:r>
        <w:rPr>
          <w:rFonts w:ascii="Times New Roman" w:hAnsi="Times New Roman" w:cs="Times New Roman" w:eastAsia="Times New Roman"/>
          <w:b w:val="0"/>
          <w:i w:val="0"/>
          <w:sz w:val="24"/>
        </w:rPr>
        <w:t>6.  Variables such as socioeconomic status, parental education, and media exposure were not controlled.</w:t>
      </w:r>
    </w:p>
    <w:p>
      <w:pPr>
        <w:spacing w:before="280" w:after="160" w:lineRule="auto" w:line="276"/>
        <w:jc w:val="left"/>
      </w:pPr>
      <w:r>
        <w:rPr>
          <w:rFonts w:ascii="Times New Roman" w:hAnsi="Times New Roman" w:cs="Times New Roman" w:eastAsia="Times New Roman"/>
          <w:b/>
          <w:i w:val="0"/>
          <w:color w:val="8B0000"/>
          <w:sz w:val="28"/>
        </w:rPr>
        <w:t>5.7  Scope for Future Research</w:t>
      </w:r>
    </w:p>
    <w:p>
      <w:pPr>
        <w:spacing w:before="0" w:after="80" w:lineRule="auto" w:line="360"/>
        <w:jc w:val="both"/>
      </w:pPr>
      <w:r>
        <w:rPr>
          <w:rFonts w:ascii="Times New Roman" w:hAnsi="Times New Roman" w:cs="Times New Roman" w:eastAsia="Times New Roman"/>
          <w:b w:val="0"/>
          <w:i w:val="0"/>
          <w:sz w:val="24"/>
        </w:rPr>
        <w:t>1.  A larger-scale replication study across all districts of western Uttar Pradesh.</w:t>
      </w:r>
    </w:p>
    <w:p>
      <w:pPr>
        <w:spacing w:before="0" w:after="80" w:lineRule="auto" w:line="360"/>
        <w:jc w:val="both"/>
      </w:pPr>
      <w:r>
        <w:rPr>
          <w:rFonts w:ascii="Times New Roman" w:hAnsi="Times New Roman" w:cs="Times New Roman" w:eastAsia="Times New Roman"/>
          <w:b w:val="0"/>
          <w:i w:val="0"/>
          <w:sz w:val="24"/>
        </w:rPr>
        <w:t>2.  A mixed-methods study combining KVIR scores with interview data for deeper insights.</w:t>
      </w:r>
    </w:p>
    <w:p>
      <w:pPr>
        <w:spacing w:before="0" w:after="80" w:lineRule="auto" w:line="360"/>
        <w:jc w:val="both"/>
      </w:pPr>
      <w:r>
        <w:rPr>
          <w:rFonts w:ascii="Times New Roman" w:hAnsi="Times New Roman" w:cs="Times New Roman" w:eastAsia="Times New Roman"/>
          <w:b w:val="0"/>
          <w:i w:val="0"/>
          <w:sz w:val="24"/>
        </w:rPr>
        <w:t>3.  An intervention study testing the effectiveness of a structured vocational guidance programme on expanding rural girls’ vocational horizons.</w:t>
      </w:r>
    </w:p>
    <w:p>
      <w:pPr>
        <w:spacing w:before="0" w:after="80" w:lineRule="auto" w:line="360"/>
        <w:jc w:val="both"/>
      </w:pPr>
      <w:r>
        <w:rPr>
          <w:rFonts w:ascii="Times New Roman" w:hAnsi="Times New Roman" w:cs="Times New Roman" w:eastAsia="Times New Roman"/>
          <w:b w:val="0"/>
          <w:i w:val="0"/>
          <w:sz w:val="24"/>
        </w:rPr>
        <w:t>4.  Studies examining the specific pathways through which urban environments broaden vocational interests to inform more effective rural school interventions.</w:t>
      </w:r>
    </w:p>
    <w:p>
      <w:pPr>
        <w:spacing w:before="280" w:after="160" w:lineRule="auto" w:line="276"/>
        <w:jc w:val="left"/>
      </w:pPr>
      <w:r>
        <w:rPr>
          <w:rFonts w:ascii="Times New Roman" w:hAnsi="Times New Roman" w:cs="Times New Roman" w:eastAsia="Times New Roman"/>
          <w:b/>
          <w:i w:val="0"/>
          <w:color w:val="8B0000"/>
          <w:sz w:val="28"/>
        </w:rPr>
        <w:t>5.8  Final Conclusion</w:t>
      </w:r>
    </w:p>
    <w:p>
      <w:pPr>
        <w:spacing w:before="0" w:after="120" w:lineRule="auto" w:line="360"/>
        <w:jc w:val="both"/>
      </w:pPr>
      <w:r>
        <w:rPr>
          <w:rFonts w:ascii="Times New Roman" w:hAnsi="Times New Roman" w:cs="Times New Roman" w:eastAsia="Times New Roman"/>
          <w:b w:val="0"/>
          <w:i w:val="0"/>
          <w:sz w:val="24"/>
        </w:rPr>
        <w:t>The present study set out to compare the vocational interests of boys and girls studying at the secondary level in a rural government and an urban private school in Meerut district, Uttar Pradesh. The evidence gathered clearly shows that both gender and school type are significant determinants of vocational interest patterns among secondary school students.</w:t>
      </w:r>
    </w:p>
    <w:p>
      <w:pPr>
        <w:spacing w:before="0" w:after="120" w:lineRule="auto" w:line="360"/>
        <w:jc w:val="both"/>
      </w:pPr>
      <w:r>
        <w:rPr>
          <w:rFonts w:ascii="Times New Roman" w:hAnsi="Times New Roman" w:cs="Times New Roman" w:eastAsia="Times New Roman"/>
          <w:b w:val="0"/>
          <w:i w:val="0"/>
          <w:sz w:val="24"/>
        </w:rPr>
        <w:t>Boys and girls differ substantially in specific vocational areas — boys showing stronger technical and scientific interests and girls showing stronger social, artistic, and household interests — but their overall intensity of vocational engagement is equal. Rural and urban students show distinctly different interest profiles, with rural students drawn more towards agriculture and urban students showing broader interests across scientific, commercial, and executive fields.</w:t>
      </w:r>
    </w:p>
    <w:p>
      <w:pPr>
        <w:spacing w:before="0" w:after="120" w:lineRule="auto" w:line="360"/>
        <w:jc w:val="both"/>
      </w:pPr>
      <w:r>
        <w:rPr>
          <w:rFonts w:ascii="Times New Roman" w:hAnsi="Times New Roman" w:cs="Times New Roman" w:eastAsia="Times New Roman"/>
          <w:b w:val="0"/>
          <w:i w:val="0"/>
          <w:sz w:val="24"/>
        </w:rPr>
        <w:t>Perhaps the most important and actionable finding is that the urban school environment significantly broadens girls’ vocational horizons, particularly in science. This implies that the vocational limitations often observed among rural girls are not inevitable or intrinsic; they are the product of constrained educational environments. By improving the quality and diversity of secondary education in rural areas, and by embedding systematic vocational guidance in all secondary schools, we can help every young person — regardless of gender or location — develop the informed vocational identity they deserve.</w:t>
      </w:r>
    </w:p>
    <w:p>
      <w:pPr>
        <w:spacing w:before="0" w:after="120" w:lineRule="auto" w:line="360"/>
        <w:jc w:val="both"/>
      </w:pPr>
      <w:r>
        <w:rPr>
          <w:rFonts w:ascii="Times New Roman" w:hAnsi="Times New Roman" w:cs="Times New Roman" w:eastAsia="Times New Roman"/>
          <w:b w:val="0"/>
          <w:i w:val="0"/>
          <w:sz w:val="24"/>
        </w:rPr>
        <w:t>Vocational guidance is not a luxury in the Indian secondary school system; it is a necessity. And it must begin early, be grounded in evidence, and be deeply sensitive to the social and cultural realities of the students it serves. The present study is a modest contribution to that larger and deeply important endeavour.</w:t>
      </w:r>
    </w:p>
    <w:p>
      <w:r>
        <w:br w:type="page"/>
      </w:r>
    </w:p>
    <w:p>
      <w:pPr>
        <w:spacing w:before="400" w:after="160" w:lineRule="auto" w:line="276"/>
        <w:jc w:val="center"/>
      </w:pPr>
      <w:r>
        <w:rPr>
          <w:rFonts w:ascii="Times New Roman" w:hAnsi="Times New Roman" w:cs="Times New Roman" w:eastAsia="Times New Roman"/>
          <w:b/>
          <w:i w:val="0"/>
          <w:color w:val="1A356E"/>
          <w:sz w:val="32"/>
        </w:rPr>
        <w:t>BIBLIOGRAPHY / REFERENCES</w:t>
      </w:r>
    </w:p>
    <w:p>
      <w:pPr>
        <w:spacing w:before="0" w:after="120" w:lineRule="auto" w:line="360"/>
        <w:jc w:val="both"/>
      </w:pPr>
      <w:r>
        <w:rPr>
          <w:rFonts w:ascii="Times New Roman" w:hAnsi="Times New Roman" w:cs="Times New Roman" w:eastAsia="Times New Roman"/>
          <w:b w:val="0"/>
          <w:i w:val="0"/>
          <w:sz w:val="24"/>
        </w:rPr>
        <w:t>(All references are formatted in APA 7th Edition, arranged alphabetically)</w:t>
      </w:r>
    </w:p>
    <w:p/>
    <w:p>
      <w:pPr>
        <w:spacing w:before="0" w:after="100" w:lineRule="auto" w:line="360"/>
        <w:ind w:hanging="432" w:left="432"/>
        <w:jc w:val="both"/>
      </w:pPr>
      <w:r>
        <w:rPr>
          <w:rFonts w:ascii="Times New Roman" w:hAnsi="Times New Roman" w:cs="Times New Roman" w:eastAsia="Times New Roman"/>
          <w:b w:val="0"/>
          <w:i w:val="0"/>
          <w:sz w:val="24"/>
        </w:rPr>
        <w:t>Bhatnagar, O. P. (1993). Vocational guidance in Indian schools: Theory and practice. National Book Trust.</w:t>
      </w:r>
    </w:p>
    <w:p>
      <w:pPr>
        <w:spacing w:before="0" w:after="100" w:lineRule="auto" w:line="360"/>
        <w:ind w:hanging="432" w:left="432"/>
        <w:jc w:val="both"/>
      </w:pPr>
      <w:r>
        <w:rPr>
          <w:rFonts w:ascii="Times New Roman" w:hAnsi="Times New Roman" w:cs="Times New Roman" w:eastAsia="Times New Roman"/>
          <w:b w:val="0"/>
          <w:i w:val="0"/>
          <w:sz w:val="24"/>
        </w:rPr>
        <w:t>Best, J. W., &amp; Kahn, J. V. (2010). Research in education (10th ed.). Pearson Education India.</w:t>
      </w:r>
    </w:p>
    <w:p>
      <w:pPr>
        <w:spacing w:before="0" w:after="100" w:lineRule="auto" w:line="360"/>
        <w:ind w:hanging="432" w:left="432"/>
        <w:jc w:val="both"/>
      </w:pPr>
      <w:r>
        <w:rPr>
          <w:rFonts w:ascii="Times New Roman" w:hAnsi="Times New Roman" w:cs="Times New Roman" w:eastAsia="Times New Roman"/>
          <w:b w:val="0"/>
          <w:i w:val="0"/>
          <w:sz w:val="24"/>
        </w:rPr>
        <w:t>Connellan, J., Baron-Cohen, S., Wheelwright, S., Batki, A., &amp; Ahluwalia, J. (2000). Sex differences in human neonatal social perception. Infant Behavior and Development, 23(1), 113–118. https://doi.org/10.1016/S0163-6383(00)00032-1</w:t>
      </w:r>
    </w:p>
    <w:p>
      <w:pPr>
        <w:spacing w:before="0" w:after="100" w:lineRule="auto" w:line="360"/>
        <w:ind w:hanging="432" w:left="432"/>
        <w:jc w:val="both"/>
      </w:pPr>
      <w:r>
        <w:rPr>
          <w:rFonts w:ascii="Times New Roman" w:hAnsi="Times New Roman" w:cs="Times New Roman" w:eastAsia="Times New Roman"/>
          <w:b w:val="0"/>
          <w:i w:val="0"/>
          <w:sz w:val="24"/>
        </w:rPr>
        <w:t>Erikson, E. H. (1968). Identity: Youth and crisis. Norton.</w:t>
      </w:r>
    </w:p>
    <w:p>
      <w:pPr>
        <w:spacing w:before="0" w:after="100" w:lineRule="auto" w:line="360"/>
        <w:ind w:hanging="432" w:left="432"/>
        <w:jc w:val="both"/>
      </w:pPr>
      <w:r>
        <w:rPr>
          <w:rFonts w:ascii="Times New Roman" w:hAnsi="Times New Roman" w:cs="Times New Roman" w:eastAsia="Times New Roman"/>
          <w:b w:val="0"/>
          <w:i w:val="0"/>
          <w:sz w:val="24"/>
        </w:rPr>
        <w:t>Garrett, H. E. (1981). Statistics in psychology and education (6th ed.). Vakils, Feffer and Simons.</w:t>
      </w:r>
    </w:p>
    <w:p>
      <w:pPr>
        <w:spacing w:before="0" w:after="100" w:lineRule="auto" w:line="360"/>
        <w:ind w:hanging="432" w:left="432"/>
        <w:jc w:val="both"/>
      </w:pPr>
      <w:r>
        <w:rPr>
          <w:rFonts w:ascii="Times New Roman" w:hAnsi="Times New Roman" w:cs="Times New Roman" w:eastAsia="Times New Roman"/>
          <w:b w:val="0"/>
          <w:i w:val="0"/>
          <w:sz w:val="24"/>
        </w:rPr>
        <w:t>Gottfredson, L. S. (1981). Circumscription and compromise: A developmental theory of occupational aspirations. Journal of Counseling Psychology Monograph, 28(6), 545–579. https://doi.org/10.1037/0022-0167.28.6.545</w:t>
      </w:r>
    </w:p>
    <w:p>
      <w:pPr>
        <w:spacing w:before="0" w:after="100" w:lineRule="auto" w:line="360"/>
        <w:ind w:hanging="432" w:left="432"/>
        <w:jc w:val="both"/>
      </w:pPr>
      <w:r>
        <w:rPr>
          <w:rFonts w:ascii="Times New Roman" w:hAnsi="Times New Roman" w:cs="Times New Roman" w:eastAsia="Times New Roman"/>
          <w:b w:val="0"/>
          <w:i w:val="0"/>
          <w:sz w:val="24"/>
        </w:rPr>
        <w:t>Government of India. (2020). National Education Policy 2020. Ministry of Education. https://www.education.gov.in/sites/upload_files/mhrd/files/NEP_Final_English_0.pdf</w:t>
      </w:r>
    </w:p>
    <w:p>
      <w:pPr>
        <w:spacing w:before="0" w:after="100" w:lineRule="auto" w:line="360"/>
        <w:ind w:hanging="432" w:left="432"/>
        <w:jc w:val="both"/>
      </w:pPr>
      <w:r>
        <w:rPr>
          <w:rFonts w:ascii="Times New Roman" w:hAnsi="Times New Roman" w:cs="Times New Roman" w:eastAsia="Times New Roman"/>
          <w:b w:val="0"/>
          <w:i w:val="0"/>
          <w:sz w:val="24"/>
        </w:rPr>
        <w:t>Gupta, P., &amp; Choudhary, S. (2016). Vocational interest patterns of secondary school girls: A comparative study of government and private schools. Indian Journal of Educational Research, 5(2), 44–58.</w:t>
      </w:r>
    </w:p>
    <w:p>
      <w:pPr>
        <w:spacing w:before="0" w:after="100" w:lineRule="auto" w:line="360"/>
        <w:ind w:hanging="432" w:left="432"/>
        <w:jc w:val="both"/>
      </w:pPr>
      <w:r>
        <w:rPr>
          <w:rFonts w:ascii="Times New Roman" w:hAnsi="Times New Roman" w:cs="Times New Roman" w:eastAsia="Times New Roman"/>
          <w:b w:val="0"/>
          <w:i w:val="0"/>
          <w:sz w:val="24"/>
        </w:rPr>
        <w:t>Holland, J. L. (1966). The psychology of vocational choice: A theory of personality types and model environments. Ginn.</w:t>
      </w:r>
    </w:p>
    <w:p>
      <w:pPr>
        <w:spacing w:before="0" w:after="100" w:lineRule="auto" w:line="360"/>
        <w:ind w:hanging="432" w:left="432"/>
        <w:jc w:val="both"/>
      </w:pPr>
      <w:r>
        <w:rPr>
          <w:rFonts w:ascii="Times New Roman" w:hAnsi="Times New Roman" w:cs="Times New Roman" w:eastAsia="Times New Roman"/>
          <w:b w:val="0"/>
          <w:i w:val="0"/>
          <w:sz w:val="24"/>
        </w:rPr>
        <w:t>Holland, J. L. (1985). Making vocational choices: A theory of vocational personalities and work environments (2nd ed.). Prentice-Hall.</w:t>
      </w:r>
    </w:p>
    <w:p>
      <w:pPr>
        <w:spacing w:before="0" w:after="100" w:lineRule="auto" w:line="360"/>
        <w:ind w:hanging="432" w:left="432"/>
        <w:jc w:val="both"/>
      </w:pPr>
      <w:r>
        <w:rPr>
          <w:rFonts w:ascii="Times New Roman" w:hAnsi="Times New Roman" w:cs="Times New Roman" w:eastAsia="Times New Roman"/>
          <w:b w:val="0"/>
          <w:i w:val="0"/>
          <w:sz w:val="24"/>
        </w:rPr>
        <w:t>Kaur, H., &amp; Singh, R. (2009). Vocational interests and career maturity among senior secondary students in Punjab. Journal of Educational Psychology, 3(1), 67–79.</w:t>
      </w:r>
    </w:p>
    <w:p>
      <w:pPr>
        <w:spacing w:before="0" w:after="100" w:lineRule="auto" w:line="360"/>
        <w:ind w:hanging="432" w:left="432"/>
        <w:jc w:val="both"/>
      </w:pPr>
      <w:r>
        <w:rPr>
          <w:rFonts w:ascii="Times New Roman" w:hAnsi="Times New Roman" w:cs="Times New Roman" w:eastAsia="Times New Roman"/>
          <w:b w:val="0"/>
          <w:i w:val="0"/>
          <w:sz w:val="24"/>
        </w:rPr>
        <w:t>Kothari, C. R. (2004). Research methodology: Methods and techniques (2nd ed.). New Age International Publishers.</w:t>
      </w:r>
    </w:p>
    <w:p>
      <w:pPr>
        <w:spacing w:before="0" w:after="100" w:lineRule="auto" w:line="360"/>
        <w:ind w:hanging="432" w:left="432"/>
        <w:jc w:val="both"/>
      </w:pPr>
      <w:r>
        <w:rPr>
          <w:rFonts w:ascii="Times New Roman" w:hAnsi="Times New Roman" w:cs="Times New Roman" w:eastAsia="Times New Roman"/>
          <w:b w:val="0"/>
          <w:i w:val="0"/>
          <w:sz w:val="24"/>
        </w:rPr>
        <w:t>Kulshrestha, S. P. (1969). Vocational interest record: Manual (Revised ed.). National Psychological Corporation.</w:t>
      </w:r>
    </w:p>
    <w:p>
      <w:pPr>
        <w:spacing w:before="0" w:after="100" w:lineRule="auto" w:line="360"/>
        <w:ind w:hanging="432" w:left="432"/>
        <w:jc w:val="both"/>
      </w:pPr>
      <w:r>
        <w:rPr>
          <w:rFonts w:ascii="Times New Roman" w:hAnsi="Times New Roman" w:cs="Times New Roman" w:eastAsia="Times New Roman"/>
          <w:b w:val="0"/>
          <w:i w:val="0"/>
          <w:sz w:val="24"/>
        </w:rPr>
        <w:t>Lippa, R. A. (1998). Gender-related individual differences and the structure of vocational interests: The importance of the people-things dimension. Journal of Personality and Social Psychology, 74(4), 996–1009. https://doi.org/10.1037/0022-3514.74.4.996</w:t>
      </w:r>
    </w:p>
    <w:p>
      <w:pPr>
        <w:spacing w:before="0" w:after="100" w:lineRule="auto" w:line="360"/>
        <w:ind w:hanging="432" w:left="432"/>
        <w:jc w:val="both"/>
      </w:pPr>
      <w:r>
        <w:rPr>
          <w:rFonts w:ascii="Times New Roman" w:hAnsi="Times New Roman" w:cs="Times New Roman" w:eastAsia="Times New Roman"/>
          <w:b w:val="0"/>
          <w:i w:val="0"/>
          <w:sz w:val="24"/>
        </w:rPr>
        <w:t>Ministry of Human Resource Development. (1986). National Policy on Education, 1986. Government of India.</w:t>
      </w:r>
    </w:p>
    <w:p>
      <w:pPr>
        <w:spacing w:before="0" w:after="100" w:lineRule="auto" w:line="360"/>
        <w:ind w:hanging="432" w:left="432"/>
        <w:jc w:val="both"/>
      </w:pPr>
      <w:r>
        <w:rPr>
          <w:rFonts w:ascii="Times New Roman" w:hAnsi="Times New Roman" w:cs="Times New Roman" w:eastAsia="Times New Roman"/>
          <w:b w:val="0"/>
          <w:i w:val="0"/>
          <w:sz w:val="24"/>
        </w:rPr>
        <w:t>Mishra, A., &amp; Tripathi, R. (2018). Vocational interests and occupational aspirations of secondary school students in Uttar Pradesh: A rural-urban comparison. Educational Quest: An International Journal of Education and Applied Social Sciences, 9(2), 113–122. https://doi.org/10.5958/2230-7311.2018.00021.3</w:t>
      </w:r>
    </w:p>
    <w:p>
      <w:pPr>
        <w:spacing w:before="0" w:after="100" w:lineRule="auto" w:line="360"/>
        <w:ind w:hanging="432" w:left="432"/>
        <w:jc w:val="both"/>
      </w:pPr>
      <w:r>
        <w:rPr>
          <w:rFonts w:ascii="Times New Roman" w:hAnsi="Times New Roman" w:cs="Times New Roman" w:eastAsia="Times New Roman"/>
          <w:b w:val="0"/>
          <w:i w:val="0"/>
          <w:sz w:val="24"/>
        </w:rPr>
        <w:t>National Council of Educational Research and Training. (2006). National curriculum framework 2005. NCERT.</w:t>
      </w:r>
    </w:p>
    <w:p>
      <w:pPr>
        <w:spacing w:before="0" w:after="100" w:lineRule="auto" w:line="360"/>
        <w:ind w:hanging="432" w:left="432"/>
        <w:jc w:val="both"/>
      </w:pPr>
      <w:r>
        <w:rPr>
          <w:rFonts w:ascii="Times New Roman" w:hAnsi="Times New Roman" w:cs="Times New Roman" w:eastAsia="Times New Roman"/>
          <w:b w:val="0"/>
          <w:i w:val="0"/>
          <w:sz w:val="24"/>
        </w:rPr>
        <w:t>Pandey, S., &amp; Gautam, R. (2021). Post-pandemic shifts in vocational interests of secondary school adolescents: A study in western Uttar Pradesh. Journal of Community Guidance and Research, 38(3), 189–204.</w:t>
      </w:r>
    </w:p>
    <w:p>
      <w:pPr>
        <w:spacing w:before="0" w:after="100" w:lineRule="auto" w:line="360"/>
        <w:ind w:hanging="432" w:left="432"/>
        <w:jc w:val="both"/>
      </w:pPr>
      <w:r>
        <w:rPr>
          <w:rFonts w:ascii="Times New Roman" w:hAnsi="Times New Roman" w:cs="Times New Roman" w:eastAsia="Times New Roman"/>
          <w:b w:val="0"/>
          <w:i w:val="0"/>
          <w:sz w:val="24"/>
        </w:rPr>
        <w:t>Roe, A. (1956). The psychology of occupations. Wiley.</w:t>
      </w:r>
    </w:p>
    <w:p>
      <w:pPr>
        <w:spacing w:before="0" w:after="100" w:lineRule="auto" w:line="360"/>
        <w:ind w:hanging="432" w:left="432"/>
        <w:jc w:val="both"/>
      </w:pPr>
      <w:r>
        <w:rPr>
          <w:rFonts w:ascii="Times New Roman" w:hAnsi="Times New Roman" w:cs="Times New Roman" w:eastAsia="Times New Roman"/>
          <w:b w:val="0"/>
          <w:i w:val="0"/>
          <w:sz w:val="24"/>
        </w:rPr>
        <w:t>Sharma, R. K., &amp; Mishra, P. (2001). Vocational interests and academic achievement: A study of secondary school students in Uttar Pradesh. Indian Educational Review, 36(1), 55–68.</w:t>
      </w:r>
    </w:p>
    <w:p>
      <w:pPr>
        <w:spacing w:before="0" w:after="100" w:lineRule="auto" w:line="360"/>
        <w:ind w:hanging="432" w:left="432"/>
        <w:jc w:val="both"/>
      </w:pPr>
      <w:r>
        <w:rPr>
          <w:rFonts w:ascii="Times New Roman" w:hAnsi="Times New Roman" w:cs="Times New Roman" w:eastAsia="Times New Roman"/>
          <w:b w:val="0"/>
          <w:i w:val="0"/>
          <w:sz w:val="24"/>
        </w:rPr>
        <w:t>Singh, M., &amp; Malhotra, A. (1984). Occupational interests and socialization in Indian adolescents. Indian Journal of Applied Psychology, 21(2), 33–41.</w:t>
      </w:r>
    </w:p>
    <w:p>
      <w:pPr>
        <w:spacing w:before="0" w:after="100" w:lineRule="auto" w:line="360"/>
        <w:ind w:hanging="432" w:left="432"/>
        <w:jc w:val="both"/>
      </w:pPr>
      <w:r>
        <w:rPr>
          <w:rFonts w:ascii="Times New Roman" w:hAnsi="Times New Roman" w:cs="Times New Roman" w:eastAsia="Times New Roman"/>
          <w:b w:val="0"/>
          <w:i w:val="0"/>
          <w:sz w:val="24"/>
        </w:rPr>
        <w:t>Srivastava, M. N. (2007). Impact of parental occupation on vocational interests of secondary school students. Journal of Psychological Research, 51(1), 89–97.</w:t>
      </w:r>
    </w:p>
    <w:p>
      <w:pPr>
        <w:spacing w:before="0" w:after="100" w:lineRule="auto" w:line="360"/>
        <w:ind w:hanging="432" w:left="432"/>
        <w:jc w:val="both"/>
      </w:pPr>
      <w:r>
        <w:rPr>
          <w:rFonts w:ascii="Times New Roman" w:hAnsi="Times New Roman" w:cs="Times New Roman" w:eastAsia="Times New Roman"/>
          <w:b w:val="0"/>
          <w:i w:val="0"/>
          <w:sz w:val="24"/>
        </w:rPr>
        <w:t>Strong, E. K. (1943). Vocational interests of men and women. Stanford University Press.</w:t>
      </w:r>
    </w:p>
    <w:p>
      <w:pPr>
        <w:spacing w:before="0" w:after="100" w:lineRule="auto" w:line="360"/>
        <w:ind w:hanging="432" w:left="432"/>
        <w:jc w:val="both"/>
      </w:pPr>
      <w:r>
        <w:rPr>
          <w:rFonts w:ascii="Times New Roman" w:hAnsi="Times New Roman" w:cs="Times New Roman" w:eastAsia="Times New Roman"/>
          <w:b w:val="0"/>
          <w:i w:val="0"/>
          <w:sz w:val="24"/>
        </w:rPr>
        <w:t>Su, R., Rounds, J., &amp; Armstrong, P. I. (2009). Men and things, women and people: A meta-analysis of sex differences in interests. Psychological Bulletin, 135(6), 859–884. https://doi.org/10.1037/a0017364</w:t>
      </w:r>
    </w:p>
    <w:p>
      <w:pPr>
        <w:spacing w:before="0" w:after="100" w:lineRule="auto" w:line="360"/>
        <w:ind w:hanging="432" w:left="432"/>
        <w:jc w:val="both"/>
      </w:pPr>
      <w:r>
        <w:rPr>
          <w:rFonts w:ascii="Times New Roman" w:hAnsi="Times New Roman" w:cs="Times New Roman" w:eastAsia="Times New Roman"/>
          <w:b w:val="0"/>
          <w:i w:val="0"/>
          <w:sz w:val="24"/>
        </w:rPr>
        <w:t>Super, D. E. (1949). Appraising vocational fitness. Harper &amp; Brothers.</w:t>
      </w:r>
    </w:p>
    <w:p>
      <w:pPr>
        <w:spacing w:before="0" w:after="100" w:lineRule="auto" w:line="360"/>
        <w:ind w:hanging="432" w:left="432"/>
        <w:jc w:val="both"/>
      </w:pPr>
      <w:r>
        <w:rPr>
          <w:rFonts w:ascii="Times New Roman" w:hAnsi="Times New Roman" w:cs="Times New Roman" w:eastAsia="Times New Roman"/>
          <w:b w:val="0"/>
          <w:i w:val="0"/>
          <w:sz w:val="24"/>
        </w:rPr>
        <w:t>Super, D. E. (1953). A theory of vocational development. American Psychologist, 8(5), 185–190. https://doi.org/10.1037/h0056046</w:t>
      </w:r>
    </w:p>
    <w:p>
      <w:pPr>
        <w:spacing w:before="0" w:after="100" w:lineRule="auto" w:line="360"/>
        <w:ind w:hanging="432" w:left="432"/>
        <w:jc w:val="both"/>
      </w:pPr>
      <w:r>
        <w:rPr>
          <w:rFonts w:ascii="Times New Roman" w:hAnsi="Times New Roman" w:cs="Times New Roman" w:eastAsia="Times New Roman"/>
          <w:b w:val="0"/>
          <w:i w:val="0"/>
          <w:sz w:val="24"/>
        </w:rPr>
        <w:t>Super, D. E. (1990). A life-span, life-space approach to career development. In D. Brown &amp; L. Brooks (Eds.), Career choice and development (2nd ed., pp. 197–261). Jossey-Bass.</w:t>
      </w:r>
    </w:p>
    <w:p>
      <w:pPr>
        <w:spacing w:before="0" w:after="100" w:lineRule="auto" w:line="360"/>
        <w:ind w:hanging="432" w:left="432"/>
        <w:jc w:val="both"/>
      </w:pPr>
      <w:r>
        <w:rPr>
          <w:rFonts w:ascii="Times New Roman" w:hAnsi="Times New Roman" w:cs="Times New Roman" w:eastAsia="Times New Roman"/>
          <w:b w:val="0"/>
          <w:i w:val="0"/>
          <w:sz w:val="24"/>
        </w:rPr>
        <w:t>Thakur, D. S., &amp; Saini, R. P. (1980). Vocational interest patterns of secondary school students in Himachal Pradesh. Indian Journal of Educational Research, 14(2), 78–89.</w:t>
      </w:r>
    </w:p>
    <w:p>
      <w:pPr>
        <w:spacing w:before="0" w:after="100" w:lineRule="auto" w:line="360"/>
        <w:ind w:hanging="432" w:left="432"/>
        <w:jc w:val="both"/>
      </w:pPr>
      <w:r>
        <w:rPr>
          <w:rFonts w:ascii="Times New Roman" w:hAnsi="Times New Roman" w:cs="Times New Roman" w:eastAsia="Times New Roman"/>
          <w:b w:val="0"/>
          <w:i w:val="0"/>
          <w:sz w:val="24"/>
        </w:rPr>
        <w:t>Tracey, T. J. G., &amp; Robbins, S. B. (2006). The interest–major congruence and college success relation: A longitudinal study. Journal of Vocational Behavior, 69(1), 64–89. https://doi.org/10.1016/j.jvb.2005.11.003</w:t>
      </w:r>
    </w:p>
    <w:p>
      <w:pPr>
        <w:spacing w:before="0" w:after="100" w:lineRule="auto" w:line="360"/>
        <w:ind w:hanging="432" w:left="432"/>
        <w:jc w:val="both"/>
      </w:pPr>
      <w:r>
        <w:rPr>
          <w:rFonts w:ascii="Times New Roman" w:hAnsi="Times New Roman" w:cs="Times New Roman" w:eastAsia="Times New Roman"/>
          <w:b w:val="0"/>
          <w:i w:val="0"/>
          <w:sz w:val="24"/>
        </w:rPr>
        <w:t>Verma, S., &amp; Gupta, A. K. (2004). Vocational interests of rural and urban adolescents: A comparative analysis. Journal of Educational Research and Extension, 41(3), 112–123.</w:t>
      </w:r>
    </w:p>
    <w:p>
      <w:pPr>
        <w:spacing w:before="0" w:after="100" w:lineRule="auto" w:line="360"/>
        <w:ind w:hanging="432" w:left="432"/>
        <w:jc w:val="both"/>
      </w:pPr>
      <w:r>
        <w:rPr>
          <w:rFonts w:ascii="Times New Roman" w:hAnsi="Times New Roman" w:cs="Times New Roman" w:eastAsia="Times New Roman"/>
          <w:b w:val="0"/>
          <w:i w:val="0"/>
          <w:sz w:val="24"/>
        </w:rPr>
        <w:t>Watson, M., &amp; McMahon, M. (2005). Children’s career development: A research review from a learning perspective. Journal of Vocational Behavior, 67(2), 119–132. https://doi.org/10.1016/j.jvb.2004.08.011</w:t>
      </w:r>
    </w:p>
    <w:p>
      <w:pPr>
        <w:spacing w:before="0" w:after="100" w:lineRule="auto" w:line="360"/>
        <w:ind w:hanging="432" w:left="432"/>
        <w:jc w:val="both"/>
      </w:pPr>
      <w:r>
        <w:rPr>
          <w:rFonts w:ascii="Times New Roman" w:hAnsi="Times New Roman" w:cs="Times New Roman" w:eastAsia="Times New Roman"/>
          <w:b w:val="0"/>
          <w:i w:val="0"/>
          <w:sz w:val="24"/>
        </w:rPr>
        <w:t>Yadav, R. P., &amp; Sharma, N. (2012). A study of vocational interests of secondary level students in relation to gender and locality. Perspectives in Education, 28(1), 58–72.</w:t>
      </w:r>
    </w:p>
    <w:p>
      <w:r>
        <w:br w:type="page"/>
      </w:r>
    </w:p>
    <w:p>
      <w:pPr>
        <w:spacing w:before="400" w:after="160" w:lineRule="auto" w:line="276"/>
        <w:jc w:val="center"/>
      </w:pPr>
      <w:r>
        <w:rPr>
          <w:rFonts w:ascii="Times New Roman" w:hAnsi="Times New Roman" w:cs="Times New Roman" w:eastAsia="Times New Roman"/>
          <w:b/>
          <w:i w:val="0"/>
          <w:color w:val="1A356E"/>
          <w:sz w:val="32"/>
        </w:rPr>
        <w:t>APPENDICES</w:t>
      </w:r>
    </w:p>
    <w:p>
      <w:pPr>
        <w:spacing w:before="280" w:after="160" w:lineRule="auto" w:line="276"/>
        <w:jc w:val="left"/>
      </w:pPr>
      <w:r>
        <w:rPr>
          <w:rFonts w:ascii="Times New Roman" w:hAnsi="Times New Roman" w:cs="Times New Roman" w:eastAsia="Times New Roman"/>
          <w:b/>
          <w:i w:val="0"/>
          <w:color w:val="8B0000"/>
          <w:sz w:val="28"/>
        </w:rPr>
        <w:t>APPENDIX A: PERMISSION LETTER TO SCHOOL PRINCIPAL</w:t>
      </w:r>
    </w:p>
    <w:p>
      <w:pPr>
        <w:spacing w:before="0" w:after="120" w:lineRule="auto" w:line="360"/>
        <w:jc w:val="both"/>
      </w:pPr>
      <w:r>
        <w:rPr>
          <w:rFonts w:ascii="Times New Roman" w:hAnsi="Times New Roman" w:cs="Times New Roman" w:eastAsia="Times New Roman"/>
          <w:b w:val="0"/>
          <w:i w:val="0"/>
          <w:sz w:val="24"/>
        </w:rPr>
        <w:t>Date: September 2, 2025</w:t>
      </w:r>
    </w:p>
    <w:p/>
    <w:p>
      <w:pPr>
        <w:spacing w:before="0" w:after="120" w:lineRule="auto" w:line="360"/>
        <w:jc w:val="both"/>
      </w:pPr>
      <w:r>
        <w:rPr>
          <w:rFonts w:ascii="Times New Roman" w:hAnsi="Times New Roman" w:cs="Times New Roman" w:eastAsia="Times New Roman"/>
          <w:b w:val="0"/>
          <w:i w:val="0"/>
          <w:sz w:val="24"/>
        </w:rPr>
        <w:t>To,</w:t>
        <w:br/>
        <w:t>The Principal,</w:t>
        <w:br/>
        <w:t>Shri Sanskrit Inter College,</w:t>
        <w:br/>
        <w:t>Meerut (U.P.)</w:t>
      </w:r>
    </w:p>
    <w:p/>
    <w:p>
      <w:pPr>
        <w:spacing w:before="0" w:after="100" w:lineRule="auto" w:line="360"/>
        <w:jc w:val="both"/>
      </w:pPr>
      <w:r>
        <w:rPr>
          <w:rFonts w:ascii="Times New Roman" w:hAnsi="Times New Roman" w:cs="Times New Roman" w:eastAsia="Times New Roman"/>
          <w:b/>
          <w:i w:val="0"/>
          <w:sz w:val="24"/>
        </w:rPr>
        <w:t xml:space="preserve">Subject: </w:t>
      </w:r>
      <w:r>
        <w:rPr>
          <w:rFonts w:ascii="Times New Roman" w:hAnsi="Times New Roman" w:cs="Times New Roman" w:eastAsia="Times New Roman"/>
          <w:b w:val="0"/>
          <w:i w:val="0"/>
          <w:sz w:val="24"/>
        </w:rPr>
        <w:t>Request for Permission to Conduct Research Study in Your Esteemed Institution</w:t>
      </w:r>
    </w:p>
    <w:p/>
    <w:p>
      <w:pPr>
        <w:spacing w:before="0" w:after="120" w:lineRule="auto" w:line="360"/>
        <w:jc w:val="both"/>
      </w:pPr>
      <w:r>
        <w:rPr>
          <w:rFonts w:ascii="Times New Roman" w:hAnsi="Times New Roman" w:cs="Times New Roman" w:eastAsia="Times New Roman"/>
          <w:b w:val="0"/>
          <w:i w:val="0"/>
          <w:sz w:val="24"/>
        </w:rPr>
        <w:t>Respected Sir/Madam,</w:t>
        <w:br/>
        <w:br/>
        <w:t>I, Vipul Chaudhary, M.Ed. Research Scholar (Roll No. 230557023) of the Department of Education, Meerut College, Meerut, affiliated to Chaudhary Charan Singh University, Meerut, am presently conducting a research study as part of my M.Ed. dissertation under the supervision of Dr. Seema Sharma, Associate Professor, Department of Education, Meerut College.</w:t>
      </w:r>
    </w:p>
    <w:p>
      <w:pPr>
        <w:spacing w:before="0" w:after="120" w:lineRule="auto" w:line="360"/>
        <w:jc w:val="both"/>
      </w:pPr>
      <w:r>
        <w:rPr>
          <w:rFonts w:ascii="Times New Roman" w:hAnsi="Times New Roman" w:cs="Times New Roman" w:eastAsia="Times New Roman"/>
          <w:b w:val="0"/>
          <w:i w:val="0"/>
          <w:sz w:val="24"/>
        </w:rPr>
        <w:t>The title of my study is: “A Comparative Study of the Vocational Interests of Boys and Girls Studying at Secondary Level.”</w:t>
      </w:r>
    </w:p>
    <w:p>
      <w:pPr>
        <w:spacing w:before="0" w:after="120" w:lineRule="auto" w:line="360"/>
        <w:jc w:val="both"/>
      </w:pPr>
      <w:r>
        <w:rPr>
          <w:rFonts w:ascii="Times New Roman" w:hAnsi="Times New Roman" w:cs="Times New Roman" w:eastAsia="Times New Roman"/>
          <w:b w:val="0"/>
          <w:i w:val="0"/>
          <w:sz w:val="24"/>
        </w:rPr>
        <w:t>I respectfully request your kind permission to administer the S.P. Kulshrestha Vocational Interest Record to 15 boys and 15 girls of Class IX of your institution. The administration will take approximately 35–45 minutes and will be conducted at a time convenient to the school, causing minimal disruption to the academic schedule.</w:t>
      </w:r>
    </w:p>
    <w:p>
      <w:pPr>
        <w:spacing w:before="0" w:after="120" w:lineRule="auto" w:line="360"/>
        <w:jc w:val="both"/>
      </w:pPr>
      <w:r>
        <w:rPr>
          <w:rFonts w:ascii="Times New Roman" w:hAnsi="Times New Roman" w:cs="Times New Roman" w:eastAsia="Times New Roman"/>
          <w:b w:val="0"/>
          <w:i w:val="0"/>
          <w:sz w:val="24"/>
        </w:rPr>
        <w:t>I assure you that: (1) All data collected will be kept strictly confidential. (2) Individual student responses will not be disclosed to anyone. (3) No student will be forced to participate; participation is entirely voluntary. (4) The findings will be used solely for academic research purposes.</w:t>
      </w:r>
    </w:p>
    <w:p>
      <w:pPr>
        <w:spacing w:before="0" w:after="120" w:lineRule="auto" w:line="360"/>
        <w:jc w:val="both"/>
      </w:pPr>
      <w:r>
        <w:rPr>
          <w:rFonts w:ascii="Times New Roman" w:hAnsi="Times New Roman" w:cs="Times New Roman" w:eastAsia="Times New Roman"/>
          <w:b w:val="0"/>
          <w:i w:val="0"/>
          <w:sz w:val="24"/>
        </w:rPr>
        <w:t>Kindly grant your valuable permission to enable the completion of this important educational research.</w:t>
        <w:br/>
        <w:br/>
        <w:t>Thanking you,</w:t>
        <w:br/>
        <w:t>Yours sincerely,</w:t>
      </w:r>
    </w:p>
    <w:p/>
    <w:p>
      <w:pPr>
        <w:spacing w:before="80" w:after="80" w:lineRule="auto" w:line="360"/>
        <w:jc w:val="right"/>
      </w:pPr>
      <w:r>
        <w:rPr>
          <w:rFonts w:ascii="Times New Roman" w:hAnsi="Times New Roman" w:cs="Times New Roman" w:eastAsia="Times New Roman"/>
          <w:b/>
          <w:i w:val="0"/>
          <w:sz w:val="24"/>
        </w:rPr>
        <w:t>(Vipul Chaudhary)</w:t>
        <w:br/>
        <w:t>M.Ed. Research Scholar, Roll No.: 230557023</w:t>
        <w:br/>
        <w:t>Department of Education, Meerut College, Meerut</w:t>
      </w:r>
    </w:p>
    <w:p/>
    <w:p>
      <w:pPr>
        <w:spacing w:before="0" w:after="120" w:lineRule="auto" w:line="360"/>
        <w:jc w:val="both"/>
      </w:pPr>
      <w:r>
        <w:rPr>
          <w:rFonts w:ascii="Times New Roman" w:hAnsi="Times New Roman" w:cs="Times New Roman" w:eastAsia="Times New Roman"/>
          <w:b w:val="0"/>
          <w:i w:val="0"/>
          <w:sz w:val="24"/>
        </w:rPr>
        <w:t>Countersigned by:</w:t>
      </w:r>
    </w:p>
    <w:p>
      <w:pPr>
        <w:spacing w:before="80" w:after="80" w:lineRule="auto" w:line="360"/>
        <w:jc w:val="right"/>
      </w:pPr>
      <w:r>
        <w:rPr>
          <w:rFonts w:ascii="Times New Roman" w:hAnsi="Times New Roman" w:cs="Times New Roman" w:eastAsia="Times New Roman"/>
          <w:b/>
          <w:i w:val="0"/>
          <w:sz w:val="24"/>
        </w:rPr>
        <w:t>(Dr. Seema Sharma)</w:t>
        <w:br/>
        <w:t>Associate Professor</w:t>
        <w:br/>
        <w:t>Department of Education, Meerut College, Meerut</w:t>
      </w:r>
    </w:p>
    <w:p>
      <w:pPr>
        <w:spacing w:before="280" w:after="160" w:lineRule="auto" w:line="276"/>
        <w:jc w:val="left"/>
      </w:pPr>
      <w:r>
        <w:rPr>
          <w:rFonts w:ascii="Times New Roman" w:hAnsi="Times New Roman" w:cs="Times New Roman" w:eastAsia="Times New Roman"/>
          <w:b/>
          <w:i w:val="0"/>
          <w:color w:val="8B0000"/>
          <w:sz w:val="28"/>
        </w:rPr>
        <w:t>APPENDIX B: INFORMED ASSENT FORM FOR STUDENT PARTICIPANTS</w:t>
      </w:r>
    </w:p>
    <w:p>
      <w:pPr>
        <w:spacing w:before="0" w:after="100" w:lineRule="auto" w:line="360"/>
        <w:jc w:val="both"/>
      </w:pPr>
      <w:r>
        <w:rPr>
          <w:rFonts w:ascii="Times New Roman" w:hAnsi="Times New Roman" w:cs="Times New Roman" w:eastAsia="Times New Roman"/>
          <w:b/>
          <w:i w:val="0"/>
          <w:sz w:val="24"/>
        </w:rPr>
        <w:t xml:space="preserve">Study Title: </w:t>
      </w:r>
      <w:r>
        <w:rPr>
          <w:rFonts w:ascii="Times New Roman" w:hAnsi="Times New Roman" w:cs="Times New Roman" w:eastAsia="Times New Roman"/>
          <w:b w:val="0"/>
          <w:i w:val="0"/>
          <w:sz w:val="24"/>
        </w:rPr>
        <w:t>A Comparative Study of the Vocational Interests of Boys and Girls Studying at Secondary Level</w:t>
      </w:r>
    </w:p>
    <w:p>
      <w:pPr>
        <w:spacing w:before="0" w:after="100" w:lineRule="auto" w:line="360"/>
        <w:jc w:val="both"/>
      </w:pPr>
      <w:r>
        <w:rPr>
          <w:rFonts w:ascii="Times New Roman" w:hAnsi="Times New Roman" w:cs="Times New Roman" w:eastAsia="Times New Roman"/>
          <w:b/>
          <w:i w:val="0"/>
          <w:sz w:val="24"/>
        </w:rPr>
        <w:t xml:space="preserve">Researcher: </w:t>
      </w:r>
      <w:r>
        <w:rPr>
          <w:rFonts w:ascii="Times New Roman" w:hAnsi="Times New Roman" w:cs="Times New Roman" w:eastAsia="Times New Roman"/>
          <w:b w:val="0"/>
          <w:i w:val="0"/>
          <w:sz w:val="24"/>
        </w:rPr>
        <w:t>Vipul Chaudhary, M.Ed. Scholar, Department of Education, Meerut College, Meerut</w:t>
      </w:r>
    </w:p>
    <w:p/>
    <w:p>
      <w:pPr>
        <w:spacing w:before="0" w:after="120" w:lineRule="auto" w:line="360"/>
        <w:jc w:val="both"/>
      </w:pPr>
      <w:r>
        <w:rPr>
          <w:rFonts w:ascii="Times New Roman" w:hAnsi="Times New Roman" w:cs="Times New Roman" w:eastAsia="Times New Roman"/>
          <w:b w:val="0"/>
          <w:i w:val="0"/>
          <w:sz w:val="24"/>
        </w:rPr>
        <w:t>Dear Student,</w:t>
        <w:br/>
        <w:br/>
        <w:t>You are being invited to participate in a research study about vocational interests. We are interested in finding out what types of work activities you enjoy or are attracted to. There are no right or wrong answers — we only want to know your genuine preferences.</w:t>
        <w:br/>
        <w:br/>
        <w:t>You will be asked to fill out a questionnaire with 180 simple statements about activities. For each statement, you will tick whether you Like, are Neutral about, or Dislike the activity. The questionnaire will take about 35–45 minutes.</w:t>
        <w:br/>
        <w:br/>
        <w:t>Your participation is completely voluntary. You may choose not to participate or stop at any time without any consequences. Your responses will be coded and your name will not be attached to the data. This activity has no connection to your school examinations or academic records.</w:t>
      </w:r>
    </w:p>
    <w:p/>
    <w:p>
      <w:pPr>
        <w:spacing w:before="0" w:after="120" w:lineRule="auto" w:line="360"/>
        <w:jc w:val="both"/>
      </w:pPr>
      <w:r>
        <w:rPr>
          <w:rFonts w:ascii="Times New Roman" w:hAnsi="Times New Roman" w:cs="Times New Roman" w:eastAsia="Times New Roman"/>
          <w:b w:val="0"/>
          <w:i w:val="0"/>
          <w:sz w:val="24"/>
        </w:rPr>
        <w:t>I agree to participate in this study.</w:t>
      </w:r>
    </w:p>
    <w:p>
      <w:pPr>
        <w:spacing w:before="0" w:after="120" w:lineRule="auto" w:line="360"/>
        <w:jc w:val="both"/>
      </w:pPr>
      <w:r>
        <w:rPr>
          <w:rFonts w:ascii="Times New Roman" w:hAnsi="Times New Roman" w:cs="Times New Roman" w:eastAsia="Times New Roman"/>
          <w:b w:val="0"/>
          <w:i w:val="0"/>
          <w:sz w:val="24"/>
        </w:rPr>
        <w:t>Name: _______________________    Class: _______    Roll No.: ________</w:t>
      </w:r>
    </w:p>
    <w:p>
      <w:pPr>
        <w:spacing w:before="0" w:after="120" w:lineRule="auto" w:line="360"/>
        <w:jc w:val="both"/>
      </w:pPr>
      <w:r>
        <w:rPr>
          <w:rFonts w:ascii="Times New Roman" w:hAnsi="Times New Roman" w:cs="Times New Roman" w:eastAsia="Times New Roman"/>
          <w:b w:val="0"/>
          <w:i w:val="0"/>
          <w:sz w:val="24"/>
        </w:rPr>
        <w:t>School: _______________________    Date: _______________</w:t>
      </w:r>
    </w:p>
    <w:p>
      <w:pPr>
        <w:spacing w:before="280" w:after="160" w:lineRule="auto" w:line="276"/>
        <w:jc w:val="left"/>
      </w:pPr>
      <w:r>
        <w:rPr>
          <w:rFonts w:ascii="Times New Roman" w:hAnsi="Times New Roman" w:cs="Times New Roman" w:eastAsia="Times New Roman"/>
          <w:b/>
          <w:i w:val="0"/>
          <w:color w:val="8B0000"/>
          <w:sz w:val="28"/>
        </w:rPr>
        <w:t>APPENDIX C: SAMPLE ITEMS FROM THE S.P. KULSHRESTHA VOCATIONAL INTEREST RECORD</w:t>
      </w:r>
    </w:p>
    <w:p>
      <w:pPr>
        <w:spacing w:before="0" w:after="120" w:lineRule="auto" w:line="360"/>
        <w:jc w:val="both"/>
      </w:pPr>
      <w:r>
        <w:rPr>
          <w:rFonts w:ascii="Times New Roman" w:hAnsi="Times New Roman" w:cs="Times New Roman" w:eastAsia="Times New Roman"/>
          <w:b w:val="0"/>
          <w:i w:val="0"/>
          <w:sz w:val="24"/>
        </w:rPr>
        <w:t>Instructions: Read each statement carefully and tick (✓) under the appropriate column: L = Like | N = Neutral | D = Dislike</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1a356e"/>
          </w:tcPr>
          <w:p>
            <w:pPr>
              <w:spacing w:before="40" w:after="40"/>
              <w:jc w:val="center"/>
            </w:pPr>
            <w:r>
              <w:rPr>
                <w:rFonts w:ascii="Times New Roman" w:hAnsi="Times New Roman" w:cs="Times New Roman" w:eastAsia="Times New Roman"/>
                <w:b/>
                <w:i w:val="0"/>
                <w:color w:val="FFFFFF"/>
                <w:sz w:val="20"/>
              </w:rPr>
              <w:t>S.No.</w:t>
            </w:r>
          </w:p>
        </w:tc>
        <w:tc>
          <w:tcPr>
            <w:tcW w:type="dxa" w:w="6480"/>
            <w:shd w:val="clear" w:color="auto" w:fill="1a356e"/>
          </w:tcPr>
          <w:p>
            <w:pPr>
              <w:spacing w:before="40" w:after="40"/>
              <w:jc w:val="center"/>
            </w:pPr>
            <w:r>
              <w:rPr>
                <w:rFonts w:ascii="Times New Roman" w:hAnsi="Times New Roman" w:cs="Times New Roman" w:eastAsia="Times New Roman"/>
                <w:b/>
                <w:i w:val="0"/>
                <w:color w:val="FFFFFF"/>
                <w:sz w:val="20"/>
              </w:rPr>
              <w:t>Activity / Statement</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L</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N</w:t>
            </w:r>
          </w:p>
        </w:tc>
        <w:tc>
          <w:tcPr>
            <w:tcW w:type="dxa" w:w="576"/>
            <w:shd w:val="clear" w:color="auto" w:fill="1a356e"/>
          </w:tcPr>
          <w:p>
            <w:pPr>
              <w:spacing w:before="40" w:after="40"/>
              <w:jc w:val="center"/>
            </w:pPr>
            <w:r>
              <w:rPr>
                <w:rFonts w:ascii="Times New Roman" w:hAnsi="Times New Roman" w:cs="Times New Roman" w:eastAsia="Times New Roman"/>
                <w:b/>
                <w:i w:val="0"/>
                <w:color w:val="FFFFFF"/>
                <w:sz w:val="20"/>
              </w:rPr>
              <w:t>D</w:t>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Literary Area</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1</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Reading novels and story books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2</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Writing poems or short stories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3</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Taking part in debates and discussions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4</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Translating articles from one language to another</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Scientific Area</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5</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Performing experiments in the science laboratory</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6</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Reading about new scientific discoveries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7</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Collecting and classifying specimens (plants, insects, etc.)</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8</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Solving mathematical problems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Technical Area</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9</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Repairing a broken machine or bicycle</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10</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Making models of buildings or bridges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11</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Working with electrical equipment</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12</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Learning how machines and engines work</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Artistic Area</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13</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Drawing or painting pictures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14</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Making decorative items from clay or paper</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15</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Learning classical dance or singing</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16</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Designing patterns for cloth or embroidery</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Commercial Area</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17</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Managing accounts and keeping financial records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18</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Running a small business or shop</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19</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Learning about stocks and market transactions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20</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Preparing invoices and business letters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Executive Area</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21</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Organising and leading a group of people</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22</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Planning and managing a large event</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23</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Making important decisions for a group</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24</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Persuading others to follow a course of action</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Agricultural Area</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25</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Tending and caring for plants and crops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26</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Learning about modern methods of farming</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27</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Rearing animals for useful purposes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28</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Working in the fields and gardens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Household Area</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29</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Cooking and preparing food for the family</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30</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Keeping the house clean and well-organised</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31</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Stitching and tailoring clothes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32</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Caring for small children at home</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Social Area</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33</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Helping sick or needy people in the community</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34</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Organising social service activities in the neighbourhood</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FFFFFF"/>
          </w:tcPr>
          <w:p>
            <w:pPr>
              <w:spacing w:before="20" w:after="20"/>
              <w:jc w:val="center"/>
            </w:pPr>
            <w:r>
              <w:rPr>
                <w:rFonts w:ascii="Times New Roman" w:hAnsi="Times New Roman" w:cs="Times New Roman" w:eastAsia="Times New Roman"/>
                <w:b w:val="0"/>
                <w:i w:val="0"/>
                <w:sz w:val="20"/>
              </w:rPr>
              <w:t>35</w:t>
            </w:r>
          </w:p>
        </w:tc>
        <w:tc>
          <w:tcPr>
            <w:tcW w:type="dxa" w:w="6480"/>
            <w:shd w:val="clear" w:color="auto" w:fill="FFFFFF"/>
          </w:tcPr>
          <w:p>
            <w:pPr>
              <w:spacing w:before="20" w:after="20"/>
              <w:jc w:val="center"/>
            </w:pPr>
            <w:r>
              <w:rPr>
                <w:rFonts w:ascii="Times New Roman" w:hAnsi="Times New Roman" w:cs="Times New Roman" w:eastAsia="Times New Roman"/>
                <w:b w:val="0"/>
                <w:i w:val="0"/>
                <w:sz w:val="20"/>
              </w:rPr>
              <w:t>Counselling and advising friends or younger students</w:t>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c>
          <w:tcPr>
            <w:tcW w:type="dxa" w:w="576"/>
            <w:shd w:val="clear" w:color="auto" w:fill="FFFFFF"/>
          </w:tcPr>
          <w:p>
            <w:pPr>
              <w:spacing w:before="20" w:after="20"/>
              <w:jc w:val="center"/>
            </w:pPr>
            <w:r>
              <w:rPr>
                <w:rFonts w:ascii="Times New Roman" w:hAnsi="Times New Roman" w:cs="Times New Roman" w:eastAsia="Times New Roman"/>
                <w:b w:val="0"/>
                <w:i w:val="0"/>
                <w:sz w:val="20"/>
              </w:rPr>
            </w:r>
          </w:p>
        </w:tc>
      </w:tr>
      <w:tr>
        <w:tc>
          <w:tcPr>
            <w:tcW w:type="dxa" w:w="720"/>
            <w:shd w:val="clear" w:color="auto" w:fill="EBF0FB"/>
          </w:tcPr>
          <w:p>
            <w:pPr>
              <w:spacing w:before="20" w:after="20"/>
              <w:jc w:val="center"/>
            </w:pPr>
            <w:r>
              <w:rPr>
                <w:rFonts w:ascii="Times New Roman" w:hAnsi="Times New Roman" w:cs="Times New Roman" w:eastAsia="Times New Roman"/>
                <w:b w:val="0"/>
                <w:i w:val="0"/>
                <w:sz w:val="20"/>
              </w:rPr>
              <w:t>36</w:t>
            </w:r>
          </w:p>
        </w:tc>
        <w:tc>
          <w:tcPr>
            <w:tcW w:type="dxa" w:w="6480"/>
            <w:shd w:val="clear" w:color="auto" w:fill="EBF0FB"/>
          </w:tcPr>
          <w:p>
            <w:pPr>
              <w:spacing w:before="20" w:after="20"/>
              <w:jc w:val="center"/>
            </w:pPr>
            <w:r>
              <w:rPr>
                <w:rFonts w:ascii="Times New Roman" w:hAnsi="Times New Roman" w:cs="Times New Roman" w:eastAsia="Times New Roman"/>
                <w:b w:val="0"/>
                <w:i w:val="0"/>
                <w:sz w:val="20"/>
              </w:rPr>
              <w:t>Working for social welfare organisations</w:t>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c>
          <w:tcPr>
            <w:tcW w:type="dxa" w:w="576"/>
            <w:shd w:val="clear" w:color="auto" w:fill="EBF0FB"/>
          </w:tcPr>
          <w:p>
            <w:pPr>
              <w:spacing w:before="20" w:after="20"/>
              <w:jc w:val="center"/>
            </w:pPr>
            <w:r>
              <w:rPr>
                <w:rFonts w:ascii="Times New Roman" w:hAnsi="Times New Roman" w:cs="Times New Roman" w:eastAsia="Times New Roman"/>
                <w:b w:val="0"/>
                <w:i w:val="0"/>
                <w:sz w:val="20"/>
              </w:rPr>
            </w:r>
          </w:p>
        </w:tc>
      </w:tr>
    </w:tbl>
    <w:p/>
    <w:p>
      <w:pPr>
        <w:spacing w:before="0" w:after="120" w:lineRule="auto" w:line="360"/>
        <w:jc w:val="both"/>
      </w:pPr>
      <w:r>
        <w:rPr>
          <w:rFonts w:ascii="Times New Roman" w:hAnsi="Times New Roman" w:cs="Times New Roman" w:eastAsia="Times New Roman"/>
          <w:b w:val="0"/>
          <w:i w:val="0"/>
          <w:sz w:val="24"/>
        </w:rPr>
        <w:t>(Note: The full instrument contains 180 items — 20 per area. The above are representative sample items only. Original instrument: Kulshrestha, S.P. (1969). National Psychological Corporation, Agra.)</w:t>
      </w:r>
    </w:p>
    <w:p>
      <w:pPr>
        <w:spacing w:before="280" w:after="160" w:lineRule="auto" w:line="276"/>
        <w:jc w:val="left"/>
      </w:pPr>
      <w:r>
        <w:rPr>
          <w:rFonts w:ascii="Times New Roman" w:hAnsi="Times New Roman" w:cs="Times New Roman" w:eastAsia="Times New Roman"/>
          <w:b/>
          <w:i w:val="0"/>
          <w:color w:val="8B0000"/>
          <w:sz w:val="28"/>
        </w:rPr>
        <w:t>APPENDIX D: KVIR SCORING KEY (ABBREVIATED)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Area</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Abbreviation</w:t>
            </w:r>
          </w:p>
        </w:tc>
        <w:tc>
          <w:tcPr>
            <w:tcW w:type="dxa" w:w="2160"/>
            <w:shd w:val="clear" w:color="auto" w:fill="1a356e"/>
          </w:tcPr>
          <w:p>
            <w:pPr>
              <w:spacing w:before="40" w:after="40"/>
              <w:jc w:val="center"/>
            </w:pPr>
            <w:r>
              <w:rPr>
                <w:rFonts w:ascii="Times New Roman" w:hAnsi="Times New Roman" w:cs="Times New Roman" w:eastAsia="Times New Roman"/>
                <w:b/>
                <w:i w:val="0"/>
                <w:color w:val="FFFFFF"/>
                <w:sz w:val="20"/>
              </w:rPr>
              <w:t>Item Numbers</w:t>
            </w:r>
          </w:p>
        </w:tc>
        <w:tc>
          <w:tcPr>
            <w:tcW w:type="dxa" w:w="1440"/>
            <w:shd w:val="clear" w:color="auto" w:fill="1a356e"/>
          </w:tcPr>
          <w:p>
            <w:pPr>
              <w:spacing w:before="40" w:after="40"/>
              <w:jc w:val="center"/>
            </w:pPr>
            <w:r>
              <w:rPr>
                <w:rFonts w:ascii="Times New Roman" w:hAnsi="Times New Roman" w:cs="Times New Roman" w:eastAsia="Times New Roman"/>
                <w:b/>
                <w:i w:val="0"/>
                <w:color w:val="FFFFFF"/>
                <w:sz w:val="20"/>
              </w:rPr>
              <w:t>Max Score</w:t>
            </w:r>
          </w:p>
        </w:tc>
      </w:tr>
      <w:tr>
        <w:tc>
          <w:tcPr>
            <w:tcW w:type="dxa" w:w="2160"/>
            <w:shd w:val="clear" w:color="auto" w:fill="EBF0FB"/>
          </w:tcPr>
          <w:p>
            <w:pPr>
              <w:spacing w:before="20" w:after="20"/>
              <w:jc w:val="center"/>
            </w:pPr>
            <w:r>
              <w:rPr>
                <w:rFonts w:ascii="Times New Roman" w:hAnsi="Times New Roman" w:cs="Times New Roman" w:eastAsia="Times New Roman"/>
                <w:b w:val="0"/>
                <w:i w:val="0"/>
                <w:sz w:val="20"/>
              </w:rPr>
              <w:t>Literary</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L</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1–20</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FFFFFF"/>
          </w:tcPr>
          <w:p>
            <w:pPr>
              <w:spacing w:before="20" w:after="20"/>
              <w:jc w:val="center"/>
            </w:pPr>
            <w:r>
              <w:rPr>
                <w:rFonts w:ascii="Times New Roman" w:hAnsi="Times New Roman" w:cs="Times New Roman" w:eastAsia="Times New Roman"/>
                <w:b w:val="0"/>
                <w:i w:val="0"/>
                <w:sz w:val="20"/>
              </w:rPr>
              <w:t>Scientific</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Sc</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21–40</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EBF0FB"/>
          </w:tcPr>
          <w:p>
            <w:pPr>
              <w:spacing w:before="20" w:after="20"/>
              <w:jc w:val="center"/>
            </w:pPr>
            <w:r>
              <w:rPr>
                <w:rFonts w:ascii="Times New Roman" w:hAnsi="Times New Roman" w:cs="Times New Roman" w:eastAsia="Times New Roman"/>
                <w:b w:val="0"/>
                <w:i w:val="0"/>
                <w:sz w:val="20"/>
              </w:rPr>
              <w:t>Technical</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T</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41–60</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FFFFFF"/>
          </w:tcPr>
          <w:p>
            <w:pPr>
              <w:spacing w:before="20" w:after="20"/>
              <w:jc w:val="center"/>
            </w:pPr>
            <w:r>
              <w:rPr>
                <w:rFonts w:ascii="Times New Roman" w:hAnsi="Times New Roman" w:cs="Times New Roman" w:eastAsia="Times New Roman"/>
                <w:b w:val="0"/>
                <w:i w:val="0"/>
                <w:sz w:val="20"/>
              </w:rPr>
              <w:t>Artistic</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A</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61–80</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EBF0FB"/>
          </w:tcPr>
          <w:p>
            <w:pPr>
              <w:spacing w:before="20" w:after="20"/>
              <w:jc w:val="center"/>
            </w:pPr>
            <w:r>
              <w:rPr>
                <w:rFonts w:ascii="Times New Roman" w:hAnsi="Times New Roman" w:cs="Times New Roman" w:eastAsia="Times New Roman"/>
                <w:b w:val="0"/>
                <w:i w:val="0"/>
                <w:sz w:val="20"/>
              </w:rPr>
              <w:t>Commercial</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C</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81–100</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FFFFFF"/>
          </w:tcPr>
          <w:p>
            <w:pPr>
              <w:spacing w:before="20" w:after="20"/>
              <w:jc w:val="center"/>
            </w:pPr>
            <w:r>
              <w:rPr>
                <w:rFonts w:ascii="Times New Roman" w:hAnsi="Times New Roman" w:cs="Times New Roman" w:eastAsia="Times New Roman"/>
                <w:b w:val="0"/>
                <w:i w:val="0"/>
                <w:sz w:val="20"/>
              </w:rPr>
              <w:t>Executive</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E</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101–120</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EBF0FB"/>
          </w:tcPr>
          <w:p>
            <w:pPr>
              <w:spacing w:before="20" w:after="20"/>
              <w:jc w:val="center"/>
            </w:pPr>
            <w:r>
              <w:rPr>
                <w:rFonts w:ascii="Times New Roman" w:hAnsi="Times New Roman" w:cs="Times New Roman" w:eastAsia="Times New Roman"/>
                <w:b w:val="0"/>
                <w:i w:val="0"/>
                <w:sz w:val="20"/>
              </w:rPr>
              <w:t>Agricultural</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Ag</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121–140</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FFFFFF"/>
          </w:tcPr>
          <w:p>
            <w:pPr>
              <w:spacing w:before="20" w:after="20"/>
              <w:jc w:val="center"/>
            </w:pPr>
            <w:r>
              <w:rPr>
                <w:rFonts w:ascii="Times New Roman" w:hAnsi="Times New Roman" w:cs="Times New Roman" w:eastAsia="Times New Roman"/>
                <w:b w:val="0"/>
                <w:i w:val="0"/>
                <w:sz w:val="20"/>
              </w:rPr>
              <w:t>Household</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H</w:t>
            </w:r>
          </w:p>
        </w:tc>
        <w:tc>
          <w:tcPr>
            <w:tcW w:type="dxa" w:w="2160"/>
            <w:shd w:val="clear" w:color="auto" w:fill="FFFFFF"/>
          </w:tcPr>
          <w:p>
            <w:pPr>
              <w:spacing w:before="20" w:after="20"/>
              <w:jc w:val="center"/>
            </w:pPr>
            <w:r>
              <w:rPr>
                <w:rFonts w:ascii="Times New Roman" w:hAnsi="Times New Roman" w:cs="Times New Roman" w:eastAsia="Times New Roman"/>
                <w:b w:val="0"/>
                <w:i w:val="0"/>
                <w:sz w:val="20"/>
              </w:rPr>
              <w:t>141–160</w:t>
            </w:r>
          </w:p>
        </w:tc>
        <w:tc>
          <w:tcPr>
            <w:tcW w:type="dxa" w:w="1440"/>
            <w:shd w:val="clear" w:color="auto" w:fill="FFFFFF"/>
          </w:tcPr>
          <w:p>
            <w:pPr>
              <w:spacing w:before="20" w:after="20"/>
              <w:jc w:val="center"/>
            </w:pPr>
            <w:r>
              <w:rPr>
                <w:rFonts w:ascii="Times New Roman" w:hAnsi="Times New Roman" w:cs="Times New Roman" w:eastAsia="Times New Roman"/>
                <w:b w:val="0"/>
                <w:i w:val="0"/>
                <w:sz w:val="20"/>
              </w:rPr>
              <w:t>40</w:t>
            </w:r>
          </w:p>
        </w:tc>
      </w:tr>
      <w:tr>
        <w:tc>
          <w:tcPr>
            <w:tcW w:type="dxa" w:w="2160"/>
            <w:shd w:val="clear" w:color="auto" w:fill="EBF0FB"/>
          </w:tcPr>
          <w:p>
            <w:pPr>
              <w:spacing w:before="20" w:after="20"/>
              <w:jc w:val="center"/>
            </w:pPr>
            <w:r>
              <w:rPr>
                <w:rFonts w:ascii="Times New Roman" w:hAnsi="Times New Roman" w:cs="Times New Roman" w:eastAsia="Times New Roman"/>
                <w:b w:val="0"/>
                <w:i w:val="0"/>
                <w:sz w:val="20"/>
              </w:rPr>
              <w:t>Social</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So</w:t>
            </w:r>
          </w:p>
        </w:tc>
        <w:tc>
          <w:tcPr>
            <w:tcW w:type="dxa" w:w="2160"/>
            <w:shd w:val="clear" w:color="auto" w:fill="EBF0FB"/>
          </w:tcPr>
          <w:p>
            <w:pPr>
              <w:spacing w:before="20" w:after="20"/>
              <w:jc w:val="center"/>
            </w:pPr>
            <w:r>
              <w:rPr>
                <w:rFonts w:ascii="Times New Roman" w:hAnsi="Times New Roman" w:cs="Times New Roman" w:eastAsia="Times New Roman"/>
                <w:b w:val="0"/>
                <w:i w:val="0"/>
                <w:sz w:val="20"/>
              </w:rPr>
              <w:t>161–180</w:t>
            </w:r>
          </w:p>
        </w:tc>
        <w:tc>
          <w:tcPr>
            <w:tcW w:type="dxa" w:w="1440"/>
            <w:shd w:val="clear" w:color="auto" w:fill="EBF0FB"/>
          </w:tcPr>
          <w:p>
            <w:pPr>
              <w:spacing w:before="20" w:after="20"/>
              <w:jc w:val="center"/>
            </w:pPr>
            <w:r>
              <w:rPr>
                <w:rFonts w:ascii="Times New Roman" w:hAnsi="Times New Roman" w:cs="Times New Roman" w:eastAsia="Times New Roman"/>
                <w:b w:val="0"/>
                <w:i w:val="0"/>
                <w:sz w:val="20"/>
              </w:rPr>
              <w:t>40</w:t>
            </w:r>
          </w:p>
        </w:tc>
      </w:tr>
    </w:tbl>
    <w:p/>
    <w:p>
      <w:pPr>
        <w:spacing w:before="0" w:after="120" w:lineRule="auto" w:line="360"/>
        <w:jc w:val="both"/>
      </w:pPr>
      <w:r>
        <w:rPr>
          <w:rFonts w:ascii="Times New Roman" w:hAnsi="Times New Roman" w:cs="Times New Roman" w:eastAsia="Times New Roman"/>
          <w:b w:val="0"/>
          <w:i w:val="0"/>
          <w:sz w:val="24"/>
        </w:rPr>
        <w:t>Scoring: Like = 2 points | Neutral = 1 point | Dislike = 0 points</w:t>
      </w:r>
    </w:p>
    <w:p>
      <w:pPr>
        <w:spacing w:before="0" w:after="120" w:lineRule="auto" w:line="360"/>
        <w:jc w:val="both"/>
      </w:pPr>
      <w:r>
        <w:rPr>
          <w:rFonts w:ascii="Times New Roman" w:hAnsi="Times New Roman" w:cs="Times New Roman" w:eastAsia="Times New Roman"/>
          <w:b w:val="0"/>
          <w:i w:val="0"/>
          <w:sz w:val="24"/>
        </w:rPr>
        <w:t>Area Score = Sum of scores on the 20 items for that area (Range: 0–40)</w:t>
      </w:r>
    </w:p>
    <w:p>
      <w:pPr>
        <w:spacing w:before="280" w:after="160" w:lineRule="auto" w:line="276"/>
        <w:jc w:val="left"/>
      </w:pPr>
      <w:r>
        <w:rPr>
          <w:rFonts w:ascii="Times New Roman" w:hAnsi="Times New Roman" w:cs="Times New Roman" w:eastAsia="Times New Roman"/>
          <w:b/>
          <w:i w:val="0"/>
          <w:color w:val="8B0000"/>
          <w:sz w:val="28"/>
        </w:rPr>
        <w:t>APPENDIX E: SAMPLE STATISTICAL CALCULATIONS</w:t>
      </w:r>
    </w:p>
    <w:p>
      <w:pPr>
        <w:spacing w:before="200" w:after="160" w:lineRule="auto" w:line="276"/>
        <w:jc w:val="left"/>
      </w:pPr>
      <w:r>
        <w:rPr>
          <w:rFonts w:ascii="Times New Roman" w:hAnsi="Times New Roman" w:cs="Times New Roman" w:eastAsia="Times New Roman"/>
          <w:b/>
          <w:i w:val="0"/>
          <w:sz w:val="26"/>
        </w:rPr>
        <w:t>E.1  Mean and SD – Rural Boys, Technical Interest</w:t>
      </w:r>
    </w:p>
    <w:p>
      <w:pPr>
        <w:spacing w:before="0" w:after="120" w:lineRule="auto" w:line="360"/>
        <w:jc w:val="both"/>
      </w:pPr>
      <w:r>
        <w:rPr>
          <w:rFonts w:ascii="Times New Roman" w:hAnsi="Times New Roman" w:cs="Times New Roman" w:eastAsia="Times New Roman"/>
          <w:b w:val="0"/>
          <w:i w:val="0"/>
          <w:sz w:val="24"/>
        </w:rPr>
        <w:t>Scores: 30, 32, 28, 34, 26, 32, 28, 30, 32, 28, 30, 32, 26, 34, 30</w:t>
        <w:br/>
        <w:br/>
        <w:t>Step 1 – ΣX = 30+32+28+34+26+32+28+30+32+28+30+32+26+34+30 = 452</w:t>
        <w:br/>
        <w:br/>
        <w:t>Step 2 – Mean (M) = ΣX / N = 452 / 15 = 30.13</w:t>
        <w:br/>
        <w:br/>
        <w:t>Step 3 – ΣX² = 900+1024+784+1156+676+1024+784+900+1024+784+900+1024+676+1156+900 = 13,712</w:t>
        <w:br/>
        <w:br/>
        <w:t>Step 4 – SD = √[(ΣX²/N) − M²] = √[(13712/15) − (30.13)²] = √[914.13 − 907.82] = √6.31 = 2.51</w:t>
      </w:r>
    </w:p>
    <w:p>
      <w:pPr>
        <w:spacing w:before="200" w:after="160" w:lineRule="auto" w:line="276"/>
        <w:jc w:val="left"/>
      </w:pPr>
      <w:r>
        <w:rPr>
          <w:rFonts w:ascii="Times New Roman" w:hAnsi="Times New Roman" w:cs="Times New Roman" w:eastAsia="Times New Roman"/>
          <w:b/>
          <w:i w:val="0"/>
          <w:sz w:val="26"/>
        </w:rPr>
        <w:t>E.2  t-test – Social Interest: Boys vs. Girls</w:t>
      </w:r>
    </w:p>
    <w:p>
      <w:pPr>
        <w:spacing w:before="0" w:after="120" w:lineRule="auto" w:line="360"/>
        <w:jc w:val="both"/>
      </w:pPr>
      <w:r>
        <w:rPr>
          <w:rFonts w:ascii="Times New Roman" w:hAnsi="Times New Roman" w:cs="Times New Roman" w:eastAsia="Times New Roman"/>
          <w:b w:val="0"/>
          <w:i w:val="0"/>
          <w:sz w:val="24"/>
        </w:rPr>
        <w:t>M₁ (Boys) = 18.07;  M₂ (Girls) = 29.07</w:t>
        <w:br/>
        <w:t>SD₁ = 3.68;  SD₂ = 2.44;  N₁ = N₂ = 30</w:t>
        <w:br/>
        <w:br/>
        <w:t>SE = √[(3.68²/30) + (2.44²/30)]</w:t>
        <w:br/>
        <w:t xml:space="preserve">   = √[(13.5424/30) + (5.9536/30)]</w:t>
        <w:br/>
        <w:t xml:space="preserve">   = √[0.4514 + 0.1985] = √0.6499 = 0.806</w:t>
        <w:br/>
        <w:br/>
        <w:t>t = (18.07 − 29.07) / 0.806 = −11.00 / 0.806 = −13.65</w:t>
        <w:br/>
        <w:t>|t| = 13.65</w:t>
        <w:br/>
        <w:br/>
        <w:t>Critical t at df = 58, α = 0.05 (two-tailed) = 2.002</w:t>
        <w:br/>
        <w:t>Decision: |t| = 13.65 &gt; 2.002 ∴ Null hypothesis REJECTED.</w:t>
      </w:r>
    </w:p>
    <w:p/>
    <w:p/>
    <w:p>
      <w:pPr>
        <w:spacing w:before="80" w:after="80"/>
        <w:jc w:val="center"/>
      </w:pPr>
      <w:r>
        <w:rPr>
          <w:rFonts w:ascii="Times New Roman" w:hAnsi="Times New Roman" w:cs="Times New Roman" w:eastAsia="Times New Roman"/>
          <w:b w:val="0"/>
          <w:i w:val="0"/>
          <w:sz w:val="18"/>
        </w:rPr>
        <w:t>────────────────────────────────────────────────────────────</w:t>
      </w:r>
    </w:p>
    <w:p>
      <w:pPr>
        <w:spacing w:before="80" w:after="80" w:lineRule="auto" w:line="360"/>
        <w:jc w:val="center"/>
      </w:pPr>
      <w:r>
        <w:rPr>
          <w:rFonts w:ascii="Times New Roman" w:hAnsi="Times New Roman" w:cs="Times New Roman" w:eastAsia="Times New Roman"/>
          <w:b/>
          <w:i w:val="0"/>
          <w:sz w:val="18"/>
        </w:rPr>
        <w:t>© 2026 Vipul Chaudhary | M.Ed. Dissertation | Department of Education | Meerut College, Meerut | Chaudhary Charan Singh University, Meerut</w:t>
      </w:r>
    </w:p>
    <w:p>
      <w:pPr>
        <w:spacing w:before="80" w:after="80"/>
        <w:jc w:val="center"/>
      </w:pPr>
      <w:r>
        <w:rPr>
          <w:rFonts w:ascii="Times New Roman" w:hAnsi="Times New Roman" w:cs="Times New Roman" w:eastAsia="Times New Roman"/>
          <w:b w:val="0"/>
          <w:i w:val="0"/>
          <w:sz w:val="18"/>
        </w:rPr>
        <w:t>────────────────────────────────────────────────────────────</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