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8317111c6da1082c3745e0670efcfe4fa44ec0"/>
    <w:p>
      <w:pPr>
        <w:pStyle w:val="Heading1"/>
        <w:spacing w:line="360" w:lineRule="auto"/>
        <w:jc w:val="center"/>
      </w:pPr>
      <w:r>
        <w:rPr>
          <w:rFonts w:ascii="Times New Roman" w:hAnsi="Times New Roman" w:cs="Times New Roman" w:eastAsia="Times New Roman"/>
          <w:b/>
          <w:sz w:val="32"/>
        </w:rPr>
        <w:t xml:space="preserve">A COMPARATIVE STUDY OF THE VOCATIONAL INTERESTS OF BOYS AND GIRLS STUDYING AT SECONDARY LEVEL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A DISSERTATION</w:t>
      </w:r>
    </w:p>
    <w:p>
      <w:pPr>
        <w:pStyle w:val="BodyText"/>
        <w:spacing w:line="480" w:lineRule="auto" w:after="120"/>
        <w:jc w:val="both"/>
      </w:pPr>
      <w:r>
        <w:rPr>
          <w:rFonts w:ascii="Times New Roman" w:hAnsi="Times New Roman" w:cs="Times New Roman" w:eastAsia="Times New Roman"/>
          <w:sz w:val="24"/>
        </w:rPr>
        <w:t xml:space="preserve">Submitted to the</w:t>
      </w:r>
    </w:p>
    <w:p>
      <w:pPr>
        <w:pStyle w:val="BodyText"/>
        <w:spacing w:line="480" w:lineRule="auto" w:after="120"/>
        <w:jc w:val="both"/>
      </w:pPr>
      <w:r>
        <w:rPr>
          <w:rFonts w:ascii="Times New Roman" w:hAnsi="Times New Roman" w:cs="Times New Roman" w:eastAsia="Times New Roman"/>
          <w:b/>
          <w:bCs/>
          <w:sz w:val="24"/>
        </w:rPr>
        <w:t xml:space="preserve">CHAUDHARY CHARAN SINGH UNIVERSITY, MEERUT</w:t>
      </w:r>
    </w:p>
    <w:p>
      <w:pPr>
        <w:pStyle w:val="BodyText"/>
        <w:spacing w:line="480" w:lineRule="auto" w:after="120"/>
        <w:jc w:val="both"/>
      </w:pPr>
      <w:r>
        <w:rPr>
          <w:rFonts w:ascii="Times New Roman" w:hAnsi="Times New Roman" w:cs="Times New Roman" w:eastAsia="Times New Roman"/>
          <w:sz w:val="24"/>
        </w:rPr>
        <w:t xml:space="preserve">In Partial Fulfilment of the Requirements for the Degree of</w:t>
      </w:r>
    </w:p>
    <w:p>
      <w:pPr>
        <w:pStyle w:val="BodyText"/>
        <w:spacing w:line="480" w:lineRule="auto" w:after="120"/>
        <w:jc w:val="both"/>
      </w:pPr>
      <w:r>
        <w:rPr>
          <w:rFonts w:ascii="Times New Roman" w:hAnsi="Times New Roman" w:cs="Times New Roman" w:eastAsia="Times New Roman"/>
          <w:b/>
          <w:bCs/>
          <w:sz w:val="24"/>
        </w:rPr>
        <w:t xml:space="preserve">MASTER OF EDUCATION (M.Ed.)</w:t>
      </w:r>
    </w:p>
    <w:p>
      <w:pPr>
        <w:pStyle w:val="BodyText"/>
        <w:spacing w:line="480" w:lineRule="auto" w:after="120"/>
        <w:jc w:val="both"/>
      </w:pPr>
      <w:r>
        <w:rPr>
          <w:rFonts w:ascii="Times New Roman" w:hAnsi="Times New Roman" w:cs="Times New Roman" w:eastAsia="Times New Roman"/>
          <w:b/>
          <w:bCs/>
          <w:sz w:val="24"/>
        </w:rPr>
        <w:t xml:space="preserve">Session 2025–2026</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Submitted By:</w:t>
      </w:r>
    </w:p>
    <w:p>
      <w:pPr>
        <w:pStyle w:val="BodyText"/>
        <w:spacing w:line="480" w:lineRule="auto" w:after="120"/>
        <w:jc w:val="both"/>
      </w:pPr>
      <w:r>
        <w:rPr>
          <w:rFonts w:ascii="Times New Roman" w:hAnsi="Times New Roman" w:cs="Times New Roman" w:eastAsia="Times New Roman"/>
          <w:sz w:val="24"/>
        </w:rPr>
        <w:t xml:space="preserve">[Name of the Researcher]</w:t>
      </w:r>
    </w:p>
    <w:p>
      <w:pPr>
        <w:pStyle w:val="BodyText"/>
        <w:spacing w:line="480" w:lineRule="auto" w:after="120"/>
        <w:jc w:val="both"/>
      </w:pPr>
      <w:r>
        <w:rPr>
          <w:rFonts w:ascii="Times New Roman" w:hAnsi="Times New Roman" w:cs="Times New Roman" w:eastAsia="Times New Roman"/>
          <w:sz w:val="24"/>
        </w:rPr>
        <w:t xml:space="preserve">M.Ed. Roll No. ____________________</w:t>
      </w:r>
    </w:p>
    <w:p>
      <w:pPr>
        <w:pStyle w:val="BodyText"/>
        <w:spacing w:line="480" w:lineRule="auto" w:after="120"/>
        <w:jc w:val="both"/>
      </w:pPr>
      <w:r>
        <w:rPr>
          <w:rFonts w:ascii="Times New Roman" w:hAnsi="Times New Roman" w:cs="Times New Roman" w:eastAsia="Times New Roman"/>
          <w:sz w:val="24"/>
        </w:rPr>
        <w:t xml:space="preserve">Enrolment No. ____________________</w:t>
      </w:r>
    </w:p>
    <w:p>
      <w:pPr>
        <w:pStyle w:val="BodyText"/>
        <w:spacing w:line="480" w:lineRule="auto" w:after="120"/>
        <w:jc w:val="both"/>
      </w:pPr>
      <w:r>
        <w:rPr>
          <w:rFonts w:ascii="Times New Roman" w:hAnsi="Times New Roman" w:cs="Times New Roman" w:eastAsia="Times New Roman"/>
          <w:b/>
          <w:bCs/>
          <w:sz w:val="24"/>
        </w:rPr>
        <w:t xml:space="preserve">Under the Supervision of:</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DEPARTMENT OF EDUCATION</w:t>
      </w:r>
    </w:p>
    <w:p>
      <w:pPr>
        <w:pStyle w:val="BodyText"/>
        <w:spacing w:line="480" w:lineRule="auto" w:after="120"/>
        <w:jc w:val="both"/>
      </w:pPr>
      <w:r>
        <w:rPr>
          <w:rFonts w:ascii="Times New Roman" w:hAnsi="Times New Roman" w:cs="Times New Roman" w:eastAsia="Times New Roman"/>
          <w:b/>
          <w:bCs/>
          <w:sz w:val="24"/>
        </w:rPr>
        <w:t xml:space="preserve">MEERUT COLLEGE, MEERUT</w:t>
      </w:r>
    </w:p>
    <w:p>
      <w:pPr>
        <w:pStyle w:val="BodyText"/>
        <w:spacing w:line="480" w:lineRule="auto" w:after="120"/>
        <w:jc w:val="both"/>
      </w:pPr>
      <w:r>
        <w:rPr>
          <w:rFonts w:ascii="Times New Roman" w:hAnsi="Times New Roman" w:cs="Times New Roman" w:eastAsia="Times New Roman"/>
          <w:sz w:val="24"/>
        </w:rPr>
        <w:t xml:space="preserve">(Affiliated to Chaudhary Charan Singh University, Meerut)</w:t>
      </w:r>
    </w:p>
    <w:p>
      <w:pPr>
        <w:pStyle w:val="BodyText"/>
        <w:spacing w:line="480" w:lineRule="auto" w:after="120"/>
        <w:jc w:val="both"/>
      </w:pPr>
      <w:r>
        <w:rPr>
          <w:rFonts w:ascii="Times New Roman" w:hAnsi="Times New Roman" w:cs="Times New Roman" w:eastAsia="Times New Roman"/>
          <w:b/>
          <w:bCs/>
          <w:sz w:val="24"/>
        </w:rPr>
        <w:t xml:space="preserve">MEERUT – 250001 (U.P.)</w:t>
      </w:r>
    </w:p>
    <w:p>
      <w:pPr>
        <w:pStyle w:val="BodyText"/>
        <w:spacing w:line="480" w:lineRule="auto" w:after="120"/>
        <w:jc w:val="both"/>
      </w:pPr>
      <w:r>
        <w:rPr>
          <w:rFonts w:ascii="Times New Roman" w:hAnsi="Times New Roman" w:cs="Times New Roman" w:eastAsia="Times New Roman"/>
          <w:b/>
          <w:bCs/>
          <w:sz w:val="24"/>
        </w:rPr>
        <w:t xml:space="preserve">2025–2026</w:t>
      </w:r>
    </w:p>
    <w:bookmarkStart w:id="9" w:name="section"/>
    <w:p>
      <w:pPr>
        <w:pStyle w:val="Heading2"/>
        <w:spacing w:line="360" w:lineRule="auto"/>
        <w:jc w:val="center"/>
      </w:pPr>
      <w:r>
        <w:rPr>
          <w:rFonts w:ascii="Times New Roman" w:hAnsi="Times New Roman" w:cs="Times New Roman" w:eastAsia="Times New Roman"/>
          <w:b/>
          <w:sz w:val="28"/>
        </w:rPr>
        <w:t xml:space="preserve">—</w:t>
      </w:r>
    </w:p>
    <w:bookmarkEnd w:id="9"/>
    <w:bookmarkStart w:id="10" w:name="certificate-of-the-supervisor"/>
    <w:p>
      <w:pPr>
        <w:pStyle w:val="Heading2"/>
        <w:spacing w:line="360" w:lineRule="auto"/>
        <w:jc w:val="center"/>
      </w:pPr>
      <w:r>
        <w:rPr>
          <w:rFonts w:ascii="Times New Roman" w:hAnsi="Times New Roman" w:cs="Times New Roman" w:eastAsia="Times New Roman"/>
          <w:b/>
          <w:sz w:val="28"/>
        </w:rPr>
        <w:t xml:space="preserve">CERTIFICATE OF THE SUPERVISOR</w:t>
      </w:r>
    </w:p>
    <w:p>
      <w:pPr>
        <w:pStyle w:val="FirstParagraph"/>
        <w:spacing w:line="480" w:lineRule="auto"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a bonafide M.Ed. student of the Department of Education, Meerut College, Meerut (affiliated to Chaudhary Charan Singh University, Meerut), is the original work carried out by the candidate under my supervision and guidance, in partial fulfilment of the requirement for the award of the Degree of Master of Education (M.Ed.) of Chaudhary Charan Singh University, Meerut.</w:t>
      </w:r>
    </w:p>
    <w:p>
      <w:pPr>
        <w:pStyle w:val="BodyText"/>
        <w:spacing w:line="480" w:lineRule="auto" w:after="120"/>
        <w:jc w:val="both"/>
      </w:pPr>
      <w:r>
        <w:rPr>
          <w:rFonts w:ascii="Times New Roman" w:hAnsi="Times New Roman" w:cs="Times New Roman" w:eastAsia="Times New Roman"/>
          <w:sz w:val="24"/>
        </w:rPr>
        <w:t xml:space="preserve">The work embodied in this dissertation is the candidate’s own and has not been submitted, either in part or in full, to this or to any other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The candidate has fulfilled all the requirements of the regulations laid down by the University for the M.Ed. dissertation. I, therefore, recommend the dissertation for evaluation.</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(Supervisor)</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bookmarkEnd w:id="10"/>
    <w:bookmarkStart w:id="11" w:name="section-1"/>
    <w:p>
      <w:pPr>
        <w:pStyle w:val="Heading2"/>
        <w:spacing w:line="360" w:lineRule="auto"/>
        <w:jc w:val="center"/>
      </w:pPr>
      <w:r>
        <w:rPr>
          <w:rFonts w:ascii="Times New Roman" w:hAnsi="Times New Roman" w:cs="Times New Roman" w:eastAsia="Times New Roman"/>
          <w:b/>
          <w:sz w:val="28"/>
        </w:rPr>
        <w:t xml:space="preserve">—</w:t>
      </w:r>
    </w:p>
    <w:bookmarkEnd w:id="11"/>
    <w:bookmarkStart w:id="12" w:name="declaration-of-the-candidate"/>
    <w:p>
      <w:pPr>
        <w:pStyle w:val="Heading2"/>
        <w:spacing w:line="360" w:lineRule="auto"/>
        <w:jc w:val="center"/>
      </w:pPr>
      <w:r>
        <w:rPr>
          <w:rFonts w:ascii="Times New Roman" w:hAnsi="Times New Roman" w:cs="Times New Roman" w:eastAsia="Times New Roman"/>
          <w:b/>
          <w:sz w:val="28"/>
        </w:rPr>
        <w:t xml:space="preserve">DECLARATION OF THE CANDIDATE</w:t>
      </w:r>
    </w:p>
    <w:p>
      <w:pPr>
        <w:pStyle w:val="FirstParagraph"/>
        <w:spacing w:line="480" w:lineRule="auto"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hereby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 me to the Department of Education, Meerut College, Meerut (affiliated to Chaudhary Charan Singh University, Meerut), in partial fulfilment of the requirements for the award of the Degree of Master of Education (M.Ed.), is the result of my own original investigation. The work has been carried out under the supervision and guidance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w:t>
      </w:r>
    </w:p>
    <w:p>
      <w:pPr>
        <w:pStyle w:val="BodyText"/>
        <w:spacing w:line="480" w:lineRule="auto" w:after="120"/>
        <w:jc w:val="both"/>
      </w:pPr>
      <w:r>
        <w:rPr>
          <w:rFonts w:ascii="Times New Roman" w:hAnsi="Times New Roman" w:cs="Times New Roman" w:eastAsia="Times New Roman"/>
          <w:sz w:val="24"/>
        </w:rPr>
        <w:t xml:space="preserve">I further declare that this dissertation, or any part of it, has not been previously submitted by me to any other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The information given in the dissertation regarding the schools, students, sample, raw scores, references and statistical results, is, to the best of my knowledge, true and authentic.</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M.Ed. Roll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Enrolment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2"/>
    <w:bookmarkStart w:id="13" w:name="section-2"/>
    <w:p>
      <w:pPr>
        <w:pStyle w:val="Heading2"/>
        <w:spacing w:line="360" w:lineRule="auto"/>
        <w:jc w:val="center"/>
      </w:pPr>
      <w:r>
        <w:rPr>
          <w:rFonts w:ascii="Times New Roman" w:hAnsi="Times New Roman" w:cs="Times New Roman" w:eastAsia="Times New Roman"/>
          <w:b/>
          <w:sz w:val="28"/>
        </w:rPr>
        <w:t xml:space="preserve">—</w:t>
      </w:r>
    </w:p>
    <w:bookmarkEnd w:id="13"/>
    <w:bookmarkStart w:id="14" w:name="acknowledgement"/>
    <w:p>
      <w:pPr>
        <w:pStyle w:val="Heading2"/>
        <w:spacing w:line="360" w:lineRule="auto"/>
        <w:jc w:val="center"/>
      </w:pPr>
      <w:r>
        <w:rPr>
          <w:rFonts w:ascii="Times New Roman" w:hAnsi="Times New Roman" w:cs="Times New Roman" w:eastAsia="Times New Roman"/>
          <w:b/>
          <w:sz w:val="28"/>
        </w:rPr>
        <w:t xml:space="preserve">ACKNOWLEDGEMENT</w:t>
      </w:r>
    </w:p>
    <w:p>
      <w:pPr>
        <w:pStyle w:val="FirstParagraph"/>
        <w:spacing w:line="480" w:lineRule="auto" w:after="120"/>
        <w:jc w:val="both"/>
      </w:pPr>
      <w:r>
        <w:rPr>
          <w:rFonts w:ascii="Times New Roman" w:hAnsi="Times New Roman" w:cs="Times New Roman" w:eastAsia="Times New Roman"/>
          <w:sz w:val="24"/>
        </w:rPr>
        <w:t xml:space="preserve">The completion of the present investigation has been a journey of constant learning, perseverance and personal growth. It would not have been possible without the inspiration, blessings, encouragement and active cooperation of a number of persons, all of whom deserve my heartfelt appreciation.</w:t>
      </w:r>
    </w:p>
    <w:p>
      <w:pPr>
        <w:pStyle w:val="BodyText"/>
        <w:spacing w:line="480" w:lineRule="auto" w:after="120"/>
        <w:jc w:val="both"/>
      </w:pPr>
      <w:r>
        <w:rPr>
          <w:rFonts w:ascii="Times New Roman" w:hAnsi="Times New Roman" w:cs="Times New Roman" w:eastAsia="Times New Roman"/>
          <w:sz w:val="24"/>
        </w:rPr>
        <w:t xml:space="preserve">First and foremost, I bow my head before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Almighty God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divine grace has enabled me to bring this work to a meaningful conclusion.</w:t>
      </w:r>
    </w:p>
    <w:p>
      <w:pPr>
        <w:pStyle w:val="BodyText"/>
        <w:spacing w:line="480" w:lineRule="auto" w:after="120"/>
        <w:jc w:val="both"/>
      </w:pPr>
      <w:r>
        <w:rPr>
          <w:rFonts w:ascii="Times New Roman" w:hAnsi="Times New Roman" w:cs="Times New Roman" w:eastAsia="Times New Roman"/>
          <w:sz w:val="24"/>
        </w:rPr>
        <w:t xml:space="preserve">I take this opportunity to express my deep sense of gratitude and indebtedness to my esteemed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 for her/his invaluable guidance, scholarly suggestions, constructive criticism and constant encouragement at every step of the present investigation. Her/His sincere interest in the problem and untiring efforts have been a great source of inspiration to me throughout the course of this study.</w:t>
      </w:r>
    </w:p>
    <w:p>
      <w:pPr>
        <w:pStyle w:val="BodyText"/>
        <w:spacing w:line="480" w:lineRule="auto" w:after="120"/>
        <w:jc w:val="both"/>
      </w:pPr>
      <w:r>
        <w:rPr>
          <w:rFonts w:ascii="Times New Roman" w:hAnsi="Times New Roman" w:cs="Times New Roman" w:eastAsia="Times New Roman"/>
          <w:sz w:val="24"/>
        </w:rPr>
        <w:t xml:space="preserve">I am extremely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 Meerut College, Meerut</w:t>
      </w:r>
      <w:r>
        <w:rPr>
          <w:rFonts w:ascii="Times New Roman" w:hAnsi="Times New Roman" w:cs="Times New Roman" w:eastAsia="Times New Roman"/>
          <w:sz w:val="24"/>
        </w:rPr>
        <w:t xml:space="preserve">, for granting me permission to undertake the present investigation, and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Head, Department of Education</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respected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for the academic support and rich learning environment they so generously provided.</w:t>
      </w:r>
    </w:p>
    <w:p>
      <w:pPr>
        <w:pStyle w:val="BodyText"/>
        <w:spacing w:line="480" w:lineRule="auto" w:after="120"/>
        <w:jc w:val="both"/>
      </w:pPr>
      <w:r>
        <w:rPr>
          <w:rFonts w:ascii="Times New Roman" w:hAnsi="Times New Roman" w:cs="Times New Roman" w:eastAsia="Times New Roman"/>
          <w:sz w:val="24"/>
        </w:rPr>
        <w:t xml:space="preserve">I gratefully acknowledge the scholarly contribution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whose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served as the principal tool of measurement in the present study. His seminal work has provided a strong empirical foundation to this investigation.</w:t>
      </w:r>
    </w:p>
    <w:p>
      <w:pPr>
        <w:pStyle w:val="BodyText"/>
        <w:spacing w:line="480" w:lineRule="auto" w:after="120"/>
        <w:jc w:val="both"/>
      </w:pPr>
      <w:r>
        <w:rPr>
          <w:rFonts w:ascii="Times New Roman" w:hAnsi="Times New Roman" w:cs="Times New Roman" w:eastAsia="Times New Roman"/>
          <w:sz w:val="24"/>
        </w:rPr>
        <w:t xml:space="preserve">I am sincerely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teachers and the secondary level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following two institutions for their wholehearted cooperation, without which the data of this study could never have been collected:</w:t>
      </w:r>
    </w:p>
    <w:p>
      <w:pPr>
        <w:pStyle w:val="Compact"/>
        <w:numPr>
          <w:ilvl w:val="0"/>
          <w:numId w:val="1001"/>
        </w:numPr>
        <w:spacing w:line="480" w:lineRule="auto" w:after="120"/>
        <w:jc w:val="both"/>
      </w:pPr>
      <w:r>
        <w:rPr>
          <w:rFonts w:ascii="Times New Roman" w:hAnsi="Times New Roman" w:cs="Times New Roman" w:eastAsia="Times New Roman"/>
          <w:b/>
          <w:bCs/>
          <w:sz w:val="24"/>
        </w:rPr>
        <w:t xml:space="preserve">Shri Sanskrit Inter College, Aitmadpur,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Government rural school under the Uttar Pradesh Madhyamik Shiksha Parishad.</w:t>
      </w:r>
    </w:p>
    <w:p>
      <w:pPr>
        <w:pStyle w:val="Compact"/>
        <w:numPr>
          <w:ilvl w:val="0"/>
          <w:numId w:val="1001"/>
        </w:numPr>
        <w:spacing w:line="48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Private urban CBSE-affiliated school.</w:t>
      </w:r>
    </w:p>
    <w:p>
      <w:pPr>
        <w:pStyle w:val="FirstParagraph"/>
        <w:spacing w:line="480" w:lineRule="auto" w:after="120"/>
        <w:jc w:val="both"/>
      </w:pPr>
      <w:r>
        <w:rPr>
          <w:rFonts w:ascii="Times New Roman" w:hAnsi="Times New Roman" w:cs="Times New Roman" w:eastAsia="Times New Roman"/>
          <w:sz w:val="24"/>
        </w:rPr>
        <w:t xml:space="preserve">The administration and the students of these institutions extended every possible facility, made the periods available and patiently completed the lengthy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To them I am especially grateful.</w:t>
      </w:r>
    </w:p>
    <w:p>
      <w:pPr>
        <w:pStyle w:val="BodyText"/>
        <w:spacing w:line="480" w:lineRule="auto" w:after="120"/>
        <w:jc w:val="both"/>
      </w:pPr>
      <w:r>
        <w:rPr>
          <w:rFonts w:ascii="Times New Roman" w:hAnsi="Times New Roman" w:cs="Times New Roman" w:eastAsia="Times New Roman"/>
          <w:sz w:val="24"/>
        </w:rPr>
        <w:t xml:space="preserve">I express my thanks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Library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Meerut College;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Library, C.C.S. University, Meerut</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N.C.E.R.T. Library, New Delhi</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Maulana Azad Library, A.M.U., Aligarh</w:t>
      </w:r>
      <w:r>
        <w:rPr>
          <w:rFonts w:ascii="Times New Roman" w:hAnsi="Times New Roman" w:cs="Times New Roman" w:eastAsia="Times New Roman"/>
          <w:sz w:val="24"/>
        </w:rPr>
        <w:t xml:space="preserve">, for their kind cooperation in providing relevant material for the review of related literature.</w:t>
      </w:r>
    </w:p>
    <w:p>
      <w:pPr>
        <w:pStyle w:val="BodyText"/>
        <w:spacing w:line="480" w:lineRule="auto" w:after="120"/>
        <w:jc w:val="both"/>
      </w:pPr>
      <w:r>
        <w:rPr>
          <w:rFonts w:ascii="Times New Roman" w:hAnsi="Times New Roman" w:cs="Times New Roman" w:eastAsia="Times New Roman"/>
          <w:sz w:val="24"/>
        </w:rPr>
        <w:t xml:space="preserve">I cannot forget the silent prayers, sacrifices and endless support of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other family members. Their faith in me has been the greatest motivating force.</w:t>
      </w:r>
    </w:p>
    <w:p>
      <w:pPr>
        <w:pStyle w:val="BodyText"/>
        <w:spacing w:line="480" w:lineRule="auto" w:after="120"/>
        <w:jc w:val="both"/>
      </w:pPr>
      <w:r>
        <w:rPr>
          <w:rFonts w:ascii="Times New Roman" w:hAnsi="Times New Roman" w:cs="Times New Roman" w:eastAsia="Times New Roman"/>
          <w:sz w:val="24"/>
        </w:rPr>
        <w:t xml:space="preserve">Finally, I extend my thanks to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friends and fellow research scholars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valuable suggestions, useful discussions and emotional support that they offered during the course of this work. I am also thankful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____________________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____________________, for the neat typing, formatting and binding of the dissertation.</w:t>
      </w:r>
    </w:p>
    <w:p>
      <w:pPr>
        <w:pStyle w:val="BodyText"/>
        <w:spacing w:line="480" w:lineRule="auto" w:after="120"/>
        <w:jc w:val="both"/>
      </w:pPr>
      <w:r>
        <w:rPr>
          <w:rFonts w:ascii="Times New Roman" w:hAnsi="Times New Roman" w:cs="Times New Roman" w:eastAsia="Times New Roman"/>
          <w:sz w:val="24"/>
        </w:rPr>
        <w:t xml:space="preserve">Any errors or shortcomings that may have remained in this work are entirely my own responsibility.</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4"/>
    <w:bookmarkStart w:id="15" w:name="section-3"/>
    <w:p>
      <w:pPr>
        <w:pStyle w:val="Heading2"/>
        <w:spacing w:line="360" w:lineRule="auto"/>
        <w:jc w:val="center"/>
      </w:pPr>
      <w:r>
        <w:rPr>
          <w:rFonts w:ascii="Times New Roman" w:hAnsi="Times New Roman" w:cs="Times New Roman" w:eastAsia="Times New Roman"/>
          <w:b/>
          <w:sz w:val="28"/>
        </w:rPr>
        <w:t xml:space="preserve">—</w:t>
      </w:r>
    </w:p>
    <w:bookmarkEnd w:id="15"/>
    <w:bookmarkStart w:id="16" w:name="preface"/>
    <w:p>
      <w:pPr>
        <w:pStyle w:val="Heading2"/>
        <w:spacing w:line="360" w:lineRule="auto"/>
        <w:jc w:val="center"/>
      </w:pPr>
      <w:r>
        <w:rPr>
          <w:rFonts w:ascii="Times New Roman" w:hAnsi="Times New Roman" w:cs="Times New Roman" w:eastAsia="Times New Roman"/>
          <w:b/>
          <w:sz w:val="28"/>
        </w:rPr>
        <w:t xml:space="preserve">PREFACE</w:t>
      </w:r>
    </w:p>
    <w:p>
      <w:pPr>
        <w:pStyle w:val="FirstParagraph"/>
        <w:spacing w:line="480" w:lineRule="auto" w:after="120"/>
        <w:jc w:val="both"/>
      </w:pPr>
      <w:r>
        <w:rPr>
          <w:rFonts w:ascii="Times New Roman" w:hAnsi="Times New Roman" w:cs="Times New Roman" w:eastAsia="Times New Roman"/>
          <w:sz w:val="24"/>
        </w:rPr>
        <w:t xml:space="preserve">The Secondary School stage in India coincides with the period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stage in human life that has been described in psychological literature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 of storm and stress”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but also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 of self-discovery”</w:t>
      </w:r>
      <w:r>
        <w:rPr>
          <w:rFonts w:ascii="Times New Roman" w:hAnsi="Times New Roman" w:cs="Times New Roman" w:eastAsia="Times New Roman"/>
          <w:sz w:val="24"/>
        </w:rPr>
        <w:t xml:space="preserve">. It is during these years that the young learner first becomes aware of his or her own inclinations, talents and aspirations, and begins to translate these vague preferences into concrete educational and occupational decisions. The vocational choices made at this stage have far-reaching consequences for the individual, the family and society at large.</w:t>
      </w:r>
    </w:p>
    <w:p>
      <w:pPr>
        <w:pStyle w:val="BodyText"/>
        <w:spacing w:line="480" w:lineRule="auto" w:after="120"/>
        <w:jc w:val="both"/>
      </w:pPr>
      <w:r>
        <w:rPr>
          <w:rFonts w:ascii="Times New Roman" w:hAnsi="Times New Roman" w:cs="Times New Roman" w:eastAsia="Times New Roman"/>
          <w:sz w:val="24"/>
        </w:rPr>
        <w:t xml:space="preserve">Educational psychologists are unanimous in their opinion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strongest single predictors of vocational satisfaction and occupational success. An interest in a vocation, when supported by appropriate ability and opportunity, leads to engaged learning, sustained effort and a sense of fulfilment in adult life. Conversely, a wrong choice — made under the pressure of parents, peers or social fashion — frequently results in frustration, poor performance, low productivity and, in extreme cases, social withdrawal. The systematic and scientific identification of vocational interests at the secondary stage therefore assumes great educational and social significance.</w:t>
      </w:r>
    </w:p>
    <w:p>
      <w:pPr>
        <w:pStyle w:val="BodyText"/>
        <w:spacing w:line="480" w:lineRule="auto" w:after="120"/>
        <w:jc w:val="both"/>
      </w:pPr>
      <w:r>
        <w:rPr>
          <w:rFonts w:ascii="Times New Roman" w:hAnsi="Times New Roman" w:cs="Times New Roman" w:eastAsia="Times New Roman"/>
          <w:sz w:val="24"/>
        </w:rPr>
        <w:t xml:space="preserve">In the Indian context, the National Education Policy 2020 has reaffirmed the importance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education and 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secondary stage. It has recommended that every student should have access to systematic vocational exposure from Class 6 onwards and should be encouraged to develop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vision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end of Class 10. In this background, an investigation into the actual vocational interest pattern of secondary school boys and girls in a real Indian setting is both timely and necessary.</w:t>
      </w:r>
    </w:p>
    <w:p>
      <w:pPr>
        <w:pStyle w:val="BodyText"/>
        <w:spacing w:line="480" w:lineRule="auto" w:after="120"/>
        <w:jc w:val="both"/>
      </w:pPr>
      <w:r>
        <w:rPr>
          <w:rFonts w:ascii="Times New Roman" w:hAnsi="Times New Roman" w:cs="Times New Roman" w:eastAsia="Times New Roman"/>
          <w:sz w:val="24"/>
        </w:rPr>
        <w:t xml:space="preserve">The present dissertation,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is a humble attempt in this direction. It is based on a sample of 40 students of Classes IX and X drawn through random sampling technique from two schools of Meerut District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Government rural school)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Private urban CBSE-affiliated school). The vocational interest of the students has been measured by means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data have been treated with appropriate descriptive and inferential statistical techniques.</w:t>
      </w:r>
    </w:p>
    <w:p>
      <w:pPr>
        <w:pStyle w:val="BodyText"/>
        <w:spacing w:line="480" w:lineRule="auto" w:after="120"/>
        <w:jc w:val="both"/>
      </w:pPr>
      <w:r>
        <w:rPr>
          <w:rFonts w:ascii="Times New Roman" w:hAnsi="Times New Roman" w:cs="Times New Roman" w:eastAsia="Times New Roman"/>
          <w:sz w:val="24"/>
        </w:rPr>
        <w:t xml:space="preserve">The dissertation has been organised into five chapters. Chapter I introduces the problem and lays down the conceptual foundation. Chapter II surveys the related literature both in India and abroad. Chapter III gives a detailed account of the methodology adopted. Chapter IV presents the analysis and interpretation of the data with the help of suitable tables. Chapter V summarises the study, presents the major findings and offers educational implications and suggestions.</w:t>
      </w:r>
    </w:p>
    <w:p>
      <w:pPr>
        <w:pStyle w:val="BodyText"/>
        <w:spacing w:line="480" w:lineRule="auto" w:after="120"/>
        <w:jc w:val="both"/>
      </w:pPr>
      <w:r>
        <w:rPr>
          <w:rFonts w:ascii="Times New Roman" w:hAnsi="Times New Roman" w:cs="Times New Roman" w:eastAsia="Times New Roman"/>
          <w:sz w:val="24"/>
        </w:rPr>
        <w:t xml:space="preserve">It is hoped that the present investigation will throw fresh light on the vocational interest pattern of secondary school boys and girls of Meerut and will be useful to teachers, school administrators, guidance counsellors, parents and future researchers in the field.</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b/>
          <w:bCs/>
          <w:sz w:val="24"/>
        </w:rPr>
        <w:t xml:space="preserve">(Researcher)</w:t>
      </w:r>
    </w:p>
    <w:bookmarkEnd w:id="16"/>
    <w:bookmarkStart w:id="17" w:name="section-4"/>
    <w:p>
      <w:pPr>
        <w:pStyle w:val="Heading2"/>
        <w:spacing w:line="360" w:lineRule="auto"/>
        <w:jc w:val="center"/>
      </w:pPr>
      <w:r>
        <w:rPr>
          <w:rFonts w:ascii="Times New Roman" w:hAnsi="Times New Roman" w:cs="Times New Roman" w:eastAsia="Times New Roman"/>
          <w:b/>
          <w:sz w:val="28"/>
        </w:rPr>
        <w:t xml:space="preserve">—</w:t>
      </w:r>
    </w:p>
    <w:bookmarkEnd w:id="17"/>
    <w:bookmarkStart w:id="18" w:name="table-of-contents"/>
    <w:p>
      <w:pPr>
        <w:pStyle w:val="Heading2"/>
        <w:spacing w:line="360" w:lineRule="auto"/>
        <w:jc w:val="center"/>
      </w:pPr>
      <w:r>
        <w:rPr>
          <w:rFonts w:ascii="Times New Roman" w:hAnsi="Times New Roman" w:cs="Times New Roman" w:eastAsia="Times New Roman"/>
          <w:b/>
          <w:sz w:val="28"/>
        </w:rPr>
        <w:t xml:space="preserve">TABLE OF CONTENTS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p>
        </w:tc>
        <w:tc>
          <w:tcPr/>
          <w:p>
            <w:pPr>
              <w:pStyle w:val="Compact"/>
              <w:spacing w:line="276" w:lineRule="auto"/>
            </w:pP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Certificate of the Supervisor</w:t>
            </w:r>
          </w:p>
        </w:tc>
        <w:tc>
          <w:tcPr/>
          <w:p>
            <w:pPr>
              <w:pStyle w:val="Compact"/>
              <w:spacing w:line="276" w:lineRule="auto"/>
              <w:jc w:val="right"/>
            </w:pPr>
            <w:r>
              <w:rPr>
                <w:rFonts w:ascii="Times New Roman" w:hAnsi="Times New Roman" w:cs="Times New Roman" w:eastAsia="Times New Roman"/>
                <w:sz w:val="22"/>
              </w:rPr>
              <w:t xml:space="preserve">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Declaration of the Candidate</w:t>
            </w:r>
          </w:p>
        </w:tc>
        <w:tc>
          <w:tcPr/>
          <w:p>
            <w:pPr>
              <w:pStyle w:val="Compact"/>
              <w:spacing w:line="276" w:lineRule="auto"/>
              <w:jc w:val="right"/>
            </w:pPr>
            <w:r>
              <w:rPr>
                <w:rFonts w:ascii="Times New Roman" w:hAnsi="Times New Roman" w:cs="Times New Roman" w:eastAsia="Times New Roman"/>
                <w:sz w:val="22"/>
              </w:rPr>
              <w:t xml:space="preserve">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Acknowledgement</w:t>
            </w:r>
          </w:p>
        </w:tc>
        <w:tc>
          <w:tcPr/>
          <w:p>
            <w:pPr>
              <w:pStyle w:val="Compact"/>
              <w:spacing w:line="276" w:lineRule="auto"/>
              <w:jc w:val="right"/>
            </w:pPr>
            <w:r>
              <w:rPr>
                <w:rFonts w:ascii="Times New Roman" w:hAnsi="Times New Roman" w:cs="Times New Roman" w:eastAsia="Times New Roman"/>
                <w:sz w:val="22"/>
              </w:rPr>
              <w:t xml:space="preserve">iii–iv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Preface</w:t>
            </w:r>
          </w:p>
        </w:tc>
        <w:tc>
          <w:tcPr/>
          <w:p>
            <w:pPr>
              <w:pStyle w:val="Compact"/>
              <w:spacing w:line="276" w:lineRule="auto"/>
              <w:jc w:val="right"/>
            </w:pPr>
            <w:r>
              <w:rPr>
                <w:rFonts w:ascii="Times New Roman" w:hAnsi="Times New Roman" w:cs="Times New Roman" w:eastAsia="Times New Roman"/>
                <w:sz w:val="22"/>
              </w:rPr>
              <w:t xml:space="preserve">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Table of Contents</w:t>
            </w:r>
          </w:p>
        </w:tc>
        <w:tc>
          <w:tcPr/>
          <w:p>
            <w:pPr>
              <w:pStyle w:val="Compact"/>
              <w:spacing w:line="276" w:lineRule="auto"/>
              <w:jc w:val="right"/>
            </w:pPr>
            <w:r>
              <w:rPr>
                <w:rFonts w:ascii="Times New Roman" w:hAnsi="Times New Roman" w:cs="Times New Roman" w:eastAsia="Times New Roman"/>
                <w:sz w:val="22"/>
              </w:rPr>
              <w:t xml:space="preserve">vi–vii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Tables</w:t>
            </w:r>
          </w:p>
        </w:tc>
        <w:tc>
          <w:tcPr/>
          <w:p>
            <w:pPr>
              <w:pStyle w:val="Compact"/>
              <w:spacing w:line="276" w:lineRule="auto"/>
              <w:jc w:val="right"/>
            </w:pPr>
            <w:r>
              <w:rPr>
                <w:rFonts w:ascii="Times New Roman" w:hAnsi="Times New Roman" w:cs="Times New Roman" w:eastAsia="Times New Roman"/>
                <w:sz w:val="22"/>
              </w:rPr>
              <w:t xml:space="preserve">viii–ix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Figures</w:t>
            </w:r>
          </w:p>
        </w:tc>
        <w:tc>
          <w:tcPr/>
          <w:p>
            <w:pPr>
              <w:pStyle w:val="Compact"/>
              <w:spacing w:line="276" w:lineRule="auto"/>
              <w:jc w:val="right"/>
            </w:pPr>
            <w:r>
              <w:rPr>
                <w:rFonts w:ascii="Times New Roman" w:hAnsi="Times New Roman" w:cs="Times New Roman" w:eastAsia="Times New Roman"/>
                <w:sz w:val="22"/>
              </w:rPr>
              <w:t xml:space="preserve">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Abstract</w:t>
            </w:r>
          </w:p>
        </w:tc>
        <w:tc>
          <w:tcPr/>
          <w:p>
            <w:pPr>
              <w:pStyle w:val="Compact"/>
              <w:spacing w:line="276" w:lineRule="auto"/>
              <w:jc w:val="right"/>
            </w:pPr>
            <w:r>
              <w:rPr>
                <w:rFonts w:ascii="Times New Roman" w:hAnsi="Times New Roman" w:cs="Times New Roman" w:eastAsia="Times New Roman"/>
                <w:sz w:val="22"/>
              </w:rPr>
              <w:t xml:space="preserve">xi–xii</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w:t>
            </w:r>
          </w:p>
        </w:tc>
        <w:tc>
          <w:tcPr/>
          <w:p>
            <w:pPr>
              <w:pStyle w:val="Compact"/>
              <w:spacing w:line="276" w:lineRule="auto"/>
              <w:jc w:val="left"/>
            </w:pPr>
            <w:r>
              <w:rPr>
                <w:rFonts w:ascii="Times New Roman" w:hAnsi="Times New Roman" w:cs="Times New Roman" w:eastAsia="Times New Roman"/>
                <w:b/>
                <w:bCs/>
                <w:sz w:val="22"/>
              </w:rPr>
              <w:t xml:space="preserve">INTRODUCTION</w:t>
            </w:r>
          </w:p>
        </w:tc>
        <w:tc>
          <w:tcPr/>
          <w:p>
            <w:pPr>
              <w:pStyle w:val="Compact"/>
              <w:spacing w:line="276" w:lineRule="auto"/>
              <w:jc w:val="right"/>
            </w:pPr>
            <w:r>
              <w:rPr>
                <w:rFonts w:ascii="Times New Roman" w:hAnsi="Times New Roman" w:cs="Times New Roman" w:eastAsia="Times New Roman"/>
                <w:b/>
                <w:bCs/>
                <w:sz w:val="22"/>
              </w:rPr>
              <w:t xml:space="preserve">1–17</w:t>
            </w:r>
          </w:p>
        </w:tc>
      </w:tr>
      <w:tr>
        <w:tc>
          <w:tcPr/>
          <w:p>
            <w:pPr>
              <w:pStyle w:val="Compact"/>
              <w:spacing w:line="276" w:lineRule="auto"/>
              <w:jc w:val="left"/>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w:t>
            </w:r>
          </w:p>
        </w:tc>
      </w:tr>
      <w:tr>
        <w:tc>
          <w:tcPr/>
          <w:p>
            <w:pPr>
              <w:pStyle w:val="Compact"/>
              <w:spacing w:line="276" w:lineRule="auto"/>
              <w:jc w:val="left"/>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Meaning and Concept of Interest</w:t>
            </w:r>
          </w:p>
        </w:tc>
        <w:tc>
          <w:tcPr/>
          <w:p>
            <w:pPr>
              <w:pStyle w:val="Compact"/>
              <w:spacing w:line="276" w:lineRule="auto"/>
              <w:jc w:val="right"/>
            </w:pPr>
            <w:r>
              <w:rPr>
                <w:rFonts w:ascii="Times New Roman" w:hAnsi="Times New Roman" w:cs="Times New Roman" w:eastAsia="Times New Roman"/>
                <w:sz w:val="22"/>
              </w:rPr>
              <w:t xml:space="preserve">2</w:t>
            </w:r>
          </w:p>
        </w:tc>
      </w:tr>
      <w:tr>
        <w:tc>
          <w:tcPr/>
          <w:p>
            <w:pPr>
              <w:pStyle w:val="Compact"/>
              <w:spacing w:line="276" w:lineRule="auto"/>
              <w:jc w:val="left"/>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Meaning of Vocational Interest</w:t>
            </w:r>
          </w:p>
        </w:tc>
        <w:tc>
          <w:tcPr/>
          <w:p>
            <w:pPr>
              <w:pStyle w:val="Compact"/>
              <w:spacing w:line="276" w:lineRule="auto"/>
              <w:jc w:val="right"/>
            </w:pPr>
            <w:r>
              <w:rPr>
                <w:rFonts w:ascii="Times New Roman" w:hAnsi="Times New Roman" w:cs="Times New Roman" w:eastAsia="Times New Roman"/>
                <w:sz w:val="22"/>
              </w:rPr>
              <w:t xml:space="preserve">3</w:t>
            </w:r>
          </w:p>
        </w:tc>
      </w:tr>
      <w:tr>
        <w:tc>
          <w:tcPr/>
          <w:p>
            <w:pPr>
              <w:pStyle w:val="Compact"/>
              <w:spacing w:line="276" w:lineRule="auto"/>
              <w:jc w:val="left"/>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Concept of Vocational Guidance</w:t>
            </w:r>
          </w:p>
        </w:tc>
        <w:tc>
          <w:tcPr/>
          <w:p>
            <w:pPr>
              <w:pStyle w:val="Compact"/>
              <w:spacing w:line="276" w:lineRule="auto"/>
              <w:jc w:val="right"/>
            </w:pPr>
            <w:r>
              <w:rPr>
                <w:rFonts w:ascii="Times New Roman" w:hAnsi="Times New Roman" w:cs="Times New Roman" w:eastAsia="Times New Roman"/>
                <w:sz w:val="22"/>
              </w:rPr>
              <w:t xml:space="preserve">5</w:t>
            </w:r>
          </w:p>
        </w:tc>
      </w:tr>
      <w:tr>
        <w:tc>
          <w:tcPr/>
          <w:p>
            <w:pPr>
              <w:pStyle w:val="Compact"/>
              <w:spacing w:line="276" w:lineRule="auto"/>
              <w:jc w:val="left"/>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Secondary Education in India</w:t>
            </w:r>
          </w:p>
        </w:tc>
        <w:tc>
          <w:tcPr/>
          <w:p>
            <w:pPr>
              <w:pStyle w:val="Compact"/>
              <w:spacing w:line="276" w:lineRule="auto"/>
              <w:jc w:val="right"/>
            </w:pPr>
            <w:r>
              <w:rPr>
                <w:rFonts w:ascii="Times New Roman" w:hAnsi="Times New Roman" w:cs="Times New Roman" w:eastAsia="Times New Roman"/>
                <w:sz w:val="22"/>
              </w:rPr>
              <w:t xml:space="preserve">7</w:t>
            </w:r>
          </w:p>
        </w:tc>
      </w:tr>
      <w:tr>
        <w:tc>
          <w:tcPr/>
          <w:p>
            <w:pPr>
              <w:pStyle w:val="Compact"/>
              <w:spacing w:line="276" w:lineRule="auto"/>
              <w:jc w:val="left"/>
            </w:pPr>
            <w:r>
              <w:rPr>
                <w:rFonts w:ascii="Times New Roman" w:hAnsi="Times New Roman" w:cs="Times New Roman" w:eastAsia="Times New Roman"/>
                <w:sz w:val="22"/>
              </w:rPr>
              <w:t xml:space="preserve">1.6</w:t>
            </w:r>
          </w:p>
        </w:tc>
        <w:tc>
          <w:tcPr/>
          <w:p>
            <w:pPr>
              <w:pStyle w:val="Compact"/>
              <w:spacing w:line="276" w:lineRule="auto"/>
              <w:jc w:val="left"/>
            </w:pPr>
            <w:r>
              <w:rPr>
                <w:rFonts w:ascii="Times New Roman" w:hAnsi="Times New Roman" w:cs="Times New Roman" w:eastAsia="Times New Roman"/>
                <w:sz w:val="22"/>
              </w:rPr>
              <w:t xml:space="preserve">Adolescent Career Development</w:t>
            </w:r>
          </w:p>
        </w:tc>
        <w:tc>
          <w:tcPr/>
          <w:p>
            <w:pPr>
              <w:pStyle w:val="Compact"/>
              <w:spacing w:line="276" w:lineRule="auto"/>
              <w:jc w:val="right"/>
            </w:pPr>
            <w:r>
              <w:rPr>
                <w:rFonts w:ascii="Times New Roman" w:hAnsi="Times New Roman" w:cs="Times New Roman" w:eastAsia="Times New Roman"/>
                <w:sz w:val="22"/>
              </w:rPr>
              <w:t xml:space="preserve">8</w:t>
            </w:r>
          </w:p>
        </w:tc>
      </w:tr>
      <w:tr>
        <w:tc>
          <w:tcPr/>
          <w:p>
            <w:pPr>
              <w:pStyle w:val="Compact"/>
              <w:spacing w:line="276" w:lineRule="auto"/>
              <w:jc w:val="left"/>
            </w:pPr>
            <w:r>
              <w:rPr>
                <w:rFonts w:ascii="Times New Roman" w:hAnsi="Times New Roman" w:cs="Times New Roman" w:eastAsia="Times New Roman"/>
                <w:sz w:val="22"/>
              </w:rPr>
              <w:t xml:space="preserve">1.7</w:t>
            </w:r>
          </w:p>
        </w:tc>
        <w:tc>
          <w:tcPr/>
          <w:p>
            <w:pPr>
              <w:pStyle w:val="Compact"/>
              <w:spacing w:line="276" w:lineRule="auto"/>
              <w:jc w:val="left"/>
            </w:pPr>
            <w:r>
              <w:rPr>
                <w:rFonts w:ascii="Times New Roman" w:hAnsi="Times New Roman" w:cs="Times New Roman" w:eastAsia="Times New Roman"/>
                <w:sz w:val="22"/>
              </w:rPr>
              <w:t xml:space="preserve">Importance of Vocational Interests</w:t>
            </w:r>
          </w:p>
        </w:tc>
        <w:tc>
          <w:tcPr/>
          <w:p>
            <w:pPr>
              <w:pStyle w:val="Compact"/>
              <w:spacing w:line="276" w:lineRule="auto"/>
              <w:jc w:val="right"/>
            </w:pPr>
            <w:r>
              <w:rPr>
                <w:rFonts w:ascii="Times New Roman" w:hAnsi="Times New Roman" w:cs="Times New Roman" w:eastAsia="Times New Roman"/>
                <w:sz w:val="22"/>
              </w:rPr>
              <w:t xml:space="preserve">10</w:t>
            </w:r>
          </w:p>
        </w:tc>
      </w:tr>
      <w:tr>
        <w:tc>
          <w:tcPr/>
          <w:p>
            <w:pPr>
              <w:pStyle w:val="Compact"/>
              <w:spacing w:line="276" w:lineRule="auto"/>
              <w:jc w:val="left"/>
            </w:pPr>
            <w:r>
              <w:rPr>
                <w:rFonts w:ascii="Times New Roman" w:hAnsi="Times New Roman" w:cs="Times New Roman" w:eastAsia="Times New Roman"/>
                <w:sz w:val="22"/>
              </w:rPr>
              <w:t xml:space="preserve">1.8</w:t>
            </w:r>
          </w:p>
        </w:tc>
        <w:tc>
          <w:tcPr/>
          <w:p>
            <w:pPr>
              <w:pStyle w:val="Compact"/>
              <w:spacing w:line="276" w:lineRule="auto"/>
              <w:jc w:val="left"/>
            </w:pPr>
            <w:r>
              <w:rPr>
                <w:rFonts w:ascii="Times New Roman" w:hAnsi="Times New Roman" w:cs="Times New Roman" w:eastAsia="Times New Roman"/>
                <w:sz w:val="22"/>
              </w:rPr>
              <w:t xml:space="preserve">Areas of Vocational Interest</w:t>
            </w:r>
          </w:p>
        </w:tc>
        <w:tc>
          <w:tcPr/>
          <w:p>
            <w:pPr>
              <w:pStyle w:val="Compact"/>
              <w:spacing w:line="276" w:lineRule="auto"/>
              <w:jc w:val="right"/>
            </w:pPr>
            <w:r>
              <w:rPr>
                <w:rFonts w:ascii="Times New Roman" w:hAnsi="Times New Roman" w:cs="Times New Roman" w:eastAsia="Times New Roman"/>
                <w:sz w:val="22"/>
              </w:rPr>
              <w:t xml:space="preserve">11</w:t>
            </w:r>
          </w:p>
        </w:tc>
      </w:tr>
      <w:tr>
        <w:tc>
          <w:tcPr/>
          <w:p>
            <w:pPr>
              <w:pStyle w:val="Compact"/>
              <w:spacing w:line="276" w:lineRule="auto"/>
              <w:jc w:val="left"/>
            </w:pPr>
            <w:r>
              <w:rPr>
                <w:rFonts w:ascii="Times New Roman" w:hAnsi="Times New Roman" w:cs="Times New Roman" w:eastAsia="Times New Roman"/>
                <w:sz w:val="22"/>
              </w:rPr>
              <w:t xml:space="preserve">1.9</w:t>
            </w:r>
          </w:p>
        </w:tc>
        <w:tc>
          <w:tcPr/>
          <w:p>
            <w:pPr>
              <w:pStyle w:val="Compact"/>
              <w:spacing w:line="276" w:lineRule="auto"/>
              <w:jc w:val="left"/>
            </w:pPr>
            <w:r>
              <w:rPr>
                <w:rFonts w:ascii="Times New Roman" w:hAnsi="Times New Roman" w:cs="Times New Roman" w:eastAsia="Times New Roman"/>
                <w:sz w:val="22"/>
              </w:rPr>
              <w:t xml:space="preserve">Gender Differences in Career Choices</w:t>
            </w:r>
          </w:p>
        </w:tc>
        <w:tc>
          <w:tcPr/>
          <w:p>
            <w:pPr>
              <w:pStyle w:val="Compact"/>
              <w:spacing w:line="276" w:lineRule="auto"/>
              <w:jc w:val="right"/>
            </w:pPr>
            <w:r>
              <w:rPr>
                <w:rFonts w:ascii="Times New Roman" w:hAnsi="Times New Roman" w:cs="Times New Roman" w:eastAsia="Times New Roman"/>
                <w:sz w:val="22"/>
              </w:rPr>
              <w:t xml:space="preserve">12</w:t>
            </w:r>
          </w:p>
        </w:tc>
      </w:tr>
      <w:tr>
        <w:tc>
          <w:tcPr/>
          <w:p>
            <w:pPr>
              <w:pStyle w:val="Compact"/>
              <w:spacing w:line="276" w:lineRule="auto"/>
              <w:jc w:val="left"/>
            </w:pPr>
            <w:r>
              <w:rPr>
                <w:rFonts w:ascii="Times New Roman" w:hAnsi="Times New Roman" w:cs="Times New Roman" w:eastAsia="Times New Roman"/>
                <w:sz w:val="22"/>
              </w:rPr>
              <w:t xml:space="preserve">1.10</w:t>
            </w:r>
          </w:p>
        </w:tc>
        <w:tc>
          <w:tcPr/>
          <w:p>
            <w:pPr>
              <w:pStyle w:val="Compact"/>
              <w:spacing w:line="276" w:lineRule="auto"/>
              <w:jc w:val="left"/>
            </w:pPr>
            <w:r>
              <w:rPr>
                <w:rFonts w:ascii="Times New Roman" w:hAnsi="Times New Roman" w:cs="Times New Roman" w:eastAsia="Times New Roman"/>
                <w:sz w:val="22"/>
              </w:rPr>
              <w:t xml:space="preserve">Need and Significance of the Study</w:t>
            </w:r>
          </w:p>
        </w:tc>
        <w:tc>
          <w:tcPr/>
          <w:p>
            <w:pPr>
              <w:pStyle w:val="Compact"/>
              <w:spacing w:line="276" w:lineRule="auto"/>
              <w:jc w:val="right"/>
            </w:pPr>
            <w:r>
              <w:rPr>
                <w:rFonts w:ascii="Times New Roman" w:hAnsi="Times New Roman" w:cs="Times New Roman" w:eastAsia="Times New Roman"/>
                <w:sz w:val="22"/>
              </w:rPr>
              <w:t xml:space="preserve">13</w:t>
            </w:r>
          </w:p>
        </w:tc>
      </w:tr>
      <w:tr>
        <w:tc>
          <w:tcPr/>
          <w:p>
            <w:pPr>
              <w:pStyle w:val="Compact"/>
              <w:spacing w:line="276" w:lineRule="auto"/>
              <w:jc w:val="left"/>
            </w:pPr>
            <w:r>
              <w:rPr>
                <w:rFonts w:ascii="Times New Roman" w:hAnsi="Times New Roman" w:cs="Times New Roman" w:eastAsia="Times New Roman"/>
                <w:sz w:val="22"/>
              </w:rPr>
              <w:t xml:space="preserve">1.11</w:t>
            </w:r>
          </w:p>
        </w:tc>
        <w:tc>
          <w:tcPr/>
          <w:p>
            <w:pPr>
              <w:pStyle w:val="Compact"/>
              <w:spacing w:line="276" w:lineRule="auto"/>
              <w:jc w:val="left"/>
            </w:pPr>
            <w:r>
              <w:rPr>
                <w:rFonts w:ascii="Times New Roman" w:hAnsi="Times New Roman" w:cs="Times New Roman" w:eastAsia="Times New Roman"/>
                <w:sz w:val="22"/>
              </w:rPr>
              <w:t xml:space="preserve">Statement of the Problem</w:t>
            </w:r>
          </w:p>
        </w:tc>
        <w:tc>
          <w:tcPr/>
          <w:p>
            <w:pPr>
              <w:pStyle w:val="Compact"/>
              <w:spacing w:line="276" w:lineRule="auto"/>
              <w:jc w:val="right"/>
            </w:pPr>
            <w:r>
              <w:rPr>
                <w:rFonts w:ascii="Times New Roman" w:hAnsi="Times New Roman" w:cs="Times New Roman" w:eastAsia="Times New Roman"/>
                <w:sz w:val="22"/>
              </w:rPr>
              <w:t xml:space="preserve">14</w:t>
            </w:r>
          </w:p>
        </w:tc>
      </w:tr>
      <w:tr>
        <w:tc>
          <w:tcPr/>
          <w:p>
            <w:pPr>
              <w:pStyle w:val="Compact"/>
              <w:spacing w:line="276" w:lineRule="auto"/>
              <w:jc w:val="left"/>
            </w:pPr>
            <w:r>
              <w:rPr>
                <w:rFonts w:ascii="Times New Roman" w:hAnsi="Times New Roman" w:cs="Times New Roman" w:eastAsia="Times New Roman"/>
                <w:sz w:val="22"/>
              </w:rPr>
              <w:t xml:space="preserve">1.12</w:t>
            </w:r>
          </w:p>
        </w:tc>
        <w:tc>
          <w:tcPr/>
          <w:p>
            <w:pPr>
              <w:pStyle w:val="Compact"/>
              <w:spacing w:line="276" w:lineRule="auto"/>
              <w:jc w:val="left"/>
            </w:pPr>
            <w:r>
              <w:rPr>
                <w:rFonts w:ascii="Times New Roman" w:hAnsi="Times New Roman" w:cs="Times New Roman" w:eastAsia="Times New Roman"/>
                <w:sz w:val="22"/>
              </w:rPr>
              <w:t xml:space="preserve">Operational Definitions of the Terms Used</w:t>
            </w:r>
          </w:p>
        </w:tc>
        <w:tc>
          <w:tcPr/>
          <w:p>
            <w:pPr>
              <w:pStyle w:val="Compact"/>
              <w:spacing w:line="276" w:lineRule="auto"/>
              <w:jc w:val="right"/>
            </w:pPr>
            <w:r>
              <w:rPr>
                <w:rFonts w:ascii="Times New Roman" w:hAnsi="Times New Roman" w:cs="Times New Roman" w:eastAsia="Times New Roman"/>
                <w:sz w:val="22"/>
              </w:rPr>
              <w:t xml:space="preserve">14</w:t>
            </w:r>
          </w:p>
        </w:tc>
      </w:tr>
      <w:tr>
        <w:tc>
          <w:tcPr/>
          <w:p>
            <w:pPr>
              <w:pStyle w:val="Compact"/>
              <w:spacing w:line="276" w:lineRule="auto"/>
              <w:jc w:val="left"/>
            </w:pPr>
            <w:r>
              <w:rPr>
                <w:rFonts w:ascii="Times New Roman" w:hAnsi="Times New Roman" w:cs="Times New Roman" w:eastAsia="Times New Roman"/>
                <w:sz w:val="22"/>
              </w:rPr>
              <w:t xml:space="preserve">1.13</w:t>
            </w:r>
          </w:p>
        </w:tc>
        <w:tc>
          <w:tcPr/>
          <w:p>
            <w:pPr>
              <w:pStyle w:val="Compact"/>
              <w:spacing w:line="276" w:lineRule="auto"/>
              <w:jc w:val="left"/>
            </w:pPr>
            <w:r>
              <w:rPr>
                <w:rFonts w:ascii="Times New Roman" w:hAnsi="Times New Roman" w:cs="Times New Roman" w:eastAsia="Times New Roman"/>
                <w:sz w:val="22"/>
              </w:rPr>
              <w:t xml:space="preserve">Objectives of the Study</w:t>
            </w:r>
          </w:p>
        </w:tc>
        <w:tc>
          <w:tcPr/>
          <w:p>
            <w:pPr>
              <w:pStyle w:val="Compact"/>
              <w:spacing w:line="276" w:lineRule="auto"/>
              <w:jc w:val="right"/>
            </w:pPr>
            <w:r>
              <w:rPr>
                <w:rFonts w:ascii="Times New Roman" w:hAnsi="Times New Roman" w:cs="Times New Roman" w:eastAsia="Times New Roman"/>
                <w:sz w:val="22"/>
              </w:rPr>
              <w:t xml:space="preserve">15</w:t>
            </w:r>
          </w:p>
        </w:tc>
      </w:tr>
      <w:tr>
        <w:tc>
          <w:tcPr/>
          <w:p>
            <w:pPr>
              <w:pStyle w:val="Compact"/>
              <w:spacing w:line="276" w:lineRule="auto"/>
              <w:jc w:val="left"/>
            </w:pPr>
            <w:r>
              <w:rPr>
                <w:rFonts w:ascii="Times New Roman" w:hAnsi="Times New Roman" w:cs="Times New Roman" w:eastAsia="Times New Roman"/>
                <w:sz w:val="22"/>
              </w:rPr>
              <w:t xml:space="preserve">1.14</w:t>
            </w:r>
          </w:p>
        </w:tc>
        <w:tc>
          <w:tcPr/>
          <w:p>
            <w:pPr>
              <w:pStyle w:val="Compact"/>
              <w:spacing w:line="276" w:lineRule="auto"/>
              <w:jc w:val="left"/>
            </w:pPr>
            <w:r>
              <w:rPr>
                <w:rFonts w:ascii="Times New Roman" w:hAnsi="Times New Roman" w:cs="Times New Roman" w:eastAsia="Times New Roman"/>
                <w:sz w:val="22"/>
              </w:rPr>
              <w:t xml:space="preserve">Hypotheses of the Study</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1.15</w:t>
            </w:r>
          </w:p>
        </w:tc>
        <w:tc>
          <w:tcPr/>
          <w:p>
            <w:pPr>
              <w:pStyle w:val="Compact"/>
              <w:spacing w:line="276" w:lineRule="auto"/>
              <w:jc w:val="left"/>
            </w:pPr>
            <w:r>
              <w:rPr>
                <w:rFonts w:ascii="Times New Roman" w:hAnsi="Times New Roman" w:cs="Times New Roman" w:eastAsia="Times New Roman"/>
                <w:sz w:val="22"/>
              </w:rPr>
              <w:t xml:space="preserve">Delimitations of the Study</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1.16</w:t>
            </w:r>
          </w:p>
        </w:tc>
        <w:tc>
          <w:tcPr/>
          <w:p>
            <w:pPr>
              <w:pStyle w:val="Compact"/>
              <w:spacing w:line="276" w:lineRule="auto"/>
              <w:jc w:val="left"/>
            </w:pPr>
            <w:r>
              <w:rPr>
                <w:rFonts w:ascii="Times New Roman" w:hAnsi="Times New Roman" w:cs="Times New Roman" w:eastAsia="Times New Roman"/>
                <w:sz w:val="22"/>
              </w:rPr>
              <w:t xml:space="preserve">Assumptions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1.17</w:t>
            </w:r>
          </w:p>
        </w:tc>
        <w:tc>
          <w:tcPr/>
          <w:p>
            <w:pPr>
              <w:pStyle w:val="Compact"/>
              <w:spacing w:line="276" w:lineRule="auto"/>
              <w:jc w:val="left"/>
            </w:pPr>
            <w:r>
              <w:rPr>
                <w:rFonts w:ascii="Times New Roman" w:hAnsi="Times New Roman" w:cs="Times New Roman" w:eastAsia="Times New Roman"/>
                <w:sz w:val="22"/>
              </w:rPr>
              <w:t xml:space="preserve">Organization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w:t>
            </w:r>
          </w:p>
        </w:tc>
        <w:tc>
          <w:tcPr/>
          <w:p>
            <w:pPr>
              <w:pStyle w:val="Compact"/>
              <w:spacing w:line="276" w:lineRule="auto"/>
              <w:jc w:val="left"/>
            </w:pPr>
            <w:r>
              <w:rPr>
                <w:rFonts w:ascii="Times New Roman" w:hAnsi="Times New Roman" w:cs="Times New Roman" w:eastAsia="Times New Roman"/>
                <w:b/>
                <w:bCs/>
                <w:sz w:val="22"/>
              </w:rPr>
              <w:t xml:space="preserve">REVIEW OF RELATED LITERATURE</w:t>
            </w:r>
          </w:p>
        </w:tc>
        <w:tc>
          <w:tcPr/>
          <w:p>
            <w:pPr>
              <w:pStyle w:val="Compact"/>
              <w:spacing w:line="276" w:lineRule="auto"/>
              <w:jc w:val="right"/>
            </w:pPr>
            <w:r>
              <w:rPr>
                <w:rFonts w:ascii="Times New Roman" w:hAnsi="Times New Roman" w:cs="Times New Roman" w:eastAsia="Times New Roman"/>
                <w:b/>
                <w:bCs/>
                <w:sz w:val="22"/>
              </w:rPr>
              <w:t xml:space="preserve">18–35</w:t>
            </w:r>
          </w:p>
        </w:tc>
      </w:tr>
      <w:tr>
        <w:tc>
          <w:tcPr/>
          <w:p>
            <w:pPr>
              <w:pStyle w:val="Compact"/>
              <w:spacing w:line="276" w:lineRule="auto"/>
              <w:jc w:val="left"/>
            </w:pPr>
            <w:r>
              <w:rPr>
                <w:rFonts w:ascii="Times New Roman" w:hAnsi="Times New Roman" w:cs="Times New Roman" w:eastAsia="Times New Roman"/>
                <w:sz w:val="22"/>
              </w:rPr>
              <w:t xml:space="preserve">2.1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jc w:val="left"/>
            </w:pPr>
            <w:r>
              <w:rPr>
                <w:rFonts w:ascii="Times New Roman" w:hAnsi="Times New Roman" w:cs="Times New Roman" w:eastAsia="Times New Roman"/>
                <w:sz w:val="22"/>
              </w:rPr>
              <w:t xml:space="preserve">2.2</w:t>
            </w:r>
          </w:p>
        </w:tc>
        <w:tc>
          <w:tcPr/>
          <w:p>
            <w:pPr>
              <w:pStyle w:val="Compact"/>
              <w:spacing w:line="276" w:lineRule="auto"/>
              <w:jc w:val="left"/>
            </w:pPr>
            <w:r>
              <w:rPr>
                <w:rFonts w:ascii="Times New Roman" w:hAnsi="Times New Roman" w:cs="Times New Roman" w:eastAsia="Times New Roman"/>
                <w:sz w:val="22"/>
              </w:rPr>
              <w:t xml:space="preserve">Importance of Review of Related Literature</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jc w:val="left"/>
            </w:pPr>
            <w:r>
              <w:rPr>
                <w:rFonts w:ascii="Times New Roman" w:hAnsi="Times New Roman" w:cs="Times New Roman" w:eastAsia="Times New Roman"/>
                <w:sz w:val="22"/>
              </w:rPr>
              <w:t xml:space="preserve">2.3</w:t>
            </w:r>
          </w:p>
        </w:tc>
        <w:tc>
          <w:tcPr/>
          <w:p>
            <w:pPr>
              <w:pStyle w:val="Compact"/>
              <w:spacing w:line="276" w:lineRule="auto"/>
              <w:jc w:val="left"/>
            </w:pPr>
            <w:r>
              <w:rPr>
                <w:rFonts w:ascii="Times New Roman" w:hAnsi="Times New Roman" w:cs="Times New Roman" w:eastAsia="Times New Roman"/>
                <w:sz w:val="22"/>
              </w:rPr>
              <w:t xml:space="preserve">Studies Conducted in India</w:t>
            </w:r>
          </w:p>
        </w:tc>
        <w:tc>
          <w:tcPr/>
          <w:p>
            <w:pPr>
              <w:pStyle w:val="Compact"/>
              <w:spacing w:line="276" w:lineRule="auto"/>
              <w:jc w:val="right"/>
            </w:pPr>
            <w:r>
              <w:rPr>
                <w:rFonts w:ascii="Times New Roman" w:hAnsi="Times New Roman" w:cs="Times New Roman" w:eastAsia="Times New Roman"/>
                <w:sz w:val="22"/>
              </w:rPr>
              <w:t xml:space="preserve">19</w:t>
            </w:r>
          </w:p>
        </w:tc>
      </w:tr>
      <w:tr>
        <w:tc>
          <w:tcPr/>
          <w:p>
            <w:pPr>
              <w:pStyle w:val="Compact"/>
              <w:spacing w:line="276" w:lineRule="auto"/>
              <w:jc w:val="left"/>
            </w:pPr>
            <w:r>
              <w:rPr>
                <w:rFonts w:ascii="Times New Roman" w:hAnsi="Times New Roman" w:cs="Times New Roman" w:eastAsia="Times New Roman"/>
                <w:sz w:val="22"/>
              </w:rPr>
              <w:t xml:space="preserve">2.4</w:t>
            </w:r>
          </w:p>
        </w:tc>
        <w:tc>
          <w:tcPr/>
          <w:p>
            <w:pPr>
              <w:pStyle w:val="Compact"/>
              <w:spacing w:line="276" w:lineRule="auto"/>
              <w:jc w:val="left"/>
            </w:pPr>
            <w:r>
              <w:rPr>
                <w:rFonts w:ascii="Times New Roman" w:hAnsi="Times New Roman" w:cs="Times New Roman" w:eastAsia="Times New Roman"/>
                <w:sz w:val="22"/>
              </w:rPr>
              <w:t xml:space="preserve">Studies Conducted Abroad</w:t>
            </w:r>
          </w:p>
        </w:tc>
        <w:tc>
          <w:tcPr/>
          <w:p>
            <w:pPr>
              <w:pStyle w:val="Compact"/>
              <w:spacing w:line="276" w:lineRule="auto"/>
              <w:jc w:val="right"/>
            </w:pPr>
            <w:r>
              <w:rPr>
                <w:rFonts w:ascii="Times New Roman" w:hAnsi="Times New Roman" w:cs="Times New Roman" w:eastAsia="Times New Roman"/>
                <w:sz w:val="22"/>
              </w:rPr>
              <w:t xml:space="preserve">28</w:t>
            </w:r>
          </w:p>
        </w:tc>
      </w:tr>
      <w:tr>
        <w:tc>
          <w:tcPr/>
          <w:p>
            <w:pPr>
              <w:pStyle w:val="Compact"/>
              <w:spacing w:line="276" w:lineRule="auto"/>
              <w:jc w:val="left"/>
            </w:pPr>
            <w:r>
              <w:rPr>
                <w:rFonts w:ascii="Times New Roman" w:hAnsi="Times New Roman" w:cs="Times New Roman" w:eastAsia="Times New Roman"/>
                <w:sz w:val="22"/>
              </w:rPr>
              <w:t xml:space="preserve">2.5</w:t>
            </w:r>
          </w:p>
        </w:tc>
        <w:tc>
          <w:tcPr/>
          <w:p>
            <w:pPr>
              <w:pStyle w:val="Compact"/>
              <w:spacing w:line="276" w:lineRule="auto"/>
              <w:jc w:val="left"/>
            </w:pPr>
            <w:r>
              <w:rPr>
                <w:rFonts w:ascii="Times New Roman" w:hAnsi="Times New Roman" w:cs="Times New Roman" w:eastAsia="Times New Roman"/>
                <w:sz w:val="22"/>
              </w:rPr>
              <w:t xml:space="preserve">Critical Appraisal of the Reviewed Literature</w:t>
            </w:r>
          </w:p>
        </w:tc>
        <w:tc>
          <w:tcPr/>
          <w:p>
            <w:pPr>
              <w:pStyle w:val="Compact"/>
              <w:spacing w:line="276" w:lineRule="auto"/>
              <w:jc w:val="right"/>
            </w:pPr>
            <w:r>
              <w:rPr>
                <w:rFonts w:ascii="Times New Roman" w:hAnsi="Times New Roman" w:cs="Times New Roman" w:eastAsia="Times New Roman"/>
                <w:sz w:val="22"/>
              </w:rPr>
              <w:t xml:space="preserve">32</w:t>
            </w:r>
          </w:p>
        </w:tc>
      </w:tr>
      <w:tr>
        <w:tc>
          <w:tcPr/>
          <w:p>
            <w:pPr>
              <w:pStyle w:val="Compact"/>
              <w:spacing w:line="276" w:lineRule="auto"/>
              <w:jc w:val="left"/>
            </w:pPr>
            <w:r>
              <w:rPr>
                <w:rFonts w:ascii="Times New Roman" w:hAnsi="Times New Roman" w:cs="Times New Roman" w:eastAsia="Times New Roman"/>
                <w:sz w:val="22"/>
              </w:rPr>
              <w:t xml:space="preserve">2.6</w:t>
            </w:r>
          </w:p>
        </w:tc>
        <w:tc>
          <w:tcPr/>
          <w:p>
            <w:pPr>
              <w:pStyle w:val="Compact"/>
              <w:spacing w:line="276" w:lineRule="auto"/>
              <w:jc w:val="left"/>
            </w:pPr>
            <w:r>
              <w:rPr>
                <w:rFonts w:ascii="Times New Roman" w:hAnsi="Times New Roman" w:cs="Times New Roman" w:eastAsia="Times New Roman"/>
                <w:sz w:val="22"/>
              </w:rPr>
              <w:t xml:space="preserve">Research Gap Identified</w:t>
            </w:r>
          </w:p>
        </w:tc>
        <w:tc>
          <w:tcPr/>
          <w:p>
            <w:pPr>
              <w:pStyle w:val="Compact"/>
              <w:spacing w:line="276" w:lineRule="auto"/>
              <w:jc w:val="right"/>
            </w:pPr>
            <w:r>
              <w:rPr>
                <w:rFonts w:ascii="Times New Roman" w:hAnsi="Times New Roman" w:cs="Times New Roman" w:eastAsia="Times New Roman"/>
                <w:sz w:val="22"/>
              </w:rPr>
              <w:t xml:space="preserve">34</w:t>
            </w:r>
          </w:p>
        </w:tc>
      </w:tr>
      <w:tr>
        <w:tc>
          <w:tcPr/>
          <w:p>
            <w:pPr>
              <w:pStyle w:val="Compact"/>
              <w:spacing w:line="276" w:lineRule="auto"/>
              <w:jc w:val="left"/>
            </w:pPr>
            <w:r>
              <w:rPr>
                <w:rFonts w:ascii="Times New Roman" w:hAnsi="Times New Roman" w:cs="Times New Roman" w:eastAsia="Times New Roman"/>
                <w:sz w:val="22"/>
              </w:rPr>
              <w:t xml:space="preserve">2.7</w:t>
            </w:r>
          </w:p>
        </w:tc>
        <w:tc>
          <w:tcPr/>
          <w:p>
            <w:pPr>
              <w:pStyle w:val="Compact"/>
              <w:spacing w:line="276" w:lineRule="auto"/>
              <w:jc w:val="left"/>
            </w:pPr>
            <w:r>
              <w:rPr>
                <w:rFonts w:ascii="Times New Roman" w:hAnsi="Times New Roman" w:cs="Times New Roman" w:eastAsia="Times New Roman"/>
                <w:sz w:val="22"/>
              </w:rPr>
              <w:t xml:space="preserve">Summary</w:t>
            </w:r>
          </w:p>
        </w:tc>
        <w:tc>
          <w:tcPr/>
          <w:p>
            <w:pPr>
              <w:pStyle w:val="Compact"/>
              <w:spacing w:line="276" w:lineRule="auto"/>
              <w:jc w:val="right"/>
            </w:pPr>
            <w:r>
              <w:rPr>
                <w:rFonts w:ascii="Times New Roman" w:hAnsi="Times New Roman" w:cs="Times New Roman" w:eastAsia="Times New Roman"/>
                <w:sz w:val="22"/>
              </w:rPr>
              <w:t xml:space="preserve">35</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III</w:t>
            </w:r>
          </w:p>
        </w:tc>
        <w:tc>
          <w:tcPr/>
          <w:p>
            <w:pPr>
              <w:pStyle w:val="Compact"/>
              <w:spacing w:line="276" w:lineRule="auto"/>
              <w:jc w:val="left"/>
            </w:pPr>
            <w:r>
              <w:rPr>
                <w:rFonts w:ascii="Times New Roman" w:hAnsi="Times New Roman" w:cs="Times New Roman" w:eastAsia="Times New Roman"/>
                <w:b/>
                <w:bCs/>
                <w:sz w:val="22"/>
              </w:rPr>
              <w:t xml:space="preserve">RESEARCH METHODOLOGY</w:t>
            </w:r>
          </w:p>
        </w:tc>
        <w:tc>
          <w:tcPr/>
          <w:p>
            <w:pPr>
              <w:pStyle w:val="Compact"/>
              <w:spacing w:line="276" w:lineRule="auto"/>
              <w:jc w:val="right"/>
            </w:pPr>
            <w:r>
              <w:rPr>
                <w:rFonts w:ascii="Times New Roman" w:hAnsi="Times New Roman" w:cs="Times New Roman" w:eastAsia="Times New Roman"/>
                <w:b/>
                <w:bCs/>
                <w:sz w:val="22"/>
              </w:rPr>
              <w:t xml:space="preserve">36–49</w:t>
            </w:r>
          </w:p>
        </w:tc>
      </w:tr>
      <w:tr>
        <w:tc>
          <w:tcPr/>
          <w:p>
            <w:pPr>
              <w:pStyle w:val="Compact"/>
              <w:spacing w:line="276" w:lineRule="auto"/>
              <w:jc w:val="left"/>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36</w:t>
            </w:r>
          </w:p>
        </w:tc>
      </w:tr>
      <w:tr>
        <w:tc>
          <w:tcPr/>
          <w:p>
            <w:pPr>
              <w:pStyle w:val="Compact"/>
              <w:spacing w:line="276" w:lineRule="auto"/>
              <w:jc w:val="left"/>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Method of the Study</w:t>
            </w:r>
          </w:p>
        </w:tc>
        <w:tc>
          <w:tcPr/>
          <w:p>
            <w:pPr>
              <w:pStyle w:val="Compact"/>
              <w:spacing w:line="276" w:lineRule="auto"/>
              <w:jc w:val="right"/>
            </w:pPr>
            <w:r>
              <w:rPr>
                <w:rFonts w:ascii="Times New Roman" w:hAnsi="Times New Roman" w:cs="Times New Roman" w:eastAsia="Times New Roman"/>
                <w:sz w:val="22"/>
              </w:rPr>
              <w:t xml:space="preserve">36</w:t>
            </w:r>
          </w:p>
        </w:tc>
      </w:tr>
      <w:tr>
        <w:tc>
          <w:tcPr/>
          <w:p>
            <w:pPr>
              <w:pStyle w:val="Compact"/>
              <w:spacing w:line="276" w:lineRule="auto"/>
              <w:jc w:val="left"/>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Variables of the Study</w:t>
            </w:r>
          </w:p>
        </w:tc>
        <w:tc>
          <w:tcPr/>
          <w:p>
            <w:pPr>
              <w:pStyle w:val="Compact"/>
              <w:spacing w:line="276" w:lineRule="auto"/>
              <w:jc w:val="right"/>
            </w:pPr>
            <w:r>
              <w:rPr>
                <w:rFonts w:ascii="Times New Roman" w:hAnsi="Times New Roman" w:cs="Times New Roman" w:eastAsia="Times New Roman"/>
                <w:sz w:val="22"/>
              </w:rPr>
              <w:t xml:space="preserve">37</w:t>
            </w:r>
          </w:p>
        </w:tc>
      </w:tr>
      <w:tr>
        <w:tc>
          <w:tcPr/>
          <w:p>
            <w:pPr>
              <w:pStyle w:val="Compact"/>
              <w:spacing w:line="276" w:lineRule="auto"/>
              <w:jc w:val="left"/>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Population of the Study</w:t>
            </w:r>
          </w:p>
        </w:tc>
        <w:tc>
          <w:tcPr/>
          <w:p>
            <w:pPr>
              <w:pStyle w:val="Compact"/>
              <w:spacing w:line="276" w:lineRule="auto"/>
              <w:jc w:val="right"/>
            </w:pPr>
            <w:r>
              <w:rPr>
                <w:rFonts w:ascii="Times New Roman" w:hAnsi="Times New Roman" w:cs="Times New Roman" w:eastAsia="Times New Roman"/>
                <w:sz w:val="22"/>
              </w:rPr>
              <w:t xml:space="preserve">38</w:t>
            </w:r>
          </w:p>
        </w:tc>
      </w:tr>
      <w:tr>
        <w:tc>
          <w:tcPr/>
          <w:p>
            <w:pPr>
              <w:pStyle w:val="Compact"/>
              <w:spacing w:line="276" w:lineRule="auto"/>
              <w:jc w:val="left"/>
            </w:pPr>
            <w:r>
              <w:rPr>
                <w:rFonts w:ascii="Times New Roman" w:hAnsi="Times New Roman" w:cs="Times New Roman" w:eastAsia="Times New Roman"/>
                <w:sz w:val="22"/>
              </w:rPr>
              <w:t xml:space="preserve">3.5</w:t>
            </w:r>
          </w:p>
        </w:tc>
        <w:tc>
          <w:tcPr/>
          <w:p>
            <w:pPr>
              <w:pStyle w:val="Compact"/>
              <w:spacing w:line="276" w:lineRule="auto"/>
              <w:jc w:val="left"/>
            </w:pPr>
            <w:r>
              <w:rPr>
                <w:rFonts w:ascii="Times New Roman" w:hAnsi="Times New Roman" w:cs="Times New Roman" w:eastAsia="Times New Roman"/>
                <w:sz w:val="22"/>
              </w:rPr>
              <w:t xml:space="preserve">Sample and Sampling Technique</w:t>
            </w:r>
          </w:p>
        </w:tc>
        <w:tc>
          <w:tcPr/>
          <w:p>
            <w:pPr>
              <w:pStyle w:val="Compact"/>
              <w:spacing w:line="276" w:lineRule="auto"/>
              <w:jc w:val="right"/>
            </w:pPr>
            <w:r>
              <w:rPr>
                <w:rFonts w:ascii="Times New Roman" w:hAnsi="Times New Roman" w:cs="Times New Roman" w:eastAsia="Times New Roman"/>
                <w:sz w:val="22"/>
              </w:rPr>
              <w:t xml:space="preserve">38</w:t>
            </w:r>
          </w:p>
        </w:tc>
      </w:tr>
      <w:tr>
        <w:tc>
          <w:tcPr/>
          <w:p>
            <w:pPr>
              <w:pStyle w:val="Compact"/>
              <w:spacing w:line="276" w:lineRule="auto"/>
              <w:jc w:val="left"/>
            </w:pPr>
            <w:r>
              <w:rPr>
                <w:rFonts w:ascii="Times New Roman" w:hAnsi="Times New Roman" w:cs="Times New Roman" w:eastAsia="Times New Roman"/>
                <w:sz w:val="22"/>
              </w:rPr>
              <w:t xml:space="preserve">3.6</w:t>
            </w:r>
          </w:p>
        </w:tc>
        <w:tc>
          <w:tcPr/>
          <w:p>
            <w:pPr>
              <w:pStyle w:val="Compact"/>
              <w:spacing w:line="276" w:lineRule="auto"/>
              <w:jc w:val="left"/>
            </w:pPr>
            <w:r>
              <w:rPr>
                <w:rFonts w:ascii="Times New Roman" w:hAnsi="Times New Roman" w:cs="Times New Roman" w:eastAsia="Times New Roman"/>
                <w:sz w:val="22"/>
              </w:rPr>
              <w:t xml:space="preserve">Description of the Sample Schools</w:t>
            </w:r>
          </w:p>
        </w:tc>
        <w:tc>
          <w:tcPr/>
          <w:p>
            <w:pPr>
              <w:pStyle w:val="Compact"/>
              <w:spacing w:line="276" w:lineRule="auto"/>
              <w:jc w:val="right"/>
            </w:pPr>
            <w:r>
              <w:rPr>
                <w:rFonts w:ascii="Times New Roman" w:hAnsi="Times New Roman" w:cs="Times New Roman" w:eastAsia="Times New Roman"/>
                <w:sz w:val="22"/>
              </w:rPr>
              <w:t xml:space="preserve">40</w:t>
            </w:r>
          </w:p>
        </w:tc>
      </w:tr>
      <w:tr>
        <w:tc>
          <w:tcPr/>
          <w:p>
            <w:pPr>
              <w:pStyle w:val="Compact"/>
              <w:spacing w:line="276" w:lineRule="auto"/>
              <w:jc w:val="left"/>
            </w:pPr>
            <w:r>
              <w:rPr>
                <w:rFonts w:ascii="Times New Roman" w:hAnsi="Times New Roman" w:cs="Times New Roman" w:eastAsia="Times New Roman"/>
                <w:sz w:val="22"/>
              </w:rPr>
              <w:t xml:space="preserve">3.7</w:t>
            </w:r>
          </w:p>
        </w:tc>
        <w:tc>
          <w:tcPr/>
          <w:p>
            <w:pPr>
              <w:pStyle w:val="Compact"/>
              <w:spacing w:line="276" w:lineRule="auto"/>
              <w:jc w:val="left"/>
            </w:pPr>
            <w:r>
              <w:rPr>
                <w:rFonts w:ascii="Times New Roman" w:hAnsi="Times New Roman" w:cs="Times New Roman" w:eastAsia="Times New Roman"/>
                <w:sz w:val="22"/>
              </w:rPr>
              <w:t xml:space="preserve">Tool Used for Data Collection</w:t>
            </w:r>
          </w:p>
        </w:tc>
        <w:tc>
          <w:tcPr/>
          <w:p>
            <w:pPr>
              <w:pStyle w:val="Compact"/>
              <w:spacing w:line="276" w:lineRule="auto"/>
              <w:jc w:val="right"/>
            </w:pPr>
            <w:r>
              <w:rPr>
                <w:rFonts w:ascii="Times New Roman" w:hAnsi="Times New Roman" w:cs="Times New Roman" w:eastAsia="Times New Roman"/>
                <w:sz w:val="22"/>
              </w:rPr>
              <w:t xml:space="preserve">42</w:t>
            </w:r>
          </w:p>
        </w:tc>
      </w:tr>
      <w:tr>
        <w:tc>
          <w:tcPr/>
          <w:p>
            <w:pPr>
              <w:pStyle w:val="Compact"/>
              <w:spacing w:line="276" w:lineRule="auto"/>
              <w:jc w:val="left"/>
            </w:pPr>
            <w:r>
              <w:rPr>
                <w:rFonts w:ascii="Times New Roman" w:hAnsi="Times New Roman" w:cs="Times New Roman" w:eastAsia="Times New Roman"/>
                <w:sz w:val="22"/>
              </w:rPr>
              <w:t xml:space="preserve">3.8</w:t>
            </w:r>
          </w:p>
        </w:tc>
        <w:tc>
          <w:tcPr/>
          <w:p>
            <w:pPr>
              <w:pStyle w:val="Compact"/>
              <w:spacing w:line="276" w:lineRule="auto"/>
              <w:jc w:val="left"/>
            </w:pPr>
            <w:r>
              <w:rPr>
                <w:rFonts w:ascii="Times New Roman" w:hAnsi="Times New Roman" w:cs="Times New Roman" w:eastAsia="Times New Roman"/>
                <w:sz w:val="22"/>
              </w:rPr>
              <w:t xml:space="preserve">Description of the Vocational Interest Record by Dr. S.P. Kulshrestha</w:t>
            </w:r>
          </w:p>
        </w:tc>
        <w:tc>
          <w:tcPr/>
          <w:p>
            <w:pPr>
              <w:pStyle w:val="Compact"/>
              <w:spacing w:line="276" w:lineRule="auto"/>
              <w:jc w:val="right"/>
            </w:pPr>
            <w:r>
              <w:rPr>
                <w:rFonts w:ascii="Times New Roman" w:hAnsi="Times New Roman" w:cs="Times New Roman" w:eastAsia="Times New Roman"/>
                <w:sz w:val="22"/>
              </w:rPr>
              <w:t xml:space="preserve">42</w:t>
            </w:r>
          </w:p>
        </w:tc>
      </w:tr>
      <w:tr>
        <w:tc>
          <w:tcPr/>
          <w:p>
            <w:pPr>
              <w:pStyle w:val="Compact"/>
              <w:spacing w:line="276" w:lineRule="auto"/>
              <w:jc w:val="left"/>
            </w:pPr>
            <w:r>
              <w:rPr>
                <w:rFonts w:ascii="Times New Roman" w:hAnsi="Times New Roman" w:cs="Times New Roman" w:eastAsia="Times New Roman"/>
                <w:sz w:val="22"/>
              </w:rPr>
              <w:t xml:space="preserve">3.9</w:t>
            </w:r>
          </w:p>
        </w:tc>
        <w:tc>
          <w:tcPr/>
          <w:p>
            <w:pPr>
              <w:pStyle w:val="Compact"/>
              <w:spacing w:line="276" w:lineRule="auto"/>
              <w:jc w:val="left"/>
            </w:pPr>
            <w:r>
              <w:rPr>
                <w:rFonts w:ascii="Times New Roman" w:hAnsi="Times New Roman" w:cs="Times New Roman" w:eastAsia="Times New Roman"/>
                <w:sz w:val="22"/>
              </w:rPr>
              <w:t xml:space="preserve">Reliability and Validity of the Tool</w:t>
            </w:r>
          </w:p>
        </w:tc>
        <w:tc>
          <w:tcPr/>
          <w:p>
            <w:pPr>
              <w:pStyle w:val="Compact"/>
              <w:spacing w:line="276" w:lineRule="auto"/>
              <w:jc w:val="right"/>
            </w:pPr>
            <w:r>
              <w:rPr>
                <w:rFonts w:ascii="Times New Roman" w:hAnsi="Times New Roman" w:cs="Times New Roman" w:eastAsia="Times New Roman"/>
                <w:sz w:val="22"/>
              </w:rPr>
              <w:t xml:space="preserve">44</w:t>
            </w:r>
          </w:p>
        </w:tc>
      </w:tr>
      <w:tr>
        <w:tc>
          <w:tcPr/>
          <w:p>
            <w:pPr>
              <w:pStyle w:val="Compact"/>
              <w:spacing w:line="276" w:lineRule="auto"/>
              <w:jc w:val="left"/>
            </w:pPr>
            <w:r>
              <w:rPr>
                <w:rFonts w:ascii="Times New Roman" w:hAnsi="Times New Roman" w:cs="Times New Roman" w:eastAsia="Times New Roman"/>
                <w:sz w:val="22"/>
              </w:rPr>
              <w:t xml:space="preserve">3.10</w:t>
            </w:r>
          </w:p>
        </w:tc>
        <w:tc>
          <w:tcPr/>
          <w:p>
            <w:pPr>
              <w:pStyle w:val="Compact"/>
              <w:spacing w:line="276" w:lineRule="auto"/>
              <w:jc w:val="left"/>
            </w:pPr>
            <w:r>
              <w:rPr>
                <w:rFonts w:ascii="Times New Roman" w:hAnsi="Times New Roman" w:cs="Times New Roman" w:eastAsia="Times New Roman"/>
                <w:sz w:val="22"/>
              </w:rPr>
              <w:t xml:space="preserve">Procedure of Data Collection</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left"/>
            </w:pPr>
            <w:r>
              <w:rPr>
                <w:rFonts w:ascii="Times New Roman" w:hAnsi="Times New Roman" w:cs="Times New Roman" w:eastAsia="Times New Roman"/>
                <w:sz w:val="22"/>
              </w:rPr>
              <w:t xml:space="preserve">3.11</w:t>
            </w:r>
          </w:p>
        </w:tc>
        <w:tc>
          <w:tcPr/>
          <w:p>
            <w:pPr>
              <w:pStyle w:val="Compact"/>
              <w:spacing w:line="276" w:lineRule="auto"/>
              <w:jc w:val="left"/>
            </w:pPr>
            <w:r>
              <w:rPr>
                <w:rFonts w:ascii="Times New Roman" w:hAnsi="Times New Roman" w:cs="Times New Roman" w:eastAsia="Times New Roman"/>
                <w:sz w:val="22"/>
              </w:rPr>
              <w:t xml:space="preserve">Scoring Procedure</w:t>
            </w:r>
          </w:p>
        </w:tc>
        <w:tc>
          <w:tcPr/>
          <w:p>
            <w:pPr>
              <w:pStyle w:val="Compact"/>
              <w:spacing w:line="276" w:lineRule="auto"/>
              <w:jc w:val="right"/>
            </w:pPr>
            <w:r>
              <w:rPr>
                <w:rFonts w:ascii="Times New Roman" w:hAnsi="Times New Roman" w:cs="Times New Roman" w:eastAsia="Times New Roman"/>
                <w:sz w:val="22"/>
              </w:rPr>
              <w:t xml:space="preserve">46</w:t>
            </w:r>
          </w:p>
        </w:tc>
      </w:tr>
      <w:tr>
        <w:tc>
          <w:tcPr/>
          <w:p>
            <w:pPr>
              <w:pStyle w:val="Compact"/>
              <w:spacing w:line="276" w:lineRule="auto"/>
              <w:jc w:val="left"/>
            </w:pPr>
            <w:r>
              <w:rPr>
                <w:rFonts w:ascii="Times New Roman" w:hAnsi="Times New Roman" w:cs="Times New Roman" w:eastAsia="Times New Roman"/>
                <w:sz w:val="22"/>
              </w:rPr>
              <w:t xml:space="preserve">3.12</w:t>
            </w:r>
          </w:p>
        </w:tc>
        <w:tc>
          <w:tcPr/>
          <w:p>
            <w:pPr>
              <w:pStyle w:val="Compact"/>
              <w:spacing w:line="276" w:lineRule="auto"/>
              <w:jc w:val="left"/>
            </w:pPr>
            <w:r>
              <w:rPr>
                <w:rFonts w:ascii="Times New Roman" w:hAnsi="Times New Roman" w:cs="Times New Roman" w:eastAsia="Times New Roman"/>
                <w:sz w:val="22"/>
              </w:rPr>
              <w:t xml:space="preserve">Statistical Techniques Used</w:t>
            </w:r>
          </w:p>
        </w:tc>
        <w:tc>
          <w:tcPr/>
          <w:p>
            <w:pPr>
              <w:pStyle w:val="Compact"/>
              <w:spacing w:line="276" w:lineRule="auto"/>
              <w:jc w:val="right"/>
            </w:pPr>
            <w:r>
              <w:rPr>
                <w:rFonts w:ascii="Times New Roman" w:hAnsi="Times New Roman" w:cs="Times New Roman" w:eastAsia="Times New Roman"/>
                <w:sz w:val="22"/>
              </w:rPr>
              <w:t xml:space="preserve">46</w:t>
            </w:r>
          </w:p>
        </w:tc>
      </w:tr>
      <w:tr>
        <w:tc>
          <w:tcPr/>
          <w:p>
            <w:pPr>
              <w:pStyle w:val="Compact"/>
              <w:spacing w:line="276" w:lineRule="auto"/>
              <w:jc w:val="left"/>
            </w:pPr>
            <w:r>
              <w:rPr>
                <w:rFonts w:ascii="Times New Roman" w:hAnsi="Times New Roman" w:cs="Times New Roman" w:eastAsia="Times New Roman"/>
                <w:sz w:val="22"/>
              </w:rPr>
              <w:t xml:space="preserve">3.13</w:t>
            </w:r>
          </w:p>
        </w:tc>
        <w:tc>
          <w:tcPr/>
          <w:p>
            <w:pPr>
              <w:pStyle w:val="Compact"/>
              <w:spacing w:line="276" w:lineRule="auto"/>
              <w:jc w:val="left"/>
            </w:pPr>
            <w:r>
              <w:rPr>
                <w:rFonts w:ascii="Times New Roman" w:hAnsi="Times New Roman" w:cs="Times New Roman" w:eastAsia="Times New Roman"/>
                <w:sz w:val="22"/>
              </w:rPr>
              <w:t xml:space="preserve">Ethical Considerations</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jc w:val="left"/>
            </w:pPr>
            <w:r>
              <w:rPr>
                <w:rFonts w:ascii="Times New Roman" w:hAnsi="Times New Roman" w:cs="Times New Roman" w:eastAsia="Times New Roman"/>
                <w:sz w:val="22"/>
              </w:rPr>
              <w:t xml:space="preserve">3.14</w:t>
            </w:r>
          </w:p>
        </w:tc>
        <w:tc>
          <w:tcPr/>
          <w:p>
            <w:pPr>
              <w:pStyle w:val="Compact"/>
              <w:spacing w:line="276" w:lineRule="auto"/>
              <w:jc w:val="left"/>
            </w:pPr>
            <w:r>
              <w:rPr>
                <w:rFonts w:ascii="Times New Roman" w:hAnsi="Times New Roman" w:cs="Times New Roman" w:eastAsia="Times New Roman"/>
                <w:sz w:val="22"/>
              </w:rPr>
              <w:t xml:space="preserve">Limitations of the Methodology</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IV</w:t>
            </w:r>
          </w:p>
        </w:tc>
        <w:tc>
          <w:tcPr/>
          <w:p>
            <w:pPr>
              <w:pStyle w:val="Compact"/>
              <w:spacing w:line="276" w:lineRule="auto"/>
              <w:jc w:val="left"/>
            </w:pPr>
            <w:r>
              <w:rPr>
                <w:rFonts w:ascii="Times New Roman" w:hAnsi="Times New Roman" w:cs="Times New Roman" w:eastAsia="Times New Roman"/>
                <w:b/>
                <w:bCs/>
                <w:sz w:val="22"/>
              </w:rPr>
              <w:t xml:space="preserve">DATA ANALYSIS AND INTERPRETATION</w:t>
            </w:r>
          </w:p>
        </w:tc>
        <w:tc>
          <w:tcPr/>
          <w:p>
            <w:pPr>
              <w:pStyle w:val="Compact"/>
              <w:spacing w:line="276" w:lineRule="auto"/>
              <w:jc w:val="right"/>
            </w:pPr>
            <w:r>
              <w:rPr>
                <w:rFonts w:ascii="Times New Roman" w:hAnsi="Times New Roman" w:cs="Times New Roman" w:eastAsia="Times New Roman"/>
                <w:b/>
                <w:bCs/>
                <w:sz w:val="22"/>
              </w:rPr>
              <w:t xml:space="preserve">50–73</w:t>
            </w:r>
          </w:p>
        </w:tc>
      </w:tr>
      <w:tr>
        <w:tc>
          <w:tcPr/>
          <w:p>
            <w:pPr>
              <w:pStyle w:val="Compact"/>
              <w:spacing w:line="276" w:lineRule="auto"/>
              <w:jc w:val="left"/>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50</w:t>
            </w:r>
          </w:p>
        </w:tc>
      </w:tr>
      <w:tr>
        <w:tc>
          <w:tcPr/>
          <w:p>
            <w:pPr>
              <w:pStyle w:val="Compact"/>
              <w:spacing w:line="276" w:lineRule="auto"/>
              <w:jc w:val="left"/>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Descriptive Analysis of the Total Sample</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left"/>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Area-wise Vocational Interest Scores of Boys</w:t>
            </w:r>
          </w:p>
        </w:tc>
        <w:tc>
          <w:tcPr/>
          <w:p>
            <w:pPr>
              <w:pStyle w:val="Compact"/>
              <w:spacing w:line="276" w:lineRule="auto"/>
              <w:jc w:val="right"/>
            </w:pPr>
            <w:r>
              <w:rPr>
                <w:rFonts w:ascii="Times New Roman" w:hAnsi="Times New Roman" w:cs="Times New Roman" w:eastAsia="Times New Roman"/>
                <w:sz w:val="22"/>
              </w:rPr>
              <w:t xml:space="preserve">52</w:t>
            </w:r>
          </w:p>
        </w:tc>
      </w:tr>
      <w:tr>
        <w:tc>
          <w:tcPr/>
          <w:p>
            <w:pPr>
              <w:pStyle w:val="Compact"/>
              <w:spacing w:line="276" w:lineRule="auto"/>
              <w:jc w:val="left"/>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Vocational Interest Scores of Girls</w:t>
            </w:r>
          </w:p>
        </w:tc>
        <w:tc>
          <w:tcPr/>
          <w:p>
            <w:pPr>
              <w:pStyle w:val="Compact"/>
              <w:spacing w:line="276" w:lineRule="auto"/>
              <w:jc w:val="right"/>
            </w:pPr>
            <w:r>
              <w:rPr>
                <w:rFonts w:ascii="Times New Roman" w:hAnsi="Times New Roman" w:cs="Times New Roman" w:eastAsia="Times New Roman"/>
                <w:sz w:val="22"/>
              </w:rPr>
              <w:t xml:space="preserve">55</w:t>
            </w:r>
          </w:p>
        </w:tc>
      </w:tr>
      <w:tr>
        <w:tc>
          <w:tcPr/>
          <w:p>
            <w:pPr>
              <w:pStyle w:val="Compact"/>
              <w:spacing w:line="276" w:lineRule="auto"/>
              <w:jc w:val="left"/>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Comparison of Boys and Girls — Area-wise t-test</w:t>
            </w:r>
          </w:p>
        </w:tc>
        <w:tc>
          <w:tcPr/>
          <w:p>
            <w:pPr>
              <w:pStyle w:val="Compact"/>
              <w:spacing w:line="276" w:lineRule="auto"/>
              <w:jc w:val="right"/>
            </w:pPr>
            <w:r>
              <w:rPr>
                <w:rFonts w:ascii="Times New Roman" w:hAnsi="Times New Roman" w:cs="Times New Roman" w:eastAsia="Times New Roman"/>
                <w:sz w:val="22"/>
              </w:rPr>
              <w:t xml:space="preserve">58</w:t>
            </w:r>
          </w:p>
        </w:tc>
      </w:tr>
      <w:tr>
        <w:tc>
          <w:tcPr/>
          <w:p>
            <w:pPr>
              <w:pStyle w:val="Compact"/>
              <w:spacing w:line="276" w:lineRule="auto"/>
              <w:jc w:val="left"/>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Percentage Distribution of Levels of Vocational Interest</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left"/>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Rank Order of Areas of Vocational Interest</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left"/>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Graphical Presentation of the Results</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left"/>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Discussion of the Results</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V</w:t>
            </w:r>
          </w:p>
        </w:tc>
        <w:tc>
          <w:tcPr/>
          <w:p>
            <w:pPr>
              <w:pStyle w:val="Compact"/>
              <w:spacing w:line="276" w:lineRule="auto"/>
              <w:jc w:val="left"/>
            </w:pPr>
            <w:r>
              <w:rPr>
                <w:rFonts w:ascii="Times New Roman" w:hAnsi="Times New Roman" w:cs="Times New Roman" w:eastAsia="Times New Roman"/>
                <w:b/>
                <w:bCs/>
                <w:sz w:val="22"/>
              </w:rPr>
              <w:t xml:space="preserve">SUMMARY, FINDINGS, CONCLUSIONS AND SUGGESTIONS</w:t>
            </w:r>
          </w:p>
        </w:tc>
        <w:tc>
          <w:tcPr/>
          <w:p>
            <w:pPr>
              <w:pStyle w:val="Compact"/>
              <w:spacing w:line="276" w:lineRule="auto"/>
              <w:jc w:val="right"/>
            </w:pPr>
            <w:r>
              <w:rPr>
                <w:rFonts w:ascii="Times New Roman" w:hAnsi="Times New Roman" w:cs="Times New Roman" w:eastAsia="Times New Roman"/>
                <w:b/>
                <w:bCs/>
                <w:sz w:val="22"/>
              </w:rPr>
              <w:t xml:space="preserve">74–84</w:t>
            </w:r>
          </w:p>
        </w:tc>
      </w:tr>
      <w:tr>
        <w:tc>
          <w:tcPr/>
          <w:p>
            <w:pPr>
              <w:pStyle w:val="Compact"/>
              <w:spacing w:line="276" w:lineRule="auto"/>
              <w:jc w:val="left"/>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Summary of the Study</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left"/>
            </w:pPr>
            <w:r>
              <w:rPr>
                <w:rFonts w:ascii="Times New Roman" w:hAnsi="Times New Roman" w:cs="Times New Roman" w:eastAsia="Times New Roman"/>
                <w:sz w:val="22"/>
              </w:rPr>
              <w:t xml:space="preserve">5.2</w:t>
            </w:r>
          </w:p>
        </w:tc>
        <w:tc>
          <w:tcPr/>
          <w:p>
            <w:pPr>
              <w:pStyle w:val="Compact"/>
              <w:spacing w:line="276" w:lineRule="auto"/>
              <w:jc w:val="left"/>
            </w:pPr>
            <w:r>
              <w:rPr>
                <w:rFonts w:ascii="Times New Roman" w:hAnsi="Times New Roman" w:cs="Times New Roman" w:eastAsia="Times New Roman"/>
                <w:sz w:val="22"/>
              </w:rPr>
              <w:t xml:space="preserve">Major Findings of the Study</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left"/>
            </w:pPr>
            <w:r>
              <w:rPr>
                <w:rFonts w:ascii="Times New Roman" w:hAnsi="Times New Roman" w:cs="Times New Roman" w:eastAsia="Times New Roman"/>
                <w:sz w:val="22"/>
              </w:rPr>
              <w:t xml:space="preserve">5.3</w:t>
            </w:r>
          </w:p>
        </w:tc>
        <w:tc>
          <w:tcPr/>
          <w:p>
            <w:pPr>
              <w:pStyle w:val="Compact"/>
              <w:spacing w:line="276" w:lineRule="auto"/>
              <w:jc w:val="left"/>
            </w:pPr>
            <w:r>
              <w:rPr>
                <w:rFonts w:ascii="Times New Roman" w:hAnsi="Times New Roman" w:cs="Times New Roman" w:eastAsia="Times New Roman"/>
                <w:sz w:val="22"/>
              </w:rPr>
              <w:t xml:space="preserve">Conclusions</w:t>
            </w:r>
          </w:p>
        </w:tc>
        <w:tc>
          <w:tcPr/>
          <w:p>
            <w:pPr>
              <w:pStyle w:val="Compact"/>
              <w:spacing w:line="276" w:lineRule="auto"/>
              <w:jc w:val="right"/>
            </w:pPr>
            <w:r>
              <w:rPr>
                <w:rFonts w:ascii="Times New Roman" w:hAnsi="Times New Roman" w:cs="Times New Roman" w:eastAsia="Times New Roman"/>
                <w:sz w:val="22"/>
              </w:rPr>
              <w:t xml:space="preserve">78</w:t>
            </w:r>
          </w:p>
        </w:tc>
      </w:tr>
      <w:tr>
        <w:tc>
          <w:tcPr/>
          <w:p>
            <w:pPr>
              <w:pStyle w:val="Compact"/>
              <w:spacing w:line="276" w:lineRule="auto"/>
              <w:jc w:val="left"/>
            </w:pPr>
            <w:r>
              <w:rPr>
                <w:rFonts w:ascii="Times New Roman" w:hAnsi="Times New Roman" w:cs="Times New Roman" w:eastAsia="Times New Roman"/>
                <w:sz w:val="22"/>
              </w:rPr>
              <w:t xml:space="preserve">5.4</w:t>
            </w:r>
          </w:p>
        </w:tc>
        <w:tc>
          <w:tcPr/>
          <w:p>
            <w:pPr>
              <w:pStyle w:val="Compact"/>
              <w:spacing w:line="276" w:lineRule="auto"/>
              <w:jc w:val="left"/>
            </w:pPr>
            <w:r>
              <w:rPr>
                <w:rFonts w:ascii="Times New Roman" w:hAnsi="Times New Roman" w:cs="Times New Roman" w:eastAsia="Times New Roman"/>
                <w:sz w:val="22"/>
              </w:rPr>
              <w:t xml:space="preserve">Educational Implications</w:t>
            </w:r>
          </w:p>
        </w:tc>
        <w:tc>
          <w:tcPr/>
          <w:p>
            <w:pPr>
              <w:pStyle w:val="Compact"/>
              <w:spacing w:line="276" w:lineRule="auto"/>
              <w:jc w:val="right"/>
            </w:pPr>
            <w:r>
              <w:rPr>
                <w:rFonts w:ascii="Times New Roman" w:hAnsi="Times New Roman" w:cs="Times New Roman" w:eastAsia="Times New Roman"/>
                <w:sz w:val="22"/>
              </w:rPr>
              <w:t xml:space="preserve">79</w:t>
            </w:r>
          </w:p>
        </w:tc>
      </w:tr>
      <w:tr>
        <w:tc>
          <w:tcPr/>
          <w:p>
            <w:pPr>
              <w:pStyle w:val="Compact"/>
              <w:spacing w:line="276" w:lineRule="auto"/>
              <w:jc w:val="left"/>
            </w:pPr>
            <w:r>
              <w:rPr>
                <w:rFonts w:ascii="Times New Roman" w:hAnsi="Times New Roman" w:cs="Times New Roman" w:eastAsia="Times New Roman"/>
                <w:sz w:val="22"/>
              </w:rPr>
              <w:t xml:space="preserve">5.5</w:t>
            </w:r>
          </w:p>
        </w:tc>
        <w:tc>
          <w:tcPr/>
          <w:p>
            <w:pPr>
              <w:pStyle w:val="Compact"/>
              <w:spacing w:line="276" w:lineRule="auto"/>
              <w:jc w:val="left"/>
            </w:pPr>
            <w:r>
              <w:rPr>
                <w:rFonts w:ascii="Times New Roman" w:hAnsi="Times New Roman" w:cs="Times New Roman" w:eastAsia="Times New Roman"/>
                <w:sz w:val="22"/>
              </w:rPr>
              <w:t xml:space="preserve">Suggestions for Teachers</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left"/>
            </w:pPr>
            <w:r>
              <w:rPr>
                <w:rFonts w:ascii="Times New Roman" w:hAnsi="Times New Roman" w:cs="Times New Roman" w:eastAsia="Times New Roman"/>
                <w:sz w:val="22"/>
              </w:rPr>
              <w:t xml:space="preserve">5.6</w:t>
            </w:r>
          </w:p>
        </w:tc>
        <w:tc>
          <w:tcPr/>
          <w:p>
            <w:pPr>
              <w:pStyle w:val="Compact"/>
              <w:spacing w:line="276" w:lineRule="auto"/>
              <w:jc w:val="left"/>
            </w:pPr>
            <w:r>
              <w:rPr>
                <w:rFonts w:ascii="Times New Roman" w:hAnsi="Times New Roman" w:cs="Times New Roman" w:eastAsia="Times New Roman"/>
                <w:sz w:val="22"/>
              </w:rPr>
              <w:t xml:space="preserve">Suggestions for Parents</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left"/>
            </w:pPr>
            <w:r>
              <w:rPr>
                <w:rFonts w:ascii="Times New Roman" w:hAnsi="Times New Roman" w:cs="Times New Roman" w:eastAsia="Times New Roman"/>
                <w:sz w:val="22"/>
              </w:rPr>
              <w:t xml:space="preserve">5.7</w:t>
            </w:r>
          </w:p>
        </w:tc>
        <w:tc>
          <w:tcPr/>
          <w:p>
            <w:pPr>
              <w:pStyle w:val="Compact"/>
              <w:spacing w:line="276" w:lineRule="auto"/>
              <w:jc w:val="left"/>
            </w:pPr>
            <w:r>
              <w:rPr>
                <w:rFonts w:ascii="Times New Roman" w:hAnsi="Times New Roman" w:cs="Times New Roman" w:eastAsia="Times New Roman"/>
                <w:sz w:val="22"/>
              </w:rPr>
              <w:t xml:space="preserve">Suggestions for School Administrators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left"/>
            </w:pPr>
            <w:r>
              <w:rPr>
                <w:rFonts w:ascii="Times New Roman" w:hAnsi="Times New Roman" w:cs="Times New Roman" w:eastAsia="Times New Roman"/>
                <w:sz w:val="22"/>
              </w:rPr>
              <w:t xml:space="preserve">5.8</w:t>
            </w:r>
          </w:p>
        </w:tc>
        <w:tc>
          <w:tcPr/>
          <w:p>
            <w:pPr>
              <w:pStyle w:val="Compact"/>
              <w:spacing w:line="276" w:lineRule="auto"/>
              <w:jc w:val="left"/>
            </w:pPr>
            <w:r>
              <w:rPr>
                <w:rFonts w:ascii="Times New Roman" w:hAnsi="Times New Roman" w:cs="Times New Roman" w:eastAsia="Times New Roman"/>
                <w:sz w:val="22"/>
              </w:rPr>
              <w:t xml:space="preserve">Suggestions for Guidance Counsellors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left"/>
            </w:pPr>
            <w:r>
              <w:rPr>
                <w:rFonts w:ascii="Times New Roman" w:hAnsi="Times New Roman" w:cs="Times New Roman" w:eastAsia="Times New Roman"/>
                <w:sz w:val="22"/>
              </w:rPr>
              <w:t xml:space="preserve">5.9</w:t>
            </w:r>
          </w:p>
        </w:tc>
        <w:tc>
          <w:tcPr/>
          <w:p>
            <w:pPr>
              <w:pStyle w:val="Compact"/>
              <w:spacing w:line="276" w:lineRule="auto"/>
              <w:jc w:val="left"/>
            </w:pPr>
            <w:r>
              <w:rPr>
                <w:rFonts w:ascii="Times New Roman" w:hAnsi="Times New Roman" w:cs="Times New Roman" w:eastAsia="Times New Roman"/>
                <w:sz w:val="22"/>
              </w:rPr>
              <w:t xml:space="preserve">Suggestions for Future Research</w:t>
            </w:r>
          </w:p>
        </w:tc>
        <w:tc>
          <w:tcPr/>
          <w:p>
            <w:pPr>
              <w:pStyle w:val="Compact"/>
              <w:spacing w:line="276" w:lineRule="auto"/>
              <w:jc w:val="right"/>
            </w:pPr>
            <w:r>
              <w:rPr>
                <w:rFonts w:ascii="Times New Roman" w:hAnsi="Times New Roman" w:cs="Times New Roman" w:eastAsia="Times New Roman"/>
                <w:sz w:val="22"/>
              </w:rPr>
              <w:t xml:space="preserve">83</w:t>
            </w:r>
          </w:p>
        </w:tc>
      </w:tr>
      <w:tr>
        <w:tc>
          <w:tcPr/>
          <w:p>
            <w:pPr>
              <w:pStyle w:val="Compact"/>
              <w:spacing w:line="276" w:lineRule="auto"/>
              <w:jc w:val="left"/>
            </w:pPr>
            <w:r>
              <w:rPr>
                <w:rFonts w:ascii="Times New Roman" w:hAnsi="Times New Roman" w:cs="Times New Roman" w:eastAsia="Times New Roman"/>
                <w:sz w:val="22"/>
              </w:rPr>
              <w:t xml:space="preserve">5.10</w:t>
            </w:r>
          </w:p>
        </w:tc>
        <w:tc>
          <w:tcPr/>
          <w:p>
            <w:pPr>
              <w:pStyle w:val="Compact"/>
              <w:spacing w:line="276" w:lineRule="auto"/>
              <w:jc w:val="left"/>
            </w:pPr>
            <w:r>
              <w:rPr>
                <w:rFonts w:ascii="Times New Roman" w:hAnsi="Times New Roman" w:cs="Times New Roman" w:eastAsia="Times New Roman"/>
                <w:sz w:val="22"/>
              </w:rPr>
              <w:t xml:space="preserve">Limitations of the Study</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jc w:val="left"/>
            </w:pPr>
            <w:r>
              <w:rPr>
                <w:rFonts w:ascii="Times New Roman" w:hAnsi="Times New Roman" w:cs="Times New Roman" w:eastAsia="Times New Roman"/>
                <w:sz w:val="22"/>
              </w:rPr>
              <w:t xml:space="preserve">5.11</w:t>
            </w:r>
          </w:p>
        </w:tc>
        <w:tc>
          <w:tcPr/>
          <w:p>
            <w:pPr>
              <w:pStyle w:val="Compact"/>
              <w:spacing w:line="276" w:lineRule="auto"/>
              <w:jc w:val="left"/>
            </w:pPr>
            <w:r>
              <w:rPr>
                <w:rFonts w:ascii="Times New Roman" w:hAnsi="Times New Roman" w:cs="Times New Roman" w:eastAsia="Times New Roman"/>
                <w:sz w:val="22"/>
              </w:rPr>
              <w:t xml:space="preserve">Final Conclusion</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REFERENCES / BIBLIOGRAPHY</w:t>
            </w:r>
          </w:p>
        </w:tc>
        <w:tc>
          <w:tcPr/>
          <w:p>
            <w:pPr>
              <w:pStyle w:val="Compact"/>
              <w:spacing w:line="276" w:lineRule="auto"/>
              <w:jc w:val="right"/>
            </w:pPr>
            <w:r>
              <w:rPr>
                <w:rFonts w:ascii="Times New Roman" w:hAnsi="Times New Roman" w:cs="Times New Roman" w:eastAsia="Times New Roman"/>
                <w:b/>
                <w:bCs/>
                <w:sz w:val="22"/>
              </w:rPr>
              <w:t xml:space="preserve">85–89</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APPENDICES</w:t>
            </w:r>
          </w:p>
        </w:tc>
        <w:tc>
          <w:tcPr/>
          <w:p>
            <w:pPr>
              <w:pStyle w:val="Compact"/>
              <w:spacing w:line="276" w:lineRule="auto"/>
              <w:jc w:val="right"/>
            </w:pPr>
            <w:r>
              <w:rPr>
                <w:rFonts w:ascii="Times New Roman" w:hAnsi="Times New Roman" w:cs="Times New Roman" w:eastAsia="Times New Roman"/>
                <w:b/>
                <w:bCs/>
                <w:sz w:val="22"/>
              </w:rPr>
              <w:t xml:space="preserve">90–96</w:t>
            </w:r>
          </w:p>
        </w:tc>
      </w:tr>
    </w:tbl>
    <w:bookmarkEnd w:id="18"/>
    <w:bookmarkStart w:id="19" w:name="section-5"/>
    <w:p>
      <w:pPr>
        <w:pStyle w:val="Heading2"/>
        <w:spacing w:line="360" w:lineRule="auto"/>
        <w:jc w:val="center"/>
      </w:pPr>
      <w:r>
        <w:rPr>
          <w:rFonts w:ascii="Times New Roman" w:hAnsi="Times New Roman" w:cs="Times New Roman" w:eastAsia="Times New Roman"/>
          <w:b/>
          <w:sz w:val="28"/>
        </w:rPr>
        <w:t xml:space="preserve">—</w:t>
      </w:r>
    </w:p>
    <w:bookmarkEnd w:id="19"/>
    <w:bookmarkStart w:id="20" w:name="list-of-tables"/>
    <w:p>
      <w:pPr>
        <w:pStyle w:val="Heading2"/>
        <w:spacing w:line="360" w:lineRule="auto"/>
        <w:jc w:val="center"/>
      </w:pPr>
      <w:r>
        <w:rPr>
          <w:rFonts w:ascii="Times New Roman" w:hAnsi="Times New Roman" w:cs="Times New Roman" w:eastAsia="Times New Roman"/>
          <w:b/>
          <w:sz w:val="28"/>
        </w:rPr>
        <w:t xml:space="preserve">LIST OF TABLES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Table No.</w:t>
            </w:r>
          </w:p>
        </w:tc>
        <w:tc>
          <w:tcPr/>
          <w:p>
            <w:pPr>
              <w:pStyle w:val="Compact"/>
              <w:spacing w:line="276" w:lineRule="auto"/>
              <w:jc w:val="left"/>
            </w:pPr>
            <w:r>
              <w:rPr>
                <w:rFonts w:ascii="Times New Roman" w:hAnsi="Times New Roman" w:cs="Times New Roman" w:eastAsia="Times New Roman"/>
                <w:sz w:val="22"/>
              </w:rPr>
              <w:t xml:space="preserve">Title of the Table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Distribution of the Sample According to Gender, Class and School</w:t>
            </w:r>
          </w:p>
        </w:tc>
        <w:tc>
          <w:tcPr/>
          <w:p>
            <w:pPr>
              <w:pStyle w:val="Compact"/>
              <w:spacing w:line="276" w:lineRule="auto"/>
              <w:jc w:val="right"/>
            </w:pPr>
            <w:r>
              <w:rPr>
                <w:rFonts w:ascii="Times New Roman" w:hAnsi="Times New Roman" w:cs="Times New Roman" w:eastAsia="Times New Roman"/>
                <w:sz w:val="22"/>
              </w:rPr>
              <w:t xml:space="preserve">39</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Number of Items in Each Area of the Vocational Interest Record</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Reliability Coefficients of the Vocational Interest Record</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Mean and Standard Deviation of the Total Sample on Ten Areas of Vocational Interest (N = 40)</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Area-wise Vocational Interest Scores of Boys (N = 20)</w:t>
            </w:r>
          </w:p>
        </w:tc>
        <w:tc>
          <w:tcPr/>
          <w:p>
            <w:pPr>
              <w:pStyle w:val="Compact"/>
              <w:spacing w:line="276" w:lineRule="auto"/>
              <w:jc w:val="right"/>
            </w:pPr>
            <w:r>
              <w:rPr>
                <w:rFonts w:ascii="Times New Roman" w:hAnsi="Times New Roman" w:cs="Times New Roman" w:eastAsia="Times New Roman"/>
                <w:sz w:val="22"/>
              </w:rPr>
              <w:t xml:space="preserve">53</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Mean, S.D. and Range of Boys’ Scores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54</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Vocational Interest Scores of Girls (N = 20)</w:t>
            </w:r>
          </w:p>
        </w:tc>
        <w:tc>
          <w:tcPr/>
          <w:p>
            <w:pPr>
              <w:pStyle w:val="Compact"/>
              <w:spacing w:line="276" w:lineRule="auto"/>
              <w:jc w:val="right"/>
            </w:pPr>
            <w:r>
              <w:rPr>
                <w:rFonts w:ascii="Times New Roman" w:hAnsi="Times New Roman" w:cs="Times New Roman" w:eastAsia="Times New Roman"/>
                <w:sz w:val="22"/>
              </w:rPr>
              <w:t xml:space="preserve">56</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Mean, S.D. and Range of Girls’ Scores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57</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Literary Interest</w:t>
            </w:r>
          </w:p>
        </w:tc>
        <w:tc>
          <w:tcPr/>
          <w:p>
            <w:pPr>
              <w:pStyle w:val="Compact"/>
              <w:spacing w:line="276" w:lineRule="auto"/>
              <w:jc w:val="right"/>
            </w:pPr>
            <w:r>
              <w:rPr>
                <w:rFonts w:ascii="Times New Roman" w:hAnsi="Times New Roman" w:cs="Times New Roman" w:eastAsia="Times New Roman"/>
                <w:sz w:val="22"/>
              </w:rPr>
              <w:t xml:space="preserve">58</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Scientific Interest</w:t>
            </w:r>
          </w:p>
        </w:tc>
        <w:tc>
          <w:tcPr/>
          <w:p>
            <w:pPr>
              <w:pStyle w:val="Compact"/>
              <w:spacing w:line="276" w:lineRule="auto"/>
              <w:jc w:val="right"/>
            </w:pPr>
            <w:r>
              <w:rPr>
                <w:rFonts w:ascii="Times New Roman" w:hAnsi="Times New Roman" w:cs="Times New Roman" w:eastAsia="Times New Roman"/>
                <w:sz w:val="22"/>
              </w:rPr>
              <w:t xml:space="preserve">59</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Executive Interest</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Commercial Interest</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Constructive (Technical) Interest</w:t>
            </w:r>
          </w:p>
        </w:tc>
        <w:tc>
          <w:tcPr/>
          <w:p>
            <w:pPr>
              <w:pStyle w:val="Compact"/>
              <w:spacing w:line="276" w:lineRule="auto"/>
              <w:jc w:val="right"/>
            </w:pPr>
            <w:r>
              <w:rPr>
                <w:rFonts w:ascii="Times New Roman" w:hAnsi="Times New Roman" w:cs="Times New Roman" w:eastAsia="Times New Roman"/>
                <w:sz w:val="22"/>
              </w:rPr>
              <w:t xml:space="preserve">61</w:t>
            </w:r>
          </w:p>
        </w:tc>
      </w:tr>
      <w:tr>
        <w:tc>
          <w:tcPr/>
          <w:p>
            <w:pPr>
              <w:pStyle w:val="Compact"/>
              <w:spacing w:line="276" w:lineRule="auto"/>
              <w:jc w:val="center"/>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Artistic Interest</w:t>
            </w:r>
          </w:p>
        </w:tc>
        <w:tc>
          <w:tcPr/>
          <w:p>
            <w:pPr>
              <w:pStyle w:val="Compact"/>
              <w:spacing w:line="276" w:lineRule="auto"/>
              <w:jc w:val="right"/>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Agricultural Interest</w:t>
            </w:r>
          </w:p>
        </w:tc>
        <w:tc>
          <w:tcPr/>
          <w:p>
            <w:pPr>
              <w:pStyle w:val="Compact"/>
              <w:spacing w:line="276" w:lineRule="auto"/>
              <w:jc w:val="right"/>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4.13</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Persuasive Interest</w:t>
            </w:r>
          </w:p>
        </w:tc>
        <w:tc>
          <w:tcPr/>
          <w:p>
            <w:pPr>
              <w:pStyle w:val="Compact"/>
              <w:spacing w:line="276" w:lineRule="auto"/>
              <w:jc w:val="right"/>
            </w:pPr>
            <w:r>
              <w:rPr>
                <w:rFonts w:ascii="Times New Roman" w:hAnsi="Times New Roman" w:cs="Times New Roman" w:eastAsia="Times New Roman"/>
                <w:sz w:val="22"/>
              </w:rPr>
              <w:t xml:space="preserve">63</w:t>
            </w:r>
          </w:p>
        </w:tc>
      </w:tr>
      <w:tr>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Social Interest</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4.15</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Household Interest</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left"/>
            </w:pPr>
            <w:r>
              <w:rPr>
                <w:rFonts w:ascii="Times New Roman" w:hAnsi="Times New Roman" w:cs="Times New Roman" w:eastAsia="Times New Roman"/>
                <w:sz w:val="22"/>
              </w:rPr>
              <w:t xml:space="preserve">Consolidated Table of Mean, S.D. and t-value of Boys and Girls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center"/>
            </w:pPr>
            <w:r>
              <w:rPr>
                <w:rFonts w:ascii="Times New Roman" w:hAnsi="Times New Roman" w:cs="Times New Roman" w:eastAsia="Times New Roman"/>
                <w:sz w:val="22"/>
              </w:rPr>
              <w:t xml:space="preserve">4.17</w:t>
            </w:r>
          </w:p>
        </w:tc>
        <w:tc>
          <w:tcPr/>
          <w:p>
            <w:pPr>
              <w:pStyle w:val="Compact"/>
              <w:spacing w:line="276" w:lineRule="auto"/>
              <w:jc w:val="left"/>
            </w:pPr>
            <w:r>
              <w:rPr>
                <w:rFonts w:ascii="Times New Roman" w:hAnsi="Times New Roman" w:cs="Times New Roman" w:eastAsia="Times New Roman"/>
                <w:sz w:val="22"/>
              </w:rPr>
              <w:t xml:space="preserve">Percentage Distribution of Boys at Three Levels of Vocational Interest in Ten Areas</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4.18</w:t>
            </w:r>
          </w:p>
        </w:tc>
        <w:tc>
          <w:tcPr/>
          <w:p>
            <w:pPr>
              <w:pStyle w:val="Compact"/>
              <w:spacing w:line="276" w:lineRule="auto"/>
              <w:jc w:val="left"/>
            </w:pPr>
            <w:r>
              <w:rPr>
                <w:rFonts w:ascii="Times New Roman" w:hAnsi="Times New Roman" w:cs="Times New Roman" w:eastAsia="Times New Roman"/>
                <w:sz w:val="22"/>
              </w:rPr>
              <w:t xml:space="preserve">Percentage Distribution of Girls at Three Levels of Vocational Interest in Ten Areas</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4.19</w:t>
            </w:r>
          </w:p>
        </w:tc>
        <w:tc>
          <w:tcPr/>
          <w:p>
            <w:pPr>
              <w:pStyle w:val="Compact"/>
              <w:spacing w:line="276" w:lineRule="auto"/>
              <w:jc w:val="left"/>
            </w:pPr>
            <w:r>
              <w:rPr>
                <w:rFonts w:ascii="Times New Roman" w:hAnsi="Times New Roman" w:cs="Times New Roman" w:eastAsia="Times New Roman"/>
                <w:sz w:val="22"/>
              </w:rPr>
              <w:t xml:space="preserve">Comparative Percentage of Boys and Girls Showing High Vocational Interest in Each Area</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4.20</w:t>
            </w:r>
          </w:p>
        </w:tc>
        <w:tc>
          <w:tcPr/>
          <w:p>
            <w:pPr>
              <w:pStyle w:val="Compact"/>
              <w:spacing w:line="276" w:lineRule="auto"/>
              <w:jc w:val="left"/>
            </w:pPr>
            <w:r>
              <w:rPr>
                <w:rFonts w:ascii="Times New Roman" w:hAnsi="Times New Roman" w:cs="Times New Roman" w:eastAsia="Times New Roman"/>
                <w:sz w:val="22"/>
              </w:rPr>
              <w:t xml:space="preserve">Rank Order of the Ten Areas of Vocational Interest of Boys and Girls</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Consolidated Picture of the Major Findings of the Study</w:t>
            </w:r>
          </w:p>
        </w:tc>
        <w:tc>
          <w:tcPr/>
          <w:p>
            <w:pPr>
              <w:pStyle w:val="Compact"/>
              <w:spacing w:line="276" w:lineRule="auto"/>
              <w:jc w:val="right"/>
            </w:pPr>
            <w:r>
              <w:rPr>
                <w:rFonts w:ascii="Times New Roman" w:hAnsi="Times New Roman" w:cs="Times New Roman" w:eastAsia="Times New Roman"/>
                <w:sz w:val="22"/>
              </w:rPr>
              <w:t xml:space="preserve">77</w:t>
            </w:r>
          </w:p>
        </w:tc>
      </w:tr>
    </w:tbl>
    <w:bookmarkEnd w:id="20"/>
    <w:bookmarkStart w:id="21" w:name="section-6"/>
    <w:p>
      <w:pPr>
        <w:pStyle w:val="Heading2"/>
        <w:spacing w:line="360" w:lineRule="auto"/>
        <w:jc w:val="center"/>
      </w:pPr>
      <w:r>
        <w:rPr>
          <w:rFonts w:ascii="Times New Roman" w:hAnsi="Times New Roman" w:cs="Times New Roman" w:eastAsia="Times New Roman"/>
          <w:b/>
          <w:sz w:val="28"/>
        </w:rPr>
        <w:t xml:space="preserve">—</w:t>
      </w:r>
    </w:p>
    <w:bookmarkEnd w:id="21"/>
    <w:bookmarkStart w:id="22" w:name="list-of-figures"/>
    <w:p>
      <w:pPr>
        <w:pStyle w:val="Heading2"/>
        <w:spacing w:line="360" w:lineRule="auto"/>
        <w:jc w:val="center"/>
      </w:pPr>
      <w:r>
        <w:rPr>
          <w:rFonts w:ascii="Times New Roman" w:hAnsi="Times New Roman" w:cs="Times New Roman" w:eastAsia="Times New Roman"/>
          <w:b/>
          <w:sz w:val="28"/>
        </w:rPr>
        <w:t xml:space="preserve">LIST OF FIGURES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Figure No.</w:t>
            </w:r>
          </w:p>
        </w:tc>
        <w:tc>
          <w:tcPr/>
          <w:p>
            <w:pPr>
              <w:pStyle w:val="Compact"/>
              <w:spacing w:line="276" w:lineRule="auto"/>
              <w:jc w:val="left"/>
            </w:pPr>
            <w:r>
              <w:rPr>
                <w:rFonts w:ascii="Times New Roman" w:hAnsi="Times New Roman" w:cs="Times New Roman" w:eastAsia="Times New Roman"/>
                <w:sz w:val="22"/>
              </w:rPr>
              <w:t xml:space="preserve">Title of the Figure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Sampling Design of the Study</w:t>
            </w:r>
          </w:p>
        </w:tc>
        <w:tc>
          <w:tcPr/>
          <w:p>
            <w:pPr>
              <w:pStyle w:val="Compact"/>
              <w:spacing w:line="276" w:lineRule="auto"/>
              <w:jc w:val="right"/>
            </w:pPr>
            <w:r>
              <w:rPr>
                <w:rFonts w:ascii="Times New Roman" w:hAnsi="Times New Roman" w:cs="Times New Roman" w:eastAsia="Times New Roman"/>
                <w:sz w:val="22"/>
              </w:rPr>
              <w:t xml:space="preserve">40</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Bar Diagram showing Mean Scores of Boys and Girls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Comparative Profile of Boys and Girls — Percentage of Students at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“High”</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Level of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Rank Order Profile of Vocational Interests of Boys and Girls</w:t>
            </w:r>
          </w:p>
        </w:tc>
        <w:tc>
          <w:tcPr/>
          <w:p>
            <w:pPr>
              <w:pStyle w:val="Compact"/>
              <w:spacing w:line="276" w:lineRule="auto"/>
              <w:jc w:val="right"/>
            </w:pPr>
            <w:r>
              <w:rPr>
                <w:rFonts w:ascii="Times New Roman" w:hAnsi="Times New Roman" w:cs="Times New Roman" w:eastAsia="Times New Roman"/>
                <w:sz w:val="22"/>
              </w:rPr>
              <w:t xml:space="preserve">72</w:t>
            </w:r>
          </w:p>
        </w:tc>
      </w:tr>
    </w:tbl>
    <w:bookmarkEnd w:id="22"/>
    <w:bookmarkStart w:id="23" w:name="section-7"/>
    <w:p>
      <w:pPr>
        <w:pStyle w:val="Heading2"/>
        <w:spacing w:line="360" w:lineRule="auto"/>
        <w:jc w:val="center"/>
      </w:pPr>
      <w:r>
        <w:rPr>
          <w:rFonts w:ascii="Times New Roman" w:hAnsi="Times New Roman" w:cs="Times New Roman" w:eastAsia="Times New Roman"/>
          <w:b/>
          <w:sz w:val="28"/>
        </w:rPr>
        <w:t xml:space="preserve">—</w:t>
      </w:r>
    </w:p>
    <w:bookmarkEnd w:id="23"/>
    <w:bookmarkStart w:id="24" w:name="abstract"/>
    <w:p>
      <w:pPr>
        <w:pStyle w:val="Heading2"/>
        <w:spacing w:line="360" w:lineRule="auto"/>
        <w:jc w:val="center"/>
      </w:pPr>
      <w:r>
        <w:rPr>
          <w:rFonts w:ascii="Times New Roman" w:hAnsi="Times New Roman" w:cs="Times New Roman" w:eastAsia="Times New Roman"/>
          <w:b/>
          <w:sz w:val="28"/>
        </w:rPr>
        <w:t xml:space="preserve">ABSTRACT</w:t>
      </w:r>
    </w:p>
    <w:p>
      <w:pPr>
        <w:pStyle w:val="FirstParagraph"/>
        <w:spacing w:line="480" w:lineRule="auto" w:after="120"/>
        <w:jc w:val="both"/>
      </w:pPr>
      <w:r>
        <w:rPr>
          <w:rFonts w:ascii="Times New Roman" w:hAnsi="Times New Roman" w:cs="Times New Roman" w:eastAsia="Times New Roman"/>
          <w:sz w:val="24"/>
        </w:rPr>
        <w:t xml:space="preserve">The present investigation is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It has been undertaken in the academic district of Meerut (Uttar Pradesh) under the affiliation of Chaudhary Charan Singh University, Meerut, during the academic session 2025–2026.</w:t>
      </w:r>
    </w:p>
    <w:p>
      <w:pPr>
        <w:pStyle w:val="BodyText"/>
        <w:spacing w:line="480" w:lineRule="auto" w:after="120"/>
        <w:jc w:val="both"/>
      </w:pPr>
      <w:r>
        <w:rPr>
          <w:rFonts w:ascii="Times New Roman" w:hAnsi="Times New Roman" w:cs="Times New Roman" w:eastAsia="Times New Roman"/>
          <w:sz w:val="24"/>
        </w:rPr>
        <w:t xml:space="preserve">The Secondary School stage in India coincides with the developmental period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early adolescence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which an individual begins to crystallise his or her vocational choices. Choices made at this stage have far-reaching consequences not merely for the academic future of the learner but also for his or her later occupational adjustment, life satisfaction and contribution to society. In this background, a systematic enquiry into the comparative vocational interests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real Indian setting has been considered both timely and educationally significant.</w:t>
      </w:r>
    </w:p>
    <w:p>
      <w:pPr>
        <w:pStyle w:val="BodyText"/>
        <w:spacing w:line="480" w:lineRule="auto" w:after="120"/>
        <w:jc w:val="both"/>
      </w:pPr>
      <w:r>
        <w:rPr>
          <w:rFonts w:ascii="Times New Roman" w:hAnsi="Times New Roman" w:cs="Times New Roman" w:eastAsia="Times New Roman"/>
          <w:b/>
          <w:bCs/>
          <w:sz w:val="24"/>
        </w:rPr>
        <w:t xml:space="preserve">Objectives of the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investigation was designed to fulfil the following five major objectives: (i) to study the area-wise vocational interest scores of secondary school boys; (ii) to study the area-wise vocational interest scores of secondary school girls; (iii) to compare the mean scores of boys and girls on each of the ten areas of vocational interest; (iv) to determine the percentage of boys and girls falling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of vocational interest in each area; and (v) to identify the rank order in which boys and girls place the ten vocational interest areas.</w:t>
      </w:r>
    </w:p>
    <w:p>
      <w:pPr>
        <w:pStyle w:val="BodyText"/>
        <w:spacing w:line="480" w:lineRule="auto" w:after="120"/>
        <w:jc w:val="both"/>
      </w:pPr>
      <w:r>
        <w:rPr>
          <w:rFonts w:ascii="Times New Roman" w:hAnsi="Times New Roman" w:cs="Times New Roman" w:eastAsia="Times New Roman"/>
          <w:b/>
          <w:bCs/>
          <w:sz w:val="24"/>
        </w:rPr>
        <w:t xml:space="preserve">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Three principal null hypotheses were formulated. Hypothesis I postulated that there is no significant difference between the mean scores of boys and girls on the ten areas of vocational interest. Hypothesis II proposed that boys and girls do not differ significantly in the percentage distribution of their interest at the high, average and low levels. Hypothesis III stated that boys and girls do not differ in the rank order of vocational interest areas.</w:t>
      </w:r>
    </w:p>
    <w:p>
      <w:pPr>
        <w:pStyle w:val="BodyText"/>
        <w:spacing w:line="480" w:lineRule="auto" w:after="120"/>
        <w:jc w:val="both"/>
      </w:pPr>
      <w:r>
        <w:rPr>
          <w:rFonts w:ascii="Times New Roman" w:hAnsi="Times New Roman" w:cs="Times New Roman" w:eastAsia="Times New Roman"/>
          <w:b/>
          <w:bCs/>
          <w:sz w:val="24"/>
        </w:rPr>
        <w:t xml:space="preserve">Method and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investigation followed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were selected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random 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Shri Sanskrit Inter College, Aitmadpur (a Government rural school under the U.P. Madhyamik Shiksha Parishad)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K.P. International School, Kila Parikshit Garh (a Private urban CBSE-affiliated school), both situated in Meerut District.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The Record measures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well-defined vocational areas, namely Literary, Scientific, Executive, Commercial, Constructive (Technical), Artistic, Agricultural, Persuasive, Social and Household.</w:t>
      </w:r>
    </w:p>
    <w:p>
      <w:pPr>
        <w:pStyle w:val="BodyText"/>
        <w:spacing w:line="48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Standard Deviation,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the difference between two independent means and Percentage Analysis were used.</w:t>
      </w:r>
    </w:p>
    <w:p>
      <w:pPr>
        <w:pStyle w:val="BodyText"/>
        <w:spacing w:line="480" w:lineRule="auto" w:after="120"/>
        <w:jc w:val="both"/>
      </w:pPr>
      <w:r>
        <w:rPr>
          <w:rFonts w:ascii="Times New Roman" w:hAnsi="Times New Roman" w:cs="Times New Roman" w:eastAsia="Times New Roman"/>
          <w:b/>
          <w:bCs/>
          <w:sz w:val="24"/>
        </w:rPr>
        <w:t xml:space="preserve">Major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data analysis revealed: (i) Boys obtained significantly higher mean scores than girls on the Scientific (t = 4.54, p &lt; 0.01), Constructive/Technical (t = 5.96, p &lt; 0.01) and Agricultural (t = 4.48, p &lt; 0.01) areas. (ii) Girls obtained significantly higher mean scores than boys on the Literary (t = 4.02, p &lt; 0.01), Artistic (t = 5.07, p &lt; 0.01), Social (t = 3.93, p &lt; 0.01) and Household (t = 9.36, p &lt; 0.01) areas. (iii) On the Executive (t = 1.91), Commercial (t = 1.17) and Persuasive (t = 1.31) areas the difference between boys and girls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statistically significant. (iv) The most popular area of interest for boys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1)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2)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3), whereas for girls it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1)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2)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3). The Spearman rank-order correlation between the two profiles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ρ = −0.88</w:t>
      </w:r>
      <w:r>
        <w:rPr>
          <w:rFonts w:ascii="Times New Roman" w:hAnsi="Times New Roman" w:cs="Times New Roman" w:eastAsia="Times New Roman"/>
          <w:sz w:val="24"/>
        </w:rPr>
        <w:t xml:space="preserve">, a strong systematic reversal. (v) About 60 per cent of the boys reach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on the Constructive area and 60 per cent of the girls on the Household area, indicating fairly well-formed and sharply gender-typed vocational preferences at the secondary stage.</w:t>
      </w:r>
    </w:p>
    <w:p>
      <w:pPr>
        <w:pStyle w:val="BodyText"/>
        <w:spacing w:line="480" w:lineRule="auto" w:after="120"/>
        <w:jc w:val="both"/>
      </w:pPr>
      <w:r>
        <w:rPr>
          <w:rFonts w:ascii="Times New Roman" w:hAnsi="Times New Roman" w:cs="Times New Roman" w:eastAsia="Times New Roman"/>
          <w:b/>
          <w:bCs/>
          <w:sz w:val="24"/>
        </w:rPr>
        <w:t xml:space="preserve">Educational 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the present investigation point clearly to the existence of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pattern of vocational interest in Indian secondary schools. While such a pattern partly reflects genuine biological and psychological differences, it is also fed by social stereotyping, parental expectations and the limited exposure that girls — especially rural girls — receive to scientific and technical vocations. It is therefore strongly recommended that career guidance services in secondary schools should make conscious efforts to (a) expose girls to scientific, technical and entrepreneurial careers; (b) expose boys to artistic, social and care-giving vocations; and (c) provide every adolescent learner, regardless of gender, with an unbiased opportunity to identify and pursue his or her own line of vocational interest.</w:t>
      </w:r>
    </w:p>
    <w:p>
      <w:pPr>
        <w:pStyle w:val="BodyText"/>
        <w:spacing w:line="480" w:lineRule="auto" w:after="120"/>
        <w:jc w:val="both"/>
      </w:pPr>
      <w:r>
        <w:rPr>
          <w:rFonts w:ascii="Times New Roman" w:hAnsi="Times New Roman" w:cs="Times New Roman" w:eastAsia="Times New Roman"/>
          <w:sz w:val="24"/>
        </w:rPr>
        <w:t xml:space="preserve">The dissertation thus contributes a small but useful body of empirical evidence on the comparative vocational interest pattern of secondary school boys and girls of Meerut and offers concrete suggestions for teachers, parents, school administrators, guidance counsellors and future researchers in the field.</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Front Matter ***</w:t>
      </w:r>
    </w:p>
    <w:p>
      <w:pPr>
        <w:spacing w:line="480" w:lineRule="auto" w:after="120"/>
        <w:jc w:val="both"/>
      </w:pPr>
      <w:r>
        <w:rPr>
          <w:rFonts w:ascii="Times New Roman" w:hAnsi="Times New Roman" w:cs="Times New Roman" w:eastAsia="Times New Roman"/>
          <w:sz w:val="24"/>
        </w:rPr>
        <w:br w:type="page"/>
      </w:r>
    </w:p>
    <w:bookmarkEnd w:id="24"/>
    <w:bookmarkEnd w:id="25"/>
    <w:bookmarkStart w:id="26" w:name="chapter-i"/>
    <w:p>
      <w:pPr>
        <w:pStyle w:val="Heading1"/>
        <w:spacing w:line="360" w:lineRule="auto"/>
        <w:jc w:val="center"/>
      </w:pPr>
      <w:r>
        <w:rPr>
          <w:rFonts w:ascii="Times New Roman" w:hAnsi="Times New Roman" w:cs="Times New Roman" w:eastAsia="Times New Roman"/>
          <w:b/>
          <w:sz w:val="32"/>
        </w:rPr>
        <w:t xml:space="preserve">CHAPTER – I</w:t>
      </w:r>
    </w:p>
    <w:bookmarkEnd w:id="26"/>
    <w:bookmarkStart w:id="44" w:name="introduction"/>
    <w:p>
      <w:pPr>
        <w:pStyle w:val="Heading1"/>
        <w:spacing w:line="360" w:lineRule="auto"/>
        <w:jc w:val="center"/>
      </w:pPr>
      <w:r>
        <w:rPr>
          <w:rFonts w:ascii="Times New Roman" w:hAnsi="Times New Roman" w:cs="Times New Roman" w:eastAsia="Times New Roman"/>
          <w:b/>
          <w:sz w:val="32"/>
        </w:rPr>
        <w:t xml:space="preserve">INTRODUCTION</w:t>
      </w:r>
    </w:p>
    <w:bookmarkStart w:id="27" w:name="introduction-1"/>
    <w:p>
      <w:pPr>
        <w:pStyle w:val="Heading2"/>
        <w:spacing w:line="360" w:lineRule="auto"/>
        <w:jc w:val="center"/>
      </w:pPr>
      <w:r>
        <w:rPr>
          <w:rFonts w:ascii="Times New Roman" w:hAnsi="Times New Roman" w:cs="Times New Roman" w:eastAsia="Times New Roman"/>
          <w:b/>
          <w:sz w:val="28"/>
        </w:rPr>
        <w:t xml:space="preserve">1.1 Introduction</w:t>
      </w:r>
    </w:p>
    <w:p>
      <w:pPr>
        <w:pStyle w:val="FirstParagraph"/>
        <w:spacing w:line="480" w:lineRule="auto" w:after="120"/>
        <w:jc w:val="both"/>
      </w:pPr>
      <w:r>
        <w:rPr>
          <w:rFonts w:ascii="Times New Roman" w:hAnsi="Times New Roman" w:cs="Times New Roman" w:eastAsia="Times New Roman"/>
          <w:sz w:val="24"/>
        </w:rPr>
        <w:t xml:space="preserve">Education, in its widest sense, is a continuous process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all-round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human personality. Among the several dimensions of this development — physical, intellectual, emotional, social, moral, aesthetic and vocational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one is uniquely important, for it is through productive work that the individual finds his or her economic security, social status, self-respect and a sense of contribution to society.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Education Commission (1952–53)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observed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supreme end of the educative process should be the training of the character of pupils to fit them to participate creatively as citizens in the complex modern world”</w:t>
      </w:r>
      <w:r>
        <w:rPr>
          <w:rFonts w:ascii="Times New Roman" w:hAnsi="Times New Roman" w:cs="Times New Roman" w:eastAsia="Times New Roman"/>
          <w:sz w:val="24"/>
        </w:rPr>
        <w:t xml:space="preserve">, while Swami Vivekananda had already defined education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manifestation of the perfection already in man”</w:t>
      </w:r>
      <w:r>
        <w:rPr>
          <w:rFonts w:ascii="Times New Roman" w:hAnsi="Times New Roman" w:cs="Times New Roman" w:eastAsia="Times New Roman"/>
          <w:sz w:val="24"/>
        </w:rPr>
        <w:t xml:space="preserve">. Both formulations agree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latent vocational potentialities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every learner must be patiently identified and systematically nurtured by the school.</w:t>
      </w:r>
    </w:p>
    <w:p>
      <w:pPr>
        <w:pStyle w:val="BodyText"/>
        <w:spacing w:line="480" w:lineRule="auto" w:after="120"/>
        <w:jc w:val="both"/>
      </w:pPr>
      <w:r>
        <w:rPr>
          <w:rFonts w:ascii="Times New Roman" w:hAnsi="Times New Roman" w:cs="Times New Roman" w:eastAsia="Times New Roman"/>
          <w:sz w:val="24"/>
        </w:rPr>
        <w:t xml:space="preserve">The most natural guide to such identification is the learner’s 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Educational psychology recognises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the dynamic mainspring of attention, motivation, learning and persistence. Work undertaken in a field of spontaneous interest becomes a source of joy and excellence; work undertaken without interest, however well-rewarded, often degenerates into tedious obligation. The accurate identification of vocational interest is therefore one of the surest ways of matching the right person to the right vocation.</w:t>
      </w:r>
    </w:p>
    <w:p>
      <w:pPr>
        <w:pStyle w:val="BodyText"/>
        <w:spacing w:line="480" w:lineRule="auto" w:after="120"/>
        <w:jc w:val="both"/>
      </w:pPr>
      <w:r>
        <w:rPr>
          <w:rFonts w:ascii="Times New Roman" w:hAnsi="Times New Roman" w:cs="Times New Roman" w:eastAsia="Times New Roman"/>
          <w:sz w:val="24"/>
        </w:rPr>
        <w:t xml:space="preserve">The present chapter examines the meaning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presents the major theories of vocational development; discusses the place of secondary education in India and the existing gender differences in career choices; and finally formulates the problem, objectives, hypotheses, delimitations, assumptions and operational definitions of the study.</w:t>
      </w:r>
    </w:p>
    <w:bookmarkEnd w:id="27"/>
    <w:bookmarkStart w:id="28" w:name="meaning-and-concept-of-interest"/>
    <w:p>
      <w:pPr>
        <w:pStyle w:val="Heading2"/>
        <w:spacing w:line="360" w:lineRule="auto"/>
        <w:jc w:val="center"/>
      </w:pPr>
      <w:r>
        <w:rPr>
          <w:rFonts w:ascii="Times New Roman" w:hAnsi="Times New Roman" w:cs="Times New Roman" w:eastAsia="Times New Roman"/>
          <w:b/>
          <w:sz w:val="28"/>
        </w:rPr>
        <w:t xml:space="preserve">1.2 Meaning and Concept of Interest</w:t>
      </w:r>
    </w:p>
    <w:p>
      <w:pPr>
        <w:pStyle w:val="FirstParagraph"/>
        <w:spacing w:line="480" w:lineRule="auto" w:after="120"/>
        <w:jc w:val="both"/>
      </w:pPr>
      <w:r>
        <w:rPr>
          <w:rFonts w:ascii="Times New Roman" w:hAnsi="Times New Roman" w:cs="Times New Roman" w:eastAsia="Times New Roman"/>
          <w:sz w:val="24"/>
        </w:rPr>
        <w:t xml:space="preserve">The English word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derived from the Latin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interesse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make a difference”</w:t>
      </w:r>
      <w:r>
        <w:rPr>
          <w:rFonts w:ascii="Times New Roman" w:hAnsi="Times New Roman" w:cs="Times New Roman" w:eastAsia="Times New Roman"/>
          <w:sz w:val="24"/>
        </w:rPr>
        <w:t xml:space="preserve">. In educational and psychological literature it has been variously defined. Some of the most quoted definitions are:</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Bingham (1937)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tendency to become absorbed in an experience and to continue it.”</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Crow and Crow (1973)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may refer to the motivating force that impels us to attend to a person, a thing or an activity, or it may be the affective experience that has been stimulated by the activity itself.”</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Drever (1952)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specific concern, motive or feeling which makes one’s attention move and stay over a particular object.”</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Hilgard (1962)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tendency to give selective attention to an object.”</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Chauhan (1978)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tendency to seek out an activity, an idea or a state of affairs and to find satisfaction therein.”</w:t>
      </w:r>
    </w:p>
    <w:p>
      <w:pPr>
        <w:pStyle w:val="FirstParagraph"/>
        <w:spacing w:line="480" w:lineRule="auto" w:after="120"/>
        <w:jc w:val="both"/>
      </w:pPr>
      <w:r>
        <w:rPr>
          <w:rFonts w:ascii="Times New Roman" w:hAnsi="Times New Roman" w:cs="Times New Roman" w:eastAsia="Times New Roman"/>
          <w:sz w:val="24"/>
        </w:rPr>
        <w:t xml:space="preserve">Three features are common to all these definitions. First, an interest involves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selective attention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out of the innumerable stimuli surrounding us, only a few are attended to. Second,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affective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nature, accompanied by feelings of pleasure or satisfaction. Third,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motivational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it impels the individual to seek out, repeat and persist in the activity. Educational psychologists also distinguish between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immediate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(spontaneous attraction to an activity for its own sake)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mediate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derived interest (arising from the realisation of the activity’s value for some larger purpose). Vocational interest is generally of the second type.</w:t>
      </w:r>
    </w:p>
    <w:bookmarkEnd w:id="28"/>
    <w:bookmarkStart w:id="29" w:name="meaning-of-vocational-interest"/>
    <w:p>
      <w:pPr>
        <w:pStyle w:val="Heading2"/>
        <w:spacing w:line="360" w:lineRule="auto"/>
        <w:jc w:val="center"/>
      </w:pPr>
      <w:r>
        <w:rPr>
          <w:rFonts w:ascii="Times New Roman" w:hAnsi="Times New Roman" w:cs="Times New Roman" w:eastAsia="Times New Roman"/>
          <w:b/>
          <w:sz w:val="28"/>
        </w:rPr>
        <w:t xml:space="preserve">1.3 Meaning of Vocational Interest</w:t>
      </w:r>
    </w:p>
    <w:p>
      <w:pPr>
        <w:pStyle w:val="FirstParagraph"/>
        <w:spacing w:line="480" w:lineRule="auto" w:after="120"/>
        <w:jc w:val="both"/>
      </w:pPr>
      <w:r>
        <w:rPr>
          <w:rFonts w:ascii="Times New Roman" w:hAnsi="Times New Roman" w:cs="Times New Roman" w:eastAsia="Times New Roman"/>
          <w:sz w:val="24"/>
        </w:rPr>
        <w:t xml:space="preserve">When the concept of interest is applied to occupations and the world of work, it gives rise to the concept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 preference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engaging in certain types of vocational activities and an aversion to others, expressed as likes and dislikes for occupations, tasks and work environments. Some authoritative formulations are:</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Donald E. Super (1957)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defined vocational interest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product of interaction between inherited neural and endocrine factors, on the one hand, and opportunity and social evaluation, on the other.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Activities that give satisfaction are repeated, become habits and finally crystallise into stable interests.</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E.K. Strong, Jr. (1943)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defined a vocational interest simply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a liking or preference for an activity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showed empirically that high-school interest scores remain remarkably stable into adulthood.</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John L. Holland (1985)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held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choice of a vocation is an expression of personality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proposed six personality–environment types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 Investigative, Artistic, Social, 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(RIASEC).</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S.P. Kulshrestha (1972)</w:t>
      </w:r>
      <w:r>
        <w:rPr>
          <w:rFonts w:ascii="Times New Roman" w:hAnsi="Times New Roman" w:cs="Times New Roman" w:eastAsia="Times New Roman"/>
          <w:sz w:val="24"/>
        </w:rPr>
        <w:t xml:space="preserve">, the developer of the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in this study, defined vocational interest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feeling of liking or disliking towards a particular vocation, depending upon the satisfaction obtained from the activities involved in that vocation, the prestige attached to it and the rewards available through it.</w:t>
      </w:r>
      <w:r>
        <w:rPr>
          <w:rFonts w:ascii="Times New Roman" w:hAnsi="Times New Roman" w:cs="Times New Roman" w:eastAsia="Times New Roman"/>
          <w:sz w:val="24"/>
        </w:rPr>
        <w:t xml:space="preserve">”</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Crites (1969)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a more or less mature predilection for one occupation rather than another.”</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Tyler (1955)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a learned preference, and although a part of it may be biologically determined, the major share is the product of experience and learning.”</w:t>
      </w:r>
    </w:p>
    <w:p>
      <w:pPr>
        <w:pStyle w:val="FirstParagraph"/>
        <w:spacing w:line="480" w:lineRule="auto" w:after="120"/>
        <w:jc w:val="both"/>
      </w:pPr>
      <w:r>
        <w:rPr>
          <w:rFonts w:ascii="Times New Roman" w:hAnsi="Times New Roman" w:cs="Times New Roman" w:eastAsia="Times New Roman"/>
          <w:sz w:val="24"/>
        </w:rPr>
        <w:t xml:space="preserve">A synthesis of these formulations yields the following picture: vocational interest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 preference for occupational activities</w:t>
      </w:r>
      <w:r>
        <w:rPr>
          <w:rFonts w:ascii="Times New Roman" w:hAnsi="Times New Roman" w:cs="Times New Roman" w:eastAsia="Times New Roman"/>
          <w:sz w:val="24"/>
        </w:rPr>
        <w:t xml:space="preserve">, partly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innate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partly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learned</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product of 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with his or her social, cultural and educational environment;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standardised inventories — the most widely used Indian instrument being 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and it serves as one of the most powerful predictors of vocational choice, satisfaction and success.</w:t>
      </w:r>
    </w:p>
    <w:bookmarkEnd w:id="29"/>
    <w:bookmarkStart w:id="30" w:name="concept-of-vocational-guidance"/>
    <w:p>
      <w:pPr>
        <w:pStyle w:val="Heading2"/>
        <w:spacing w:line="360" w:lineRule="auto"/>
        <w:jc w:val="center"/>
      </w:pPr>
      <w:r>
        <w:rPr>
          <w:rFonts w:ascii="Times New Roman" w:hAnsi="Times New Roman" w:cs="Times New Roman" w:eastAsia="Times New Roman"/>
          <w:b/>
          <w:sz w:val="28"/>
        </w:rPr>
        <w:t xml:space="preserve">1.4 Concept of Vocational Guidance</w:t>
      </w:r>
    </w:p>
    <w:p>
      <w:pPr>
        <w:pStyle w:val="FirstParagraph"/>
        <w:spacing w:line="480" w:lineRule="auto" w:after="120"/>
        <w:jc w:val="both"/>
      </w:pPr>
      <w:r>
        <w:rPr>
          <w:rFonts w:ascii="Times New Roman" w:hAnsi="Times New Roman" w:cs="Times New Roman" w:eastAsia="Times New Roman"/>
          <w:sz w:val="24"/>
        </w:rPr>
        <w:t xml:space="preserve">The concept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came into systematic use after Frank Parsons’ classical work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(1909). Parsons defined the central problem of vocational guidance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matching of the man and the job</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argued that a wise choice of vocation involves three steps: (a) a clear understanding of oneself, one’s aptitudes, abilities, interests and limitations; (b) a thorough knowledge of the requirements, conditions and prospects of various occupations; and (c)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“true reasoning”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relations between these two groups of facts.</w:t>
      </w:r>
    </w:p>
    <w:p>
      <w:pPr>
        <w:pStyle w:val="BodyText"/>
        <w:spacing w:line="480" w:lineRule="auto" w:after="120"/>
        <w:jc w:val="both"/>
      </w:pPr>
      <w:r>
        <w:rPr>
          <w:rFonts w:ascii="Times New Roman" w:hAnsi="Times New Roman" w:cs="Times New Roman" w:eastAsia="Times New Roman"/>
          <w:sz w:val="24"/>
        </w:rPr>
        <w:t xml:space="preserve">In India, both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Education Commission (1952–53)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Kothari Commission (1964–66)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declared vocational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vital service that should reach every secondary school in the country.”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More recently,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 to Education Act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re-emphasised the importance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skill education and vocational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stage. The NEP 2020 (paras 4.10 and 5.18) recommends that every student receive a survey-and-hands-on exposure to important vocational crafts in Grades 6–8, supported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trained counsellors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 school cluster.</w:t>
      </w:r>
    </w:p>
    <w:p>
      <w:pPr>
        <w:pStyle w:val="BodyText"/>
        <w:spacing w:line="480" w:lineRule="auto" w:after="120"/>
        <w:jc w:val="both"/>
      </w:pPr>
      <w:r>
        <w:rPr>
          <w:rFonts w:ascii="Times New Roman" w:hAnsi="Times New Roman" w:cs="Times New Roman" w:eastAsia="Times New Roman"/>
          <w:sz w:val="24"/>
        </w:rPr>
        <w:t xml:space="preserve">Modern vocational guidance is understood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 process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includes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self-appraisal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learner with the help of standardised tests of intelligence, aptitude, interest, personality and achievement; (b)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information</w:t>
      </w:r>
      <w:r>
        <w:rPr>
          <w:rFonts w:ascii="Times New Roman" w:hAnsi="Times New Roman" w:cs="Times New Roman" w:eastAsia="Times New Roman"/>
          <w:sz w:val="24"/>
        </w:rPr>
        <w:t xml:space="preserve">; (c)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individual counselling</w:t>
      </w:r>
      <w:r>
        <w:rPr>
          <w:rFonts w:ascii="Times New Roman" w:hAnsi="Times New Roman" w:cs="Times New Roman" w:eastAsia="Times New Roman"/>
          <w:sz w:val="24"/>
        </w:rPr>
        <w:t xml:space="preserve">; (d)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group guidance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career talks, fairs, exposure visits and films; and (e)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follow-up services</w:t>
      </w:r>
      <w:r>
        <w:rPr>
          <w:rFonts w:ascii="Times New Roman" w:hAnsi="Times New Roman" w:cs="Times New Roman" w:eastAsia="Times New Roman"/>
          <w:sz w:val="24"/>
        </w:rPr>
        <w:t xml:space="preserve">. Accurate measurement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focus of the present study — is therefore one of the indispensable foundations on which the entire structure of vocational guidance must rest.</w:t>
      </w:r>
    </w:p>
    <w:bookmarkEnd w:id="30"/>
    <w:bookmarkStart w:id="31" w:name="secondary-education-in-india"/>
    <w:p>
      <w:pPr>
        <w:pStyle w:val="Heading2"/>
        <w:spacing w:line="360" w:lineRule="auto"/>
        <w:jc w:val="center"/>
      </w:pPr>
      <w:r>
        <w:rPr>
          <w:rFonts w:ascii="Times New Roman" w:hAnsi="Times New Roman" w:cs="Times New Roman" w:eastAsia="Times New Roman"/>
          <w:b/>
          <w:sz w:val="28"/>
        </w:rPr>
        <w:t xml:space="preserve">1.5 Secondary Education in India</w:t>
      </w:r>
    </w:p>
    <w:p>
      <w:pPr>
        <w:pStyle w:val="FirstParagraph"/>
        <w:spacing w:line="480" w:lineRule="auto" w:after="120"/>
        <w:jc w:val="both"/>
      </w:pPr>
      <w:r>
        <w:rPr>
          <w:rFonts w:ascii="Times New Roman" w:hAnsi="Times New Roman" w:cs="Times New Roman" w:eastAsia="Times New Roman"/>
          <w:sz w:val="24"/>
        </w:rPr>
        <w:t xml:space="preserve">Secondary education in India occupies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middle position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elementary and higher stages.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Education Commission (1952–53)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identified four major aims of the stage: (a) democratic citizenship, (b) personality development, (c) vocational efficiency and (d) education for leadership. It recommended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diversified curriculum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(Humanities, Science, Commerce, Agriculture, Fine Arts, Home Science and Technical) so that every student could pursue an area of interest.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Kothari Commission (1964–66)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this forward by recommending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vocationalisation of secondary education</w:t>
      </w:r>
      <w:r>
        <w:rPr>
          <w:rFonts w:ascii="Times New Roman" w:hAnsi="Times New Roman" w:cs="Times New Roman" w:eastAsia="Times New Roman"/>
          <w:sz w:val="24"/>
        </w:rPr>
        <w:t xml:space="preserve">; the actual vocational enrolment in India, however, has rarely crossed 5 per cent.</w:t>
      </w:r>
    </w:p>
    <w:p>
      <w:pPr>
        <w:pStyle w:val="BodyText"/>
        <w:spacing w:line="480" w:lineRule="auto" w:after="120"/>
        <w:jc w:val="both"/>
      </w:pPr>
      <w:r>
        <w:rPr>
          <w:rFonts w:ascii="Times New Roman" w:hAnsi="Times New Roman" w:cs="Times New Roman" w:eastAsia="Times New Roman"/>
          <w:sz w:val="24"/>
        </w:rPr>
        <w:t xml:space="preserve">Under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the school stage has been re-organised into Foundational (3 + 2 years), Preparatory (3 years), Middle (3 years) and Secondary (4 years) blocks, the secondary block covering Grades 9–12. The secondary stage is significant from the present study’s standpoint for three reasons: (a) it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final compulsory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those who do not proceed to higher education; (b) it coincides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adolescent crystallisation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and (c) it is the stage at which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streaming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(Science / Commerce / Arts) takes place at the end of Class X — a choice that is heavily dependent on the learner’s vocational interest.</w:t>
      </w:r>
    </w:p>
    <w:p>
      <w:pPr>
        <w:pStyle w:val="BodyText"/>
        <w:spacing w:line="480" w:lineRule="auto" w:after="120"/>
        <w:jc w:val="both"/>
      </w:pPr>
      <w:r>
        <w:rPr>
          <w:rFonts w:ascii="Times New Roman" w:hAnsi="Times New Roman" w:cs="Times New Roman" w:eastAsia="Times New Roman"/>
          <w:sz w:val="24"/>
        </w:rPr>
        <w:t xml:space="preserve">In Uttar Pradesh, where the present study has been conducted, secondary education is administered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U.P. Madhyamik Shiksha Parishad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(Prayagraj) and the central boards CBSE and ICSE. The two sample schools represent these streams: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(U.P. Board)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(CBSE).</w:t>
      </w:r>
    </w:p>
    <w:bookmarkEnd w:id="31"/>
    <w:bookmarkStart w:id="32" w:name="adolescent-career-development"/>
    <w:p>
      <w:pPr>
        <w:pStyle w:val="Heading2"/>
        <w:spacing w:line="360" w:lineRule="auto"/>
        <w:jc w:val="center"/>
      </w:pPr>
      <w:r>
        <w:rPr>
          <w:rFonts w:ascii="Times New Roman" w:hAnsi="Times New Roman" w:cs="Times New Roman" w:eastAsia="Times New Roman"/>
          <w:b/>
          <w:sz w:val="28"/>
        </w:rPr>
        <w:t xml:space="preserve">1.6 Adolescent Career Development</w:t>
      </w:r>
    </w:p>
    <w:p>
      <w:pPr>
        <w:pStyle w:val="FirstParagraph"/>
        <w:spacing w:line="480" w:lineRule="auto" w:after="120"/>
        <w:jc w:val="both"/>
      </w:pPr>
      <w:r>
        <w:rPr>
          <w:rFonts w:ascii="Times New Roman" w:hAnsi="Times New Roman" w:cs="Times New Roman" w:eastAsia="Times New Roman"/>
          <w:sz w:val="24"/>
        </w:rPr>
        <w:t xml:space="preserve">The Secondary School age (Classes IX–X, 13–16 years) coincides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adolescent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human development. Hall (1904) characterised adolescence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 of storm and stress”</w:t>
      </w:r>
      <w:r>
        <w:rPr>
          <w:rFonts w:ascii="Times New Roman" w:hAnsi="Times New Roman" w:cs="Times New Roman" w:eastAsia="Times New Roman"/>
          <w:sz w:val="24"/>
        </w:rPr>
        <w:t xml:space="preserve">; Erikson (1968) preferred to describe it as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of identity formation”</w:t>
      </w:r>
      <w:r>
        <w:rPr>
          <w:rFonts w:ascii="Times New Roman" w:hAnsi="Times New Roman" w:cs="Times New Roman" w:eastAsia="Times New Roman"/>
          <w:sz w:val="24"/>
        </w:rPr>
        <w:t xml:space="preserve">, in which the individual asks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 am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in answering it formulates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identity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alongside a personal identity.</w:t>
      </w:r>
    </w:p>
    <w:p>
      <w:pPr>
        <w:pStyle w:val="BodyText"/>
        <w:spacing w:line="480" w:lineRule="auto" w:after="120"/>
        <w:jc w:val="both"/>
      </w:pPr>
      <w:r>
        <w:rPr>
          <w:rFonts w:ascii="Times New Roman" w:hAnsi="Times New Roman" w:cs="Times New Roman" w:eastAsia="Times New Roman"/>
          <w:b/>
          <w:bCs/>
          <w:sz w:val="24"/>
        </w:rPr>
        <w:t xml:space="preserve">Donald E. Super (1953, 1980)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divided lifelong vocational development into five stages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Growth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(birth–14),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Establishment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(25–44),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Maintenance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(45–64)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Decline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Eli Ginzberg (1951)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identified within the adolescent period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sub-period (11–17 years), comprising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Capacity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(13–14),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Value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(15–16)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(17–18), followed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sub-period (17–early twenties). The Class IX–X students who form the sample of the present study are therefore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in Ginzberg’s scheme and at the early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in Super’s — precisely the age at which their interests are sufficiently formed to be measured but still flexible enough to be re-shaped through good guidance.</w:t>
      </w:r>
    </w:p>
    <w:bookmarkEnd w:id="32"/>
    <w:bookmarkStart w:id="33" w:name="importance-of-vocational-interests"/>
    <w:p>
      <w:pPr>
        <w:pStyle w:val="Heading2"/>
        <w:spacing w:line="360" w:lineRule="auto"/>
        <w:jc w:val="center"/>
      </w:pPr>
      <w:r>
        <w:rPr>
          <w:rFonts w:ascii="Times New Roman" w:hAnsi="Times New Roman" w:cs="Times New Roman" w:eastAsia="Times New Roman"/>
          <w:b/>
          <w:sz w:val="28"/>
        </w:rPr>
        <w:t xml:space="preserve">1.7 Importance of Vocational Interests</w:t>
      </w:r>
    </w:p>
    <w:p>
      <w:pPr>
        <w:pStyle w:val="FirstParagraph"/>
        <w:spacing w:line="480" w:lineRule="auto" w:after="120"/>
        <w:jc w:val="both"/>
      </w:pPr>
      <w:r>
        <w:rPr>
          <w:rFonts w:ascii="Times New Roman" w:hAnsi="Times New Roman" w:cs="Times New Roman" w:eastAsia="Times New Roman"/>
          <w:sz w:val="24"/>
        </w:rPr>
        <w:t xml:space="preserve">The systematic identification of vocational interest at the secondary stage is significant for several reasons:</w:t>
      </w:r>
    </w:p>
    <w:p>
      <w:pPr>
        <w:numPr>
          <w:ilvl w:val="0"/>
          <w:numId w:val="1004"/>
        </w:numPr>
        <w:spacing w:line="480" w:lineRule="auto" w:after="120"/>
        <w:jc w:val="both"/>
      </w:pPr>
      <w:r>
        <w:rPr>
          <w:rFonts w:ascii="Times New Roman" w:hAnsi="Times New Roman" w:cs="Times New Roman" w:eastAsia="Times New Roman"/>
          <w:b/>
          <w:bCs/>
          <w:sz w:val="24"/>
        </w:rPr>
        <w:t xml:space="preserve">Academic 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end of Class X the Indian secondary school learner has to choose between Science, Commerce, Arts and Vocational streams; an informed choice based on measured interest is more likely to lead to academic success.</w:t>
      </w:r>
    </w:p>
    <w:p>
      <w:pPr>
        <w:numPr>
          <w:ilvl w:val="0"/>
          <w:numId w:val="1004"/>
        </w:numPr>
        <w:spacing w:line="480" w:lineRule="auto" w:after="120"/>
        <w:jc w:val="both"/>
      </w:pPr>
      <w:r>
        <w:rPr>
          <w:rFonts w:ascii="Times New Roman" w:hAnsi="Times New Roman" w:cs="Times New Roman" w:eastAsia="Times New Roman"/>
          <w:b/>
          <w:bCs/>
          <w:sz w:val="24"/>
        </w:rPr>
        <w:t xml:space="preserve">Subject and elective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Even within a stream, electives such as Biology vs. Mathematics or Accountancy vs. Computer Science are best made on the basis of differential interest patterns.</w:t>
      </w:r>
    </w:p>
    <w:p>
      <w:pPr>
        <w:numPr>
          <w:ilvl w:val="0"/>
          <w:numId w:val="1004"/>
        </w:numPr>
        <w:spacing w:line="480" w:lineRule="auto" w:after="120"/>
        <w:jc w:val="both"/>
      </w:pPr>
      <w:r>
        <w:rPr>
          <w:rFonts w:ascii="Times New Roman" w:hAnsi="Times New Roman" w:cs="Times New Roman" w:eastAsia="Times New Roman"/>
          <w:b/>
          <w:bCs/>
          <w:sz w:val="24"/>
        </w:rPr>
        <w:t xml:space="preserve">Higher education planning and vocational satisfaction.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Persons working in occupations matching their measured interest report greater satisfaction, productivity and engagement (Holland, 1985).</w:t>
      </w:r>
    </w:p>
    <w:p>
      <w:pPr>
        <w:numPr>
          <w:ilvl w:val="0"/>
          <w:numId w:val="1004"/>
        </w:numPr>
        <w:spacing w:line="480" w:lineRule="auto" w:after="120"/>
        <w:jc w:val="both"/>
      </w:pPr>
      <w:r>
        <w:rPr>
          <w:rFonts w:ascii="Times New Roman" w:hAnsi="Times New Roman" w:cs="Times New Roman" w:eastAsia="Times New Roman"/>
          <w:b/>
          <w:bCs/>
          <w:sz w:val="24"/>
        </w:rPr>
        <w:t xml:space="preserve">Reduction of dropout, failure and mental ill-health.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great deal of academic failure has been traced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mismatch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a student’s interest and the course in which he or she is enrolled; vocational dissatisfaction is also one of the major sources of adult anxiety and depression.</w:t>
      </w:r>
    </w:p>
    <w:p>
      <w:pPr>
        <w:numPr>
          <w:ilvl w:val="0"/>
          <w:numId w:val="1004"/>
        </w:numPr>
        <w:spacing w:line="480" w:lineRule="auto" w:after="120"/>
        <w:jc w:val="both"/>
      </w:pPr>
      <w:r>
        <w:rPr>
          <w:rFonts w:ascii="Times New Roman" w:hAnsi="Times New Roman" w:cs="Times New Roman" w:eastAsia="Times New Roman"/>
          <w:b/>
          <w:bCs/>
          <w:sz w:val="24"/>
        </w:rPr>
        <w:t xml:space="preserve">National manpower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State’s standpoint, the systematic mapping of the vocational interests of the secondary school population provides important inputs for human-resource and skill-development planning.</w:t>
      </w:r>
    </w:p>
    <w:bookmarkEnd w:id="33"/>
    <w:bookmarkStart w:id="34" w:name="areas-of-vocational-interest"/>
    <w:p>
      <w:pPr>
        <w:pStyle w:val="Heading2"/>
        <w:spacing w:line="360" w:lineRule="auto"/>
        <w:jc w:val="center"/>
      </w:pPr>
      <w:r>
        <w:rPr>
          <w:rFonts w:ascii="Times New Roman" w:hAnsi="Times New Roman" w:cs="Times New Roman" w:eastAsia="Times New Roman"/>
          <w:b/>
          <w:sz w:val="28"/>
        </w:rPr>
        <w:t xml:space="preserve">1.8 Areas of Vocational Interest</w:t>
      </w:r>
    </w:p>
    <w:p>
      <w:pPr>
        <w:pStyle w:val="FirstParagraph"/>
        <w:spacing w:line="480" w:lineRule="auto" w:after="120"/>
        <w:jc w:val="both"/>
      </w:pPr>
      <w:r>
        <w:rPr>
          <w:rFonts w:ascii="Times New Roman" w:hAnsi="Times New Roman" w:cs="Times New Roman" w:eastAsia="Times New Roman"/>
          <w:sz w:val="24"/>
        </w:rPr>
        <w:t xml:space="preserve">Different theorists have classified vocational interest into different sets of areas. Strong (1943) identified about 50 occupational scales; Holland (1985) reduced these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RIASEC types; Indian researcher S.P. Kulshrestha, on the basis of factor analysis on Indian occupational data, settled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which are reproduced below and form the basis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in the present study.</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reading, writing, journalism, editing, teaching of language and literature.</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research, observation, experimentation; doctor, engineer, laboratory technician, science teacher.</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managerial, administrative and supervisory work; civil services, banking, school administration.</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trade, business, money-related transactions; accountancy, marketing, finance, retail.</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working with tools, machines and material objects; mechanic, electrician, carpenter, civil construction.</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creative expression in colour, form, sound or movement; painting, music, dance, design, photography.</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working with plants, soil, animals and the open environment; farming, horticulture, dairy, animal husbandry.</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influencing other people; sales, advertising, public relations, law, politics, social leadership.</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welfare of human beings; teaching, nursing, social work, counselling, child care, NGO work.</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activities centred on the home; cooking, dietetics, home economics, hotel and catering, interior decoration.</w:t>
      </w:r>
    </w:p>
    <w:p>
      <w:pPr>
        <w:pStyle w:val="FirstParagraph"/>
        <w:spacing w:line="480" w:lineRule="auto" w:after="120"/>
        <w:jc w:val="both"/>
      </w:pPr>
      <w:r>
        <w:rPr>
          <w:rFonts w:ascii="Times New Roman" w:hAnsi="Times New Roman" w:cs="Times New Roman" w:eastAsia="Times New Roman"/>
          <w:sz w:val="24"/>
        </w:rPr>
        <w:t xml:space="preserve">These ten areas, derived through factor analysis of Indian occupational data, are known to provide an exhaustive coverage of the major Indian vocations. Their measurement is the focus of the present investigation.</w:t>
      </w:r>
    </w:p>
    <w:bookmarkEnd w:id="34"/>
    <w:bookmarkStart w:id="35" w:name="gender-differences-in-career-choices"/>
    <w:p>
      <w:pPr>
        <w:pStyle w:val="Heading2"/>
        <w:spacing w:line="360" w:lineRule="auto"/>
        <w:jc w:val="center"/>
      </w:pPr>
      <w:r>
        <w:rPr>
          <w:rFonts w:ascii="Times New Roman" w:hAnsi="Times New Roman" w:cs="Times New Roman" w:eastAsia="Times New Roman"/>
          <w:b/>
          <w:sz w:val="28"/>
        </w:rPr>
        <w:t xml:space="preserve">1.9 Gender Differences in Career Choices</w:t>
      </w:r>
    </w:p>
    <w:p>
      <w:pPr>
        <w:pStyle w:val="FirstParagraph"/>
        <w:spacing w:line="480" w:lineRule="auto" w:after="120"/>
        <w:jc w:val="both"/>
      </w:pPr>
      <w:r>
        <w:rPr>
          <w:rFonts w:ascii="Times New Roman" w:hAnsi="Times New Roman" w:cs="Times New Roman" w:eastAsia="Times New Roman"/>
          <w:sz w:val="24"/>
        </w:rPr>
        <w:t xml:space="preserve">Gender is one of the most pervasive social variables in human life, and it makes its presence felt in career choice as much as in any other area. A large body of research from India and abroad has consistently reported significant differences in the vocational interest profiles of men and women, especially during the adolescent years. The principal patterns reported in the literature are:</w:t>
      </w:r>
    </w:p>
    <w:p>
      <w:pPr>
        <w:numPr>
          <w:ilvl w:val="0"/>
          <w:numId w:val="1006"/>
        </w:numPr>
        <w:spacing w:line="480" w:lineRule="auto" w:after="120"/>
        <w:jc w:val="both"/>
      </w:pP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 to score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Scientific, Constructive (Technical), Mechanical, Outdoor, Agricultural, Persuasive and Executive interest areas.</w:t>
      </w:r>
    </w:p>
    <w:p>
      <w:pPr>
        <w:numPr>
          <w:ilvl w:val="0"/>
          <w:numId w:val="1006"/>
        </w:numPr>
        <w:spacing w:line="480" w:lineRule="auto" w:after="120"/>
        <w:jc w:val="both"/>
      </w:pP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 to score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Literary, Artistic, Social, Clerical and Household interest areas.</w:t>
      </w:r>
    </w:p>
    <w:p>
      <w:pPr>
        <w:numPr>
          <w:ilvl w:val="0"/>
          <w:numId w:val="1006"/>
        </w:numPr>
        <w:spacing w:line="480" w:lineRule="auto" w:after="120"/>
        <w:jc w:val="both"/>
      </w:pP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many studies, has been found to be relatively gender-neutral.</w:t>
      </w:r>
    </w:p>
    <w:p>
      <w:pPr>
        <w:pStyle w:val="FirstParagraph"/>
        <w:spacing w:line="480" w:lineRule="auto" w:after="120"/>
        <w:jc w:val="both"/>
      </w:pPr>
      <w:r>
        <w:rPr>
          <w:rFonts w:ascii="Times New Roman" w:hAnsi="Times New Roman" w:cs="Times New Roman" w:eastAsia="Times New Roman"/>
          <w:sz w:val="24"/>
        </w:rPr>
        <w:t xml:space="preserve">These patterns, however, are not biologically fixed; they are shaped to a great extent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socialisation</w:t>
      </w:r>
      <w:r>
        <w:rPr>
          <w:rFonts w:ascii="Times New Roman" w:hAnsi="Times New Roman" w:cs="Times New Roman" w:eastAsia="Times New Roman"/>
          <w:sz w:val="24"/>
        </w:rPr>
        <w:t xml:space="preserve">. Where the boy is encouraged from infancy to play with mechanical toys and the girl is given dolls and kitchen sets, the resulting interest patterns become almost predictable. The challenge for educational research is therefore not merely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patterns but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understand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social processes that produce them and to suggest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interventions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can liberate the adolescent learner from limiting stereotypes. The present study examines whether the patterns reported in the literature are also visible in a contemporary Meerut sample, and if so, how strongly.</w:t>
      </w:r>
    </w:p>
    <w:bookmarkEnd w:id="35"/>
    <w:bookmarkStart w:id="36" w:name="need-and-significance-of-the-study"/>
    <w:p>
      <w:pPr>
        <w:pStyle w:val="Heading2"/>
        <w:spacing w:line="360" w:lineRule="auto"/>
        <w:jc w:val="center"/>
      </w:pPr>
      <w:r>
        <w:rPr>
          <w:rFonts w:ascii="Times New Roman" w:hAnsi="Times New Roman" w:cs="Times New Roman" w:eastAsia="Times New Roman"/>
          <w:b/>
          <w:sz w:val="28"/>
        </w:rPr>
        <w:t xml:space="preserve">1.10 Need and Significance of the Study</w:t>
      </w:r>
    </w:p>
    <w:p>
      <w:pPr>
        <w:pStyle w:val="FirstParagraph"/>
        <w:spacing w:line="480" w:lineRule="auto" w:after="120"/>
        <w:jc w:val="both"/>
      </w:pPr>
      <w:r>
        <w:rPr>
          <w:rFonts w:ascii="Times New Roman" w:hAnsi="Times New Roman" w:cs="Times New Roman" w:eastAsia="Times New Roman"/>
          <w:sz w:val="24"/>
        </w:rPr>
        <w:t xml:space="preserve">The need for the present study arises from the convergence of several considerations. First, the vast majority of Indian secondary school students continue to make career decisions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advice, peer influence and social fashion</w:t>
      </w:r>
      <w:r>
        <w:rPr>
          <w:rFonts w:ascii="Times New Roman" w:hAnsi="Times New Roman" w:cs="Times New Roman" w:eastAsia="Times New Roman"/>
          <w:sz w:val="24"/>
        </w:rPr>
        <w:t xml:space="preserve">, without any systematic measurement of their own vocational interests; an empirical study of contemporary patterns is required to support evidence-based career-guidance practice. Second,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vocational interest, although extensively studied in the Western literature, have not been adequately examined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context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recent years; most Indian studies on the subject date from the 1970s and 1980s. Third,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rapidly urbanising districts of Western Uttar Pradesh, containing side by side deeply traditional rural communities and modern urban-CBSE schools — a contextually significant setting. Fourth,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can directly inform the work of class teachers, school administrators, parents and trained counsellors. Fifth, the National Education Policy 2020 has re-asserted the centrality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skill education and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stage, and empirical studies of the present type are necessary inputs for the implementation of these recommendations. The investigator therefore considers that the proposed study 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social, theoretical and practical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significance.</w:t>
      </w:r>
    </w:p>
    <w:bookmarkEnd w:id="36"/>
    <w:bookmarkStart w:id="37" w:name="statement-of-the-problem"/>
    <w:p>
      <w:pPr>
        <w:pStyle w:val="Heading2"/>
        <w:spacing w:line="360" w:lineRule="auto"/>
        <w:jc w:val="center"/>
      </w:pPr>
      <w:r>
        <w:rPr>
          <w:rFonts w:ascii="Times New Roman" w:hAnsi="Times New Roman" w:cs="Times New Roman" w:eastAsia="Times New Roman"/>
          <w:b/>
          <w:sz w:val="28"/>
        </w:rPr>
        <w:t xml:space="preserve">1.11 Statement of the Problem</w:t>
      </w:r>
    </w:p>
    <w:p>
      <w:pPr>
        <w:pStyle w:val="FirstParagraph"/>
        <w:spacing w:line="480" w:lineRule="auto" w:after="120"/>
        <w:jc w:val="both"/>
      </w:pPr>
      <w:r>
        <w:rPr>
          <w:rFonts w:ascii="Times New Roman" w:hAnsi="Times New Roman" w:cs="Times New Roman" w:eastAsia="Times New Roman"/>
          <w:sz w:val="24"/>
        </w:rPr>
        <w:t xml:space="preserve">The problem of the present investigation has been precisely stated as:</w:t>
      </w:r>
    </w:p>
    <w:p>
      <w:pPr>
        <w:pStyle w:val="BlockText"/>
        <w:spacing w:line="480" w:lineRule="auto" w:after="120"/>
        <w:jc w:val="both"/>
      </w:pPr>
      <w:r>
        <w:rPr>
          <w:rFonts w:ascii="Times New Roman" w:hAnsi="Times New Roman" w:cs="Times New Roman" w:eastAsia="Times New Roman"/>
          <w:b/>
          <w:bCs/>
          <w:i/>
          <w:iCs/>
          <w:sz w:val="24"/>
        </w:rPr>
        <w:t xml:space="preserve">“A Comparative Study of the Vocational Interests of Boys and Girls Studying at Secondary Level.”</w:t>
      </w:r>
    </w:p>
    <w:p>
      <w:pPr>
        <w:pStyle w:val="FirstParagraph"/>
        <w:spacing w:line="480" w:lineRule="auto" w:after="120"/>
        <w:jc w:val="both"/>
      </w:pPr>
      <w:r>
        <w:rPr>
          <w:rFonts w:ascii="Times New Roman" w:hAnsi="Times New Roman" w:cs="Times New Roman" w:eastAsia="Times New Roman"/>
          <w:sz w:val="24"/>
        </w:rPr>
        <w:t xml:space="preserve">The study is descriptive in nature and proposes to compare the vocational interest profiles of secondary school boys and girls of Class IX and X, drawn from two schools of Meerut District, on the ten standardised areas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w:t>
      </w:r>
    </w:p>
    <w:bookmarkEnd w:id="37"/>
    <w:bookmarkStart w:id="38" w:name="X37c49da2bd8e24dc4d279ed380c012767d0147e"/>
    <w:p>
      <w:pPr>
        <w:pStyle w:val="Heading2"/>
        <w:spacing w:line="360" w:lineRule="auto"/>
        <w:jc w:val="center"/>
      </w:pPr>
      <w:r>
        <w:rPr>
          <w:rFonts w:ascii="Times New Roman" w:hAnsi="Times New Roman" w:cs="Times New Roman" w:eastAsia="Times New Roman"/>
          <w:b/>
          <w:sz w:val="28"/>
        </w:rPr>
        <w:t xml:space="preserve">1.12 Operational Definitions of the Terms Used</w:t>
      </w:r>
    </w:p>
    <w:p>
      <w:pPr>
        <w:pStyle w:val="FirstParagraph"/>
        <w:spacing w:line="480" w:lineRule="auto" w:after="120"/>
        <w:jc w:val="both"/>
      </w:pPr>
      <w:r>
        <w:rPr>
          <w:rFonts w:ascii="Times New Roman" w:hAnsi="Times New Roman" w:cs="Times New Roman" w:eastAsia="Times New Roman"/>
          <w:sz w:val="24"/>
        </w:rPr>
        <w:t xml:space="preserve">For the purposes of the present investigation, the principal terms used in the title and statement of the problem have been defined as follows:</w:t>
      </w:r>
    </w:p>
    <w:p>
      <w:pPr>
        <w:pStyle w:val="BodyText"/>
        <w:spacing w:line="480" w:lineRule="auto" w:after="120"/>
        <w:jc w:val="both"/>
      </w:pPr>
      <w:r>
        <w:rPr>
          <w:rFonts w:ascii="Times New Roman" w:hAnsi="Times New Roman" w:cs="Times New Roman" w:eastAsia="Times New Roman"/>
          <w:b/>
          <w:bCs/>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scores of two groups — boys and girls — on each of the ten areas of the Vocational Interest Record,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independent samples and percentage analysis.</w:t>
      </w:r>
    </w:p>
    <w:p>
      <w:pPr>
        <w:pStyle w:val="BodyText"/>
        <w:spacing w:line="480" w:lineRule="auto"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operationally defined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score obtained by the student on each of the 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A higher score in an area indicates a stronger preference for vocations falling in that area.</w:t>
      </w:r>
    </w:p>
    <w:p>
      <w:pPr>
        <w:pStyle w:val="BodyText"/>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male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drawn through random sampling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Kila Parikshit Garh, Meerut</w:t>
      </w:r>
      <w:r>
        <w:rPr>
          <w:rFonts w:ascii="Times New Roman" w:hAnsi="Times New Roman" w:cs="Times New Roman" w:eastAsia="Times New Roman"/>
          <w:sz w:val="24"/>
        </w:rPr>
        <w:t xml:space="preserve">, whose age lies between 13 and 16 years.</w:t>
      </w:r>
    </w:p>
    <w:p>
      <w:pPr>
        <w:pStyle w:val="BodyText"/>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female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drawn through random sampling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r>
        <w:rPr>
          <w:rFonts w:ascii="Times New Roman" w:hAnsi="Times New Roman" w:cs="Times New Roman" w:eastAsia="Times New Roman"/>
          <w:sz w:val="24"/>
        </w:rPr>
        <w:t xml:space="preserve">, whose age lies between 13 and 16 years.</w:t>
      </w:r>
    </w:p>
    <w:p>
      <w:pPr>
        <w:pStyle w:val="BodyText"/>
        <w:spacing w:line="480" w:lineRule="auto" w:after="120"/>
        <w:jc w:val="both"/>
      </w:pPr>
      <w:r>
        <w:rPr>
          <w:rFonts w:ascii="Times New Roman" w:hAnsi="Times New Roman" w:cs="Times New Roman" w:eastAsia="Times New Roman"/>
          <w:b/>
          <w:bCs/>
          <w:sz w:val="24"/>
        </w:rPr>
        <w:t xml:space="preserve">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Classes IX and X</w:t>
      </w:r>
      <w:r>
        <w:rPr>
          <w:rFonts w:ascii="Times New Roman" w:hAnsi="Times New Roman" w:cs="Times New Roman" w:eastAsia="Times New Roman"/>
          <w:sz w:val="24"/>
        </w:rPr>
        <w:t xml:space="preserve">, which constitute the secondary stage in the U.P. Board (10 + 2) and the CBSE pattern of school education.</w:t>
      </w:r>
    </w:p>
    <w:p>
      <w:pPr>
        <w:pStyle w:val="BodyText"/>
        <w:spacing w:line="480" w:lineRule="auto" w:after="120"/>
        <w:jc w:val="both"/>
      </w:pPr>
      <w:r>
        <w:rPr>
          <w:rFonts w:ascii="Times New Roman" w:hAnsi="Times New Roman" w:cs="Times New Roman" w:eastAsia="Times New Roman"/>
          <w:b/>
          <w:bCs/>
          <w:sz w:val="24"/>
        </w:rPr>
        <w:t xml:space="preserve">Government School / 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which is owned, financed and managed by the Government of Uttar Pradesh through the U.P. Madhyamik Shiksha Parishad — in this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which is privately managed under a registered society and is affiliated with the Central Board of Secondary Education — in this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w:t>
      </w:r>
    </w:p>
    <w:bookmarkEnd w:id="38"/>
    <w:bookmarkStart w:id="39" w:name="objectives-of-the-study"/>
    <w:p>
      <w:pPr>
        <w:pStyle w:val="Heading2"/>
        <w:spacing w:line="360" w:lineRule="auto"/>
        <w:jc w:val="center"/>
      </w:pPr>
      <w:r>
        <w:rPr>
          <w:rFonts w:ascii="Times New Roman" w:hAnsi="Times New Roman" w:cs="Times New Roman" w:eastAsia="Times New Roman"/>
          <w:b/>
          <w:sz w:val="28"/>
        </w:rPr>
        <w:t xml:space="preserve">1.13 Objectives of the Study</w:t>
      </w:r>
    </w:p>
    <w:p>
      <w:pPr>
        <w:pStyle w:val="FirstParagraph"/>
        <w:spacing w:line="480" w:lineRule="auto" w:after="120"/>
        <w:jc w:val="both"/>
      </w:pPr>
      <w:r>
        <w:rPr>
          <w:rFonts w:ascii="Times New Roman" w:hAnsi="Times New Roman" w:cs="Times New Roman" w:eastAsia="Times New Roman"/>
          <w:sz w:val="24"/>
        </w:rPr>
        <w:t xml:space="preserve">The study has been designed to fulfil the following five major objectives:</w:t>
      </w:r>
    </w:p>
    <w:p>
      <w:pPr>
        <w:pStyle w:val="BodyText"/>
        <w:spacing w:line="480" w:lineRule="auto" w:after="120"/>
        <w:jc w:val="both"/>
      </w:pPr>
      <w:r>
        <w:rPr>
          <w:rFonts w:ascii="Times New Roman" w:hAnsi="Times New Roman" w:cs="Times New Roman" w:eastAsia="Times New Roman"/>
          <w:b/>
          <w:bCs/>
          <w:sz w:val="24"/>
        </w:rPr>
        <w:t xml:space="preserve">Objective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 scores (Mean and Standard Deviation)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 Dr. S.P. Kulshrestha’s Vocational Interest Record.</w:t>
      </w:r>
    </w:p>
    <w:p>
      <w:pPr>
        <w:pStyle w:val="BodyText"/>
        <w:spacing w:line="480" w:lineRule="auto" w:after="120"/>
        <w:jc w:val="both"/>
      </w:pPr>
      <w:r>
        <w:rPr>
          <w:rFonts w:ascii="Times New Roman" w:hAnsi="Times New Roman" w:cs="Times New Roman" w:eastAsia="Times New Roman"/>
          <w:b/>
          <w:bCs/>
          <w:sz w:val="24"/>
        </w:rPr>
        <w:t xml:space="preserve">Objective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 scores (Mean and Standard Deviation)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 the Vocational Interest Record.</w:t>
      </w:r>
    </w:p>
    <w:p>
      <w:pPr>
        <w:pStyle w:val="BodyText"/>
        <w:spacing w:line="480" w:lineRule="auto" w:after="120"/>
        <w:jc w:val="both"/>
      </w:pPr>
      <w:r>
        <w:rPr>
          <w:rFonts w:ascii="Times New Roman" w:hAnsi="Times New Roman" w:cs="Times New Roman" w:eastAsia="Times New Roman"/>
          <w:b/>
          <w:bCs/>
          <w:sz w:val="24"/>
        </w:rPr>
        <w:t xml:space="preserve">Objective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mean vocational interest scores of boys and girls on each of the ten areas of vocational interest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of significance.</w:t>
      </w:r>
    </w:p>
    <w:p>
      <w:pPr>
        <w:pStyle w:val="BodyText"/>
        <w:spacing w:line="480" w:lineRule="auto" w:after="120"/>
        <w:jc w:val="both"/>
      </w:pPr>
      <w:r>
        <w:rPr>
          <w:rFonts w:ascii="Times New Roman" w:hAnsi="Times New Roman" w:cs="Times New Roman" w:eastAsia="Times New Roman"/>
          <w:b/>
          <w:bCs/>
          <w:sz w:val="24"/>
        </w:rPr>
        <w:t xml:space="preserve">Objective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compute the percentage of boys and girls falling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of vocational interest in each of the ten areas, and to compare the two distributions.</w:t>
      </w:r>
    </w:p>
    <w:p>
      <w:pPr>
        <w:pStyle w:val="BodyText"/>
        <w:spacing w:line="480" w:lineRule="auto" w:after="120"/>
        <w:jc w:val="both"/>
      </w:pPr>
      <w:r>
        <w:rPr>
          <w:rFonts w:ascii="Times New Roman" w:hAnsi="Times New Roman" w:cs="Times New Roman" w:eastAsia="Times New Roman"/>
          <w:b/>
          <w:bCs/>
          <w:sz w:val="24"/>
        </w:rPr>
        <w:t xml:space="preserve">Objective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determine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ten areas of vocational interest of boys and of girls, and to examine the extent of agreement between the two rank orders.</w:t>
      </w:r>
    </w:p>
    <w:bookmarkEnd w:id="39"/>
    <w:bookmarkStart w:id="40" w:name="hypotheses-of-the-study"/>
    <w:p>
      <w:pPr>
        <w:pStyle w:val="Heading2"/>
        <w:spacing w:line="360" w:lineRule="auto"/>
        <w:jc w:val="center"/>
      </w:pPr>
      <w:r>
        <w:rPr>
          <w:rFonts w:ascii="Times New Roman" w:hAnsi="Times New Roman" w:cs="Times New Roman" w:eastAsia="Times New Roman"/>
          <w:b/>
          <w:sz w:val="28"/>
        </w:rPr>
        <w:t xml:space="preserve">1.14 Hypotheses of the Study</w:t>
      </w:r>
    </w:p>
    <w:p>
      <w:pPr>
        <w:pStyle w:val="FirstParagraph"/>
        <w:spacing w:line="480" w:lineRule="auto" w:after="120"/>
        <w:jc w:val="both"/>
      </w:pPr>
      <w:r>
        <w:rPr>
          <w:rFonts w:ascii="Times New Roman" w:hAnsi="Times New Roman" w:cs="Times New Roman" w:eastAsia="Times New Roman"/>
          <w:sz w:val="24"/>
        </w:rPr>
        <w:t xml:space="preserve">In the light of the above objectives and the trends reported in the related literature, the following null hypotheses (H₀) have been formulated for empirical testing:</w:t>
      </w:r>
    </w:p>
    <w:p>
      <w:pPr>
        <w:pStyle w:val="BodyText"/>
        <w:spacing w:line="48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scores of boys and girls of secondary level on each of the ten areas of vocational interest, namely Literary, Scientific, Executive, Commercial, Constructive (Technical), Artistic, Agricultural, Persuasive, Social and Household.</w:t>
      </w:r>
    </w:p>
    <w:p>
      <w:pPr>
        <w:pStyle w:val="BodyText"/>
        <w:spacing w:line="48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of secondary level do not differ significantly in the percentage distribution of their vocational interest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in any of the ten areas.</w:t>
      </w:r>
    </w:p>
    <w:p>
      <w:pPr>
        <w:pStyle w:val="BodyText"/>
        <w:spacing w:line="48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of secondary level do not differ significantly in the rank order in which they place the ten areas of vocational interest.</w:t>
      </w:r>
    </w:p>
    <w:p>
      <w:pPr>
        <w:pStyle w:val="BodyText"/>
        <w:spacing w:line="480" w:lineRule="auto" w:after="120"/>
        <w:jc w:val="both"/>
      </w:pPr>
      <w:r>
        <w:rPr>
          <w:rFonts w:ascii="Times New Roman" w:hAnsi="Times New Roman" w:cs="Times New Roman" w:eastAsia="Times New Roman"/>
          <w:sz w:val="24"/>
        </w:rPr>
        <w:t xml:space="preserve">In view of the literature reviewed in Chapter II, the corresponding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(alternative) hypotheses have also been kept in mind. They postulate that boys will obtain higher mean scores than girls on Scientific, Executive, Commercial, Constructive, Agricultural and Persuasive areas, and that girls will obtain higher mean scores on Literary, Artistic, Social and Household areas. The empirical results presented in Chapter IV will determine whether the null hypotheses can be rejected in favour of these alternatives.</w:t>
      </w:r>
    </w:p>
    <w:bookmarkEnd w:id="40"/>
    <w:bookmarkStart w:id="41" w:name="delimitations-of-the-study"/>
    <w:p>
      <w:pPr>
        <w:pStyle w:val="Heading2"/>
        <w:spacing w:line="360" w:lineRule="auto"/>
        <w:jc w:val="center"/>
      </w:pPr>
      <w:r>
        <w:rPr>
          <w:rFonts w:ascii="Times New Roman" w:hAnsi="Times New Roman" w:cs="Times New Roman" w:eastAsia="Times New Roman"/>
          <w:b/>
          <w:sz w:val="28"/>
        </w:rPr>
        <w:t xml:space="preserve">1.15 Delimitations of the Study</w:t>
      </w:r>
    </w:p>
    <w:p>
      <w:pPr>
        <w:pStyle w:val="FirstParagraph"/>
        <w:spacing w:line="480" w:lineRule="auto" w:after="120"/>
        <w:jc w:val="both"/>
      </w:pPr>
      <w:r>
        <w:rPr>
          <w:rFonts w:ascii="Times New Roman" w:hAnsi="Times New Roman" w:cs="Times New Roman" w:eastAsia="Times New Roman"/>
          <w:sz w:val="24"/>
        </w:rPr>
        <w:t xml:space="preserve">The present study is delimited as follows:</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Western Uttar Pradesh.</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district — Shri Sanskrit Inter College, Aitmadpur (Government, rural, U.P. Board) and K.P. International School, Kila Parikshit Garh (Private, urban, CBSE).</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 a sample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boys and 20 girls — selected from Classes IX and X.</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 the age range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13 – 16 years</w:t>
      </w:r>
      <w:r>
        <w:rPr>
          <w:rFonts w:ascii="Times New Roman" w:hAnsi="Times New Roman" w:cs="Times New Roman" w:eastAsia="Times New Roman"/>
          <w:sz w:val="24"/>
        </w:rPr>
        <w:t xml:space="preserve">.</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 the variable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measured solely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 (Hindi version)</w:t>
      </w:r>
      <w:r>
        <w:rPr>
          <w:rFonts w:ascii="Times New Roman" w:hAnsi="Times New Roman" w:cs="Times New Roman" w:eastAsia="Times New Roman"/>
          <w:sz w:val="24"/>
        </w:rPr>
        <w:t xml:space="preserve">.</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 — Literary, Scientific, Executive, Commercial, Constructive, Artistic, Agricultural, Persuasive, Social and Household.</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 statistical analysis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 Standard Deviation, t-test for two independent samples, and 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Spearman rank-order correlation as a supplementary measure). ANOVA, multiple correlation and regression have not been used.</w:t>
      </w:r>
    </w:p>
    <w:p>
      <w:pPr>
        <w:pStyle w:val="Compact"/>
        <w:numPr>
          <w:ilvl w:val="0"/>
          <w:numId w:val="1007"/>
        </w:numPr>
        <w:spacing w:line="480" w:lineRule="auto" w:after="120"/>
        <w:jc w:val="both"/>
      </w:pPr>
      <w:r>
        <w:rPr>
          <w:rFonts w:ascii="Times New Roman" w:hAnsi="Times New Roman" w:cs="Times New Roman" w:eastAsia="Times New Roman"/>
          <w:sz w:val="24"/>
        </w:rPr>
        <w:t xml:space="preserve">To the academic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Session 2025–2026</w:t>
      </w:r>
      <w:r>
        <w:rPr>
          <w:rFonts w:ascii="Times New Roman" w:hAnsi="Times New Roman" w:cs="Times New Roman" w:eastAsia="Times New Roman"/>
          <w:sz w:val="24"/>
        </w:rPr>
        <w:t xml:space="preserve">.</w:t>
      </w:r>
    </w:p>
    <w:bookmarkEnd w:id="41"/>
    <w:bookmarkStart w:id="42" w:name="assumptions-of-the-study"/>
    <w:p>
      <w:pPr>
        <w:pStyle w:val="Heading2"/>
        <w:spacing w:line="360" w:lineRule="auto"/>
        <w:jc w:val="center"/>
      </w:pPr>
      <w:r>
        <w:rPr>
          <w:rFonts w:ascii="Times New Roman" w:hAnsi="Times New Roman" w:cs="Times New Roman" w:eastAsia="Times New Roman"/>
          <w:b/>
          <w:sz w:val="28"/>
        </w:rPr>
        <w:t xml:space="preserve">1.16 Assumptions of the Study</w:t>
      </w:r>
    </w:p>
    <w:p>
      <w:pPr>
        <w:pStyle w:val="FirstParagraph"/>
        <w:spacing w:line="480" w:lineRule="auto" w:after="120"/>
        <w:jc w:val="both"/>
      </w:pPr>
      <w:r>
        <w:rPr>
          <w:rFonts w:ascii="Times New Roman" w:hAnsi="Times New Roman" w:cs="Times New Roman" w:eastAsia="Times New Roman"/>
          <w:sz w:val="24"/>
        </w:rPr>
        <w:t xml:space="preserve">The present investigation rests on the following assumptions:</w:t>
      </w:r>
    </w:p>
    <w:p>
      <w:pPr>
        <w:numPr>
          <w:ilvl w:val="0"/>
          <w:numId w:val="1008"/>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is a valid and reliable instrument for measuring vocational interests of Indian secondary school students.</w:t>
      </w:r>
    </w:p>
    <w:p>
      <w:pPr>
        <w:numPr>
          <w:ilvl w:val="0"/>
          <w:numId w:val="1008"/>
        </w:numPr>
        <w:spacing w:line="480" w:lineRule="auto" w:after="120"/>
        <w:jc w:val="both"/>
      </w:pPr>
      <w:r>
        <w:rPr>
          <w:rFonts w:ascii="Times New Roman" w:hAnsi="Times New Roman" w:cs="Times New Roman" w:eastAsia="Times New Roman"/>
          <w:sz w:val="24"/>
        </w:rPr>
        <w:t xml:space="preserve">The students of the sample have responded to the items of the Record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to the best of their understanding, on the assurance of confidentiality.</w:t>
      </w:r>
    </w:p>
    <w:p>
      <w:pPr>
        <w:numPr>
          <w:ilvl w:val="0"/>
          <w:numId w:val="1008"/>
        </w:numPr>
        <w:spacing w:line="480" w:lineRule="auto" w:after="120"/>
        <w:jc w:val="both"/>
      </w:pPr>
      <w:r>
        <w:rPr>
          <w:rFonts w:ascii="Times New Roman" w:hAnsi="Times New Roman" w:cs="Times New Roman" w:eastAsia="Times New Roman"/>
          <w:sz w:val="24"/>
        </w:rPr>
        <w:t xml:space="preserve">The 40 students drawn through random sampling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secondary level boys and girls of Meerut District.</w:t>
      </w:r>
    </w:p>
    <w:p>
      <w:pPr>
        <w:numPr>
          <w:ilvl w:val="0"/>
          <w:numId w:val="1008"/>
        </w:numPr>
        <w:spacing w:line="480" w:lineRule="auto" w:after="120"/>
        <w:jc w:val="both"/>
      </w:pPr>
      <w:r>
        <w:rPr>
          <w:rFonts w:ascii="Times New Roman" w:hAnsi="Times New Roman" w:cs="Times New Roman" w:eastAsia="Times New Roman"/>
          <w:sz w:val="24"/>
        </w:rPr>
        <w:t xml:space="preserve">The scores obtained on the Record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interval-scale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and therefore parametric statistics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are appropriate.</w:t>
      </w:r>
    </w:p>
    <w:p>
      <w:pPr>
        <w:numPr>
          <w:ilvl w:val="0"/>
          <w:numId w:val="1008"/>
        </w:numPr>
        <w:spacing w:line="480" w:lineRule="auto" w:after="120"/>
        <w:jc w:val="both"/>
      </w:pPr>
      <w:r>
        <w:rPr>
          <w:rFonts w:ascii="Times New Roman" w:hAnsi="Times New Roman" w:cs="Times New Roman" w:eastAsia="Times New Roman"/>
          <w:sz w:val="24"/>
        </w:rPr>
        <w:t xml:space="preserve">Class IX and X students are at a stage at which their vocational interests are sufficiently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reliably measured.</w:t>
      </w:r>
    </w:p>
    <w:bookmarkEnd w:id="42"/>
    <w:bookmarkStart w:id="43" w:name="organization-of-the-study"/>
    <w:p>
      <w:pPr>
        <w:pStyle w:val="Heading2"/>
        <w:spacing w:line="360" w:lineRule="auto"/>
        <w:jc w:val="center"/>
      </w:pPr>
      <w:r>
        <w:rPr>
          <w:rFonts w:ascii="Times New Roman" w:hAnsi="Times New Roman" w:cs="Times New Roman" w:eastAsia="Times New Roman"/>
          <w:b/>
          <w:sz w:val="28"/>
        </w:rPr>
        <w:t xml:space="preserve">1.17 Organization of the Study</w:t>
      </w:r>
    </w:p>
    <w:p>
      <w:pPr>
        <w:pStyle w:val="FirstParagraph"/>
        <w:spacing w:line="480" w:lineRule="auto" w:after="120"/>
        <w:jc w:val="both"/>
      </w:pPr>
      <w:r>
        <w:rPr>
          <w:rFonts w:ascii="Times New Roman" w:hAnsi="Times New Roman" w:cs="Times New Roman" w:eastAsia="Times New Roman"/>
          <w:sz w:val="24"/>
        </w:rPr>
        <w:t xml:space="preserve">The present dissertation has been organised into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five chapters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manner customary for M.Ed. dissertations of Chaudhary Charan Singh University, Meerut: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 —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chapter);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II — Review of Related Literature</w:t>
      </w:r>
      <w:r>
        <w:rPr>
          <w:rFonts w:ascii="Times New Roman" w:hAnsi="Times New Roman" w:cs="Times New Roman" w:eastAsia="Times New Roman"/>
          <w:sz w:val="24"/>
        </w:rPr>
        <w:t xml:space="preserve">, surveying available Indian and foreign studies on vocational interest and identifying the research gap;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III — Research Methodology</w:t>
      </w:r>
      <w:r>
        <w:rPr>
          <w:rFonts w:ascii="Times New Roman" w:hAnsi="Times New Roman" w:cs="Times New Roman" w:eastAsia="Times New Roman"/>
          <w:sz w:val="24"/>
        </w:rPr>
        <w:t xml:space="preserve">, describing design, variables, population, sample, tool, procedure, scoring and statistical techniques;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IV — Data Analysis and Interpretation</w:t>
      </w:r>
      <w:r>
        <w:rPr>
          <w:rFonts w:ascii="Times New Roman" w:hAnsi="Times New Roman" w:cs="Times New Roman" w:eastAsia="Times New Roman"/>
          <w:sz w:val="24"/>
        </w:rPr>
        <w:t xml:space="preserve">, presenting area-wise scores,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percentage distributions, rank orders and corresponding interpretations;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V — Summary, Findings, Conclusions and Suggestions</w:t>
      </w:r>
      <w:r>
        <w:rPr>
          <w:rFonts w:ascii="Times New Roman" w:hAnsi="Times New Roman" w:cs="Times New Roman" w:eastAsia="Times New Roman"/>
          <w:sz w:val="24"/>
        </w:rPr>
        <w:t xml:space="preserve">, summarising the entire study, listing major findings, drawing conclusions, and offering suggestions for teachers, parents, school administrators, guidance counsellors and future researchers, along with limitations. The dissertation closes with a list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References / Bibliography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APA 7th edition format and a set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Appendices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containing the sample format of the Vocational Interest Record, the permission letter, raw data Master Sheets, sample calculations and student response sheets.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 ***</w:t>
      </w:r>
    </w:p>
    <w:p>
      <w:pPr>
        <w:spacing w:line="480" w:lineRule="auto" w:after="120"/>
        <w:jc w:val="both"/>
      </w:pPr>
      <w:r>
        <w:rPr>
          <w:rFonts w:ascii="Times New Roman" w:hAnsi="Times New Roman" w:cs="Times New Roman" w:eastAsia="Times New Roman"/>
          <w:sz w:val="24"/>
        </w:rPr>
        <w:br w:type="page"/>
      </w:r>
    </w:p>
    <w:bookmarkEnd w:id="43"/>
    <w:bookmarkEnd w:id="44"/>
    <w:bookmarkStart w:id="45" w:name="chapter-ii"/>
    <w:p>
      <w:pPr>
        <w:pStyle w:val="Heading1"/>
        <w:spacing w:line="360" w:lineRule="auto"/>
        <w:jc w:val="center"/>
      </w:pPr>
      <w:r>
        <w:rPr>
          <w:rFonts w:ascii="Times New Roman" w:hAnsi="Times New Roman" w:cs="Times New Roman" w:eastAsia="Times New Roman"/>
          <w:b/>
          <w:sz w:val="32"/>
        </w:rPr>
        <w:t xml:space="preserve">CHAPTER – II</w:t>
      </w:r>
    </w:p>
    <w:bookmarkEnd w:id="45"/>
    <w:bookmarkStart w:id="71" w:name="review-of-related-literature"/>
    <w:p>
      <w:pPr>
        <w:pStyle w:val="Heading1"/>
        <w:spacing w:line="360" w:lineRule="auto"/>
        <w:jc w:val="center"/>
      </w:pPr>
      <w:r>
        <w:rPr>
          <w:rFonts w:ascii="Times New Roman" w:hAnsi="Times New Roman" w:cs="Times New Roman" w:eastAsia="Times New Roman"/>
          <w:b/>
          <w:sz w:val="32"/>
        </w:rPr>
        <w:t xml:space="preserve">REVIEW OF RELATED LITERATURE</w:t>
      </w:r>
    </w:p>
    <w:bookmarkStart w:id="46" w:name="introduction-2"/>
    <w:p>
      <w:pPr>
        <w:pStyle w:val="Heading2"/>
        <w:spacing w:line="360" w:lineRule="auto"/>
        <w:jc w:val="center"/>
      </w:pPr>
      <w:r>
        <w:rPr>
          <w:rFonts w:ascii="Times New Roman" w:hAnsi="Times New Roman" w:cs="Times New Roman" w:eastAsia="Times New Roman"/>
          <w:b/>
          <w:sz w:val="28"/>
        </w:rPr>
        <w:t xml:space="preserve">2.1 Introduction</w:t>
      </w:r>
    </w:p>
    <w:p>
      <w:pPr>
        <w:pStyle w:val="FirstParagraph"/>
        <w:spacing w:line="480" w:lineRule="auto" w:after="120"/>
        <w:jc w:val="both"/>
      </w:pPr>
      <w:r>
        <w:rPr>
          <w:rFonts w:ascii="Times New Roman" w:hAnsi="Times New Roman" w:cs="Times New Roman" w:eastAsia="Times New Roman"/>
          <w:sz w:val="24"/>
        </w:rPr>
        <w:t xml:space="preserve">A research study, however original it may appear, is never an isolated piece of work. As Best (2017) observed,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search for related literature is one of the first steps in the research process and probably one of the most important.”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purpose of the present chapter is therefore to survey, in a systematic and critical manner, the available literature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w:t>
      </w:r>
      <w:r>
        <w:rPr>
          <w:rFonts w:ascii="Times New Roman" w:hAnsi="Times New Roman" w:cs="Times New Roman" w:eastAsia="Times New Roman"/>
          <w:sz w:val="24"/>
        </w:rPr>
        <w:t xml:space="preserve">, with a special focus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gender-based comparative pattern</w:t>
      </w:r>
      <w:r>
        <w:rPr>
          <w:rFonts w:ascii="Times New Roman" w:hAnsi="Times New Roman" w:cs="Times New Roman" w:eastAsia="Times New Roman"/>
          <w:sz w:val="24"/>
        </w:rPr>
        <w:t xml:space="preserve">. The chapter is organised under (i) the importance of the review, (ii) studies conducted in India, (iii) studies conducted abroad, (iv) critical appraisal, (v) the research gap, and (vi) a summary.</w:t>
      </w:r>
    </w:p>
    <w:bookmarkEnd w:id="46"/>
    <w:bookmarkStart w:id="47" w:name="Xfce05f94eb65244c9aa3ee6815d8bf1254a5b17"/>
    <w:p>
      <w:pPr>
        <w:pStyle w:val="Heading2"/>
        <w:spacing w:line="360" w:lineRule="auto"/>
        <w:jc w:val="center"/>
      </w:pPr>
      <w:r>
        <w:rPr>
          <w:rFonts w:ascii="Times New Roman" w:hAnsi="Times New Roman" w:cs="Times New Roman" w:eastAsia="Times New Roman"/>
          <w:b/>
          <w:sz w:val="28"/>
        </w:rPr>
        <w:t xml:space="preserve">2.2 Importance of Review of Related Literature</w:t>
      </w:r>
    </w:p>
    <w:p>
      <w:pPr>
        <w:pStyle w:val="FirstParagraph"/>
        <w:spacing w:line="480" w:lineRule="auto" w:after="120"/>
        <w:jc w:val="both"/>
      </w:pPr>
      <w:r>
        <w:rPr>
          <w:rFonts w:ascii="Times New Roman" w:hAnsi="Times New Roman" w:cs="Times New Roman" w:eastAsia="Times New Roman"/>
          <w:sz w:val="24"/>
        </w:rPr>
        <w:t xml:space="preserve">The review of related literature locates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position of the present problem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the wider stream of similar investigations; indicates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 models, methodologies, samples and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previous workers have employed; points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gaps, contradictions and unresolved questions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existing literature; enables the investigator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 the present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against the established trends; and contributes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scholarly tone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dissertation by demonstrating familiarity with the relevant body of work.</w:t>
      </w:r>
    </w:p>
    <w:p>
      <w:pPr>
        <w:pStyle w:val="BodyText"/>
        <w:spacing w:line="480" w:lineRule="auto" w:after="120"/>
        <w:jc w:val="both"/>
      </w:pPr>
      <w:r>
        <w:rPr>
          <w:rFonts w:ascii="Times New Roman" w:hAnsi="Times New Roman" w:cs="Times New Roman" w:eastAsia="Times New Roman"/>
          <w:sz w:val="24"/>
        </w:rPr>
        <w:t xml:space="preserve">The literature for the present chapter has been collected from the libraries of the Department of Education, Meerut College and C.C.S. University Meerut; the N.C.E.R.T. Library, New Delhi; the Maulana Azad Library of A.M.U., Aligarh;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Abstracts</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Sixth Survey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(NCERT, 2007); and online repositories such as Shodhganga, Google Scholar, J-STOR and the open archives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 About sixty studies were initially located, of which the eighteen most relevant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twelve Indian and six foreign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have been included for detailed reporting; a further forty-odd studies are used as supplementary references in the various chapters.</w:t>
      </w:r>
    </w:p>
    <w:bookmarkEnd w:id="47"/>
    <w:bookmarkStart w:id="60" w:name="studies-conducted-in-india"/>
    <w:p>
      <w:pPr>
        <w:pStyle w:val="Heading2"/>
        <w:spacing w:line="360" w:lineRule="auto"/>
        <w:jc w:val="center"/>
      </w:pPr>
      <w:r>
        <w:rPr>
          <w:rFonts w:ascii="Times New Roman" w:hAnsi="Times New Roman" w:cs="Times New Roman" w:eastAsia="Times New Roman"/>
          <w:b/>
          <w:sz w:val="28"/>
        </w:rPr>
        <w:t xml:space="preserve">2.3 Studies Conducted in India</w:t>
      </w:r>
    </w:p>
    <w:bookmarkStart w:id="48" w:name="singh-and-verma-2023"/>
    <w:p>
      <w:pPr>
        <w:pStyle w:val="Heading3"/>
        <w:spacing w:line="360" w:lineRule="auto"/>
        <w:jc w:val="left"/>
      </w:pPr>
      <w:r>
        <w:rPr>
          <w:rFonts w:ascii="Times New Roman" w:hAnsi="Times New Roman" w:cs="Times New Roman" w:eastAsia="Times New Roman"/>
          <w:b/>
          <w:sz w:val="26"/>
        </w:rPr>
        <w:t xml:space="preserve">2.3.1 Singh and Verma (2023)</w:t>
      </w:r>
    </w:p>
    <w:p>
      <w:pPr>
        <w:pStyle w:val="FirstParagraph"/>
        <w:spacing w:line="480" w:lineRule="auto" w:after="120"/>
        <w:jc w:val="both"/>
      </w:pPr>
      <w:r>
        <w:rPr>
          <w:rFonts w:ascii="Times New Roman" w:hAnsi="Times New Roman" w:cs="Times New Roman" w:eastAsia="Times New Roman"/>
          <w:i/>
          <w:iCs/>
          <w:sz w:val="24"/>
        </w:rPr>
        <w:t xml:space="preserve">A study of vocational interests of secondary school students in relation to gender and 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200 students (100 boys + 100 girls) of Classes IX–X of four schools of Lucknow, using 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obtained significantly higher means than girls on Scientific, Executive, Constructive and Agricultural areas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3.18 to 5.42,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&lt; 0.01); girls scored higher on Literary, Artistic, Social and Household; urban students were higher than rural on Scientific and Executive interest, rural higher on Agricultural and Constructive. The investigators concluded that vocational interests of Lucknow secondary students continue to follow a distinctly gender-typed pattern.</w:t>
      </w:r>
    </w:p>
    <w:bookmarkEnd w:id="48"/>
    <w:bookmarkStart w:id="49" w:name="sharma-2022"/>
    <w:p>
      <w:pPr>
        <w:pStyle w:val="Heading3"/>
        <w:spacing w:line="360" w:lineRule="auto"/>
        <w:jc w:val="left"/>
      </w:pPr>
      <w:r>
        <w:rPr>
          <w:rFonts w:ascii="Times New Roman" w:hAnsi="Times New Roman" w:cs="Times New Roman" w:eastAsia="Times New Roman"/>
          <w:b/>
          <w:sz w:val="26"/>
        </w:rPr>
        <w:t xml:space="preserve">2.3.2 Sharma (2022)</w:t>
      </w:r>
    </w:p>
    <w:p>
      <w:pPr>
        <w:pStyle w:val="FirstParagraph"/>
        <w:spacing w:line="480" w:lineRule="auto" w:after="120"/>
        <w:jc w:val="both"/>
      </w:pPr>
      <w:r>
        <w:rPr>
          <w:rFonts w:ascii="Times New Roman" w:hAnsi="Times New Roman" w:cs="Times New Roman" w:eastAsia="Times New Roman"/>
          <w:i/>
          <w:iCs/>
          <w:sz w:val="24"/>
        </w:rPr>
        <w:t xml:space="preserve">A comparative study of the vocational interests of male and female adolescents of Government schools of Haryana.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160 students of Class IX from eight Government schools of Karnal District, using Vohra’s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 Interest Schedule (CIS)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preferred Technical, Outdoor, Commercial and Persuasive vocations; girls preferred Literary, Fine Arts, Social Service and Household vocations;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on six of the ten areas were significant at the 0.01 level. The author argued the pattern reflects deeply embedded socialisation rather than ability differences and recommended sustained career counselling.</w:t>
      </w:r>
    </w:p>
    <w:bookmarkEnd w:id="49"/>
    <w:bookmarkStart w:id="50" w:name="pandey-and-tripathi-2022"/>
    <w:p>
      <w:pPr>
        <w:pStyle w:val="Heading3"/>
        <w:spacing w:line="360" w:lineRule="auto"/>
        <w:jc w:val="left"/>
      </w:pPr>
      <w:r>
        <w:rPr>
          <w:rFonts w:ascii="Times New Roman" w:hAnsi="Times New Roman" w:cs="Times New Roman" w:eastAsia="Times New Roman"/>
          <w:b/>
          <w:sz w:val="26"/>
        </w:rPr>
        <w:t xml:space="preserve">2.3.3 Pandey and Tripathi (2022)</w:t>
      </w:r>
    </w:p>
    <w:p>
      <w:pPr>
        <w:pStyle w:val="FirstParagraph"/>
        <w:spacing w:line="480" w:lineRule="auto" w:after="120"/>
        <w:jc w:val="both"/>
      </w:pPr>
      <w:r>
        <w:rPr>
          <w:rFonts w:ascii="Times New Roman" w:hAnsi="Times New Roman" w:cs="Times New Roman" w:eastAsia="Times New Roman"/>
          <w:i/>
          <w:iCs/>
          <w:sz w:val="24"/>
        </w:rPr>
        <w:t xml:space="preserve">Vocational interest and academic stream choice among adolescents of Varanasi.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Survey-cum-correlational study on 240 students (120 + 120) of Class XI from six C.B.S.E. and U.P. Board schools of Varanasi, using Kulshrestha’s V.I.R. and a self-developed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Stream-Choice Information Sheet</w:t>
      </w:r>
      <w:r>
        <w:rPr>
          <w:rFonts w:ascii="Times New Roman" w:hAnsi="Times New Roman" w:cs="Times New Roman" w:eastAsia="Times New Roman"/>
          <w:sz w:val="24"/>
        </w:rPr>
        <w:t xml:space="preserve">; analysis through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Chi-square.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significant association was found between dominant interest area and the stream actually chosen — 158 of the 240 students (65.8 %) had made stream choices broadly congruent with their measured interests. Girls were over-represented in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“mismatch”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group, especially when their dominant interest was Scientific or Technical but they had been pushed towards Arts.</w:t>
      </w:r>
    </w:p>
    <w:bookmarkEnd w:id="50"/>
    <w:bookmarkStart w:id="51" w:name="reddy-and-kumar-2021"/>
    <w:p>
      <w:pPr>
        <w:pStyle w:val="Heading3"/>
        <w:spacing w:line="360" w:lineRule="auto"/>
        <w:jc w:val="left"/>
      </w:pPr>
      <w:r>
        <w:rPr>
          <w:rFonts w:ascii="Times New Roman" w:hAnsi="Times New Roman" w:cs="Times New Roman" w:eastAsia="Times New Roman"/>
          <w:b/>
          <w:sz w:val="26"/>
        </w:rPr>
        <w:t xml:space="preserve">2.3.4 Reddy and Kumar (2021)</w:t>
      </w:r>
    </w:p>
    <w:p>
      <w:pPr>
        <w:pStyle w:val="FirstParagraph"/>
        <w:spacing w:line="480" w:lineRule="auto" w:after="120"/>
        <w:jc w:val="both"/>
      </w:pPr>
      <w:r>
        <w:rPr>
          <w:rFonts w:ascii="Times New Roman" w:hAnsi="Times New Roman" w:cs="Times New Roman" w:eastAsia="Times New Roman"/>
          <w:i/>
          <w:iCs/>
          <w:sz w:val="24"/>
        </w:rPr>
        <w:t xml:space="preserve">Gender differences in vocational interests of secondary school students of Telangana.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300 students (150 + 150) of Classes IX–X drawn from twelve schools of Hyderabad and Warangal, using Kulshrestha’s V.I.R.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obtained significantly higher means on Scientific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4.62), Executive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3.09), Constructive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5.81), Agricultural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3.21) and Persuasive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2.95); girls scored higher on Literary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3.74), Artistic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5.10), Social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4.21) and Household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7.95). The Commercial area alone yielded no significant gender difference. The authors concluded that the gender-typed pattern remains entrenched even in the technologically advanced Hyderabad region.</w:t>
      </w:r>
    </w:p>
    <w:bookmarkEnd w:id="51"/>
    <w:bookmarkStart w:id="52" w:name="gupta-and-saxena-2021"/>
    <w:p>
      <w:pPr>
        <w:pStyle w:val="Heading3"/>
        <w:spacing w:line="360" w:lineRule="auto"/>
        <w:jc w:val="left"/>
      </w:pPr>
      <w:r>
        <w:rPr>
          <w:rFonts w:ascii="Times New Roman" w:hAnsi="Times New Roman" w:cs="Times New Roman" w:eastAsia="Times New Roman"/>
          <w:b/>
          <w:sz w:val="26"/>
        </w:rPr>
        <w:t xml:space="preserve">2.3.5 Gupta and Saxena (2021)</w:t>
      </w:r>
    </w:p>
    <w:p>
      <w:pPr>
        <w:pStyle w:val="FirstParagraph"/>
        <w:spacing w:line="480" w:lineRule="auto" w:after="120"/>
        <w:jc w:val="both"/>
      </w:pPr>
      <w:r>
        <w:rPr>
          <w:rFonts w:ascii="Times New Roman" w:hAnsi="Times New Roman" w:cs="Times New Roman" w:eastAsia="Times New Roman"/>
          <w:i/>
          <w:iCs/>
          <w:sz w:val="24"/>
        </w:rPr>
        <w:t xml:space="preserve">Vocational interests of adolescents of Western Uttar Pradesh: A 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with multi-stage random sampling, on 480 students (240 + 240) of Classes IX–XI of Meerut, Bulandshahr and Saharanpur districts, using Kulshrestha’s V.I.R. and a brief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Background Information Schedule</w:t>
      </w:r>
      <w:r>
        <w:rPr>
          <w:rFonts w:ascii="Times New Roman" w:hAnsi="Times New Roman" w:cs="Times New Roman" w:eastAsia="Times New Roman"/>
          <w:sz w:val="24"/>
        </w:rPr>
        <w:t xml:space="preserve">; analysed by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ANOVA.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nine of ten areas were significantly gender-differentiated; boys of Western U.P. were highest on Constructive and Agricultural (the latter strikingly so in rural areas), girls highest on Household and Artistic. The pattern in Meerut District was consistent with the larger Western U.P. trend, providing direct contextual support for the present investigation.</w:t>
      </w:r>
    </w:p>
    <w:bookmarkEnd w:id="52"/>
    <w:bookmarkStart w:id="53" w:name="joshi-2020"/>
    <w:p>
      <w:pPr>
        <w:pStyle w:val="Heading3"/>
        <w:spacing w:line="360" w:lineRule="auto"/>
        <w:jc w:val="left"/>
      </w:pPr>
      <w:r>
        <w:rPr>
          <w:rFonts w:ascii="Times New Roman" w:hAnsi="Times New Roman" w:cs="Times New Roman" w:eastAsia="Times New Roman"/>
          <w:b/>
          <w:sz w:val="26"/>
        </w:rPr>
        <w:t xml:space="preserve">2.3.6 Joshi (2020)</w:t>
      </w:r>
    </w:p>
    <w:p>
      <w:pPr>
        <w:pStyle w:val="FirstParagraph"/>
        <w:spacing w:line="480" w:lineRule="auto" w:after="120"/>
        <w:jc w:val="both"/>
      </w:pPr>
      <w:r>
        <w:rPr>
          <w:rFonts w:ascii="Times New Roman" w:hAnsi="Times New Roman" w:cs="Times New Roman" w:eastAsia="Times New Roman"/>
          <w:i/>
          <w:iCs/>
          <w:sz w:val="24"/>
        </w:rPr>
        <w:t xml:space="preserve">Vocational interests of adolescents of Government and Private schools of Dehradun.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200 students (100 + 100) of secondary level using Kulshrestha’s V.I.R.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seven of the ten areas yielded significant gender differences; Private school adolescents scored higher on Scientific, Executive and Persuasive areas, Government school adolescents on Agricultural and Household. The author related the school-type differences to differences in family socio-economic background and the quality of co-curricular exposure available in the two types of schools — a finding directly relevant to the present study.</w:t>
      </w:r>
    </w:p>
    <w:bookmarkEnd w:id="53"/>
    <w:bookmarkStart w:id="54" w:name="roy-and-banerjee-2020"/>
    <w:p>
      <w:pPr>
        <w:pStyle w:val="Heading3"/>
        <w:spacing w:line="360" w:lineRule="auto"/>
        <w:jc w:val="left"/>
      </w:pPr>
      <w:r>
        <w:rPr>
          <w:rFonts w:ascii="Times New Roman" w:hAnsi="Times New Roman" w:cs="Times New Roman" w:eastAsia="Times New Roman"/>
          <w:b/>
          <w:sz w:val="26"/>
        </w:rPr>
        <w:t xml:space="preserve">2.3.7 Roy and Banerjee (2020)</w:t>
      </w:r>
    </w:p>
    <w:p>
      <w:pPr>
        <w:pStyle w:val="FirstParagraph"/>
        <w:spacing w:line="480" w:lineRule="auto" w:after="120"/>
        <w:jc w:val="both"/>
      </w:pPr>
      <w:r>
        <w:rPr>
          <w:rFonts w:ascii="Times New Roman" w:hAnsi="Times New Roman" w:cs="Times New Roman" w:eastAsia="Times New Roman"/>
          <w:i/>
          <w:iCs/>
          <w:sz w:val="24"/>
        </w:rPr>
        <w:t xml:space="preserve">A study of the vocational interests of higher secondary students in relation to gender and academic stream.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Descriptive-comparative survey on 360 students of Class XI from Government and aided schools of Kolkata, using Vohra’s CIS; analysed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w:t>
      </w:r>
      <w:r>
        <w:rPr>
          <w:rFonts w:ascii="Times New Roman" w:hAnsi="Times New Roman" w:cs="Times New Roman" w:eastAsia="Times New Roman"/>
          <w:sz w:val="24"/>
        </w:rPr>
        <w:t xml:space="preserve">-test.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were significantly higher on Mechanical, Outdoor and Computational areas; girls on Literary, Aesthetic, Humanitarian and Household areas. Science-stream students obtained higher Scientific scores, Commerce students higher Commercial and Persuasive scores, Arts students higher Literary, Aesthetic and Humanitarian scores. The findings underline the value of using interest measurement as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aid to stream allocation</w:t>
      </w:r>
      <w:r>
        <w:rPr>
          <w:rFonts w:ascii="Times New Roman" w:hAnsi="Times New Roman" w:cs="Times New Roman" w:eastAsia="Times New Roman"/>
          <w:sz w:val="24"/>
        </w:rPr>
        <w:t xml:space="preserve">.</w:t>
      </w:r>
    </w:p>
    <w:bookmarkEnd w:id="54"/>
    <w:bookmarkStart w:id="55" w:name="mehta-2019"/>
    <w:p>
      <w:pPr>
        <w:pStyle w:val="Heading3"/>
        <w:spacing w:line="360" w:lineRule="auto"/>
        <w:jc w:val="left"/>
      </w:pPr>
      <w:r>
        <w:rPr>
          <w:rFonts w:ascii="Times New Roman" w:hAnsi="Times New Roman" w:cs="Times New Roman" w:eastAsia="Times New Roman"/>
          <w:b/>
          <w:sz w:val="26"/>
        </w:rPr>
        <w:t xml:space="preserve">2.3.8 Mehta (2019)</w:t>
      </w:r>
    </w:p>
    <w:p>
      <w:pPr>
        <w:pStyle w:val="FirstParagraph"/>
        <w:spacing w:line="480" w:lineRule="auto" w:after="120"/>
        <w:jc w:val="both"/>
      </w:pPr>
      <w:r>
        <w:rPr>
          <w:rFonts w:ascii="Times New Roman" w:hAnsi="Times New Roman" w:cs="Times New Roman" w:eastAsia="Times New Roman"/>
          <w:i/>
          <w:iCs/>
          <w:sz w:val="24"/>
        </w:rPr>
        <w:t xml:space="preserve">Vocational interests of secondary school students of Rajasthan: A 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200 students of Class X using Kulshrestha’s V.I.R.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were highest on Scientific and Executive, girls on Household, Artistic and Social;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on eight of the ten areas were statistically significant. The investigator concluded that the gender-typed interest pattern is largely consistent across the various states of North India and that Rajasthan, despite its relative social conservatism, is not very different from Uttar Pradesh in this respect.</w:t>
      </w:r>
    </w:p>
    <w:bookmarkEnd w:id="55"/>
    <w:bookmarkStart w:id="56" w:name="khan-and-ali-2018"/>
    <w:p>
      <w:pPr>
        <w:pStyle w:val="Heading3"/>
        <w:spacing w:line="360" w:lineRule="auto"/>
        <w:jc w:val="left"/>
      </w:pPr>
      <w:r>
        <w:rPr>
          <w:rFonts w:ascii="Times New Roman" w:hAnsi="Times New Roman" w:cs="Times New Roman" w:eastAsia="Times New Roman"/>
          <w:b/>
          <w:sz w:val="26"/>
        </w:rPr>
        <w:t xml:space="preserve">2.3.9 Khan and Ali (2018)</w:t>
      </w:r>
    </w:p>
    <w:p>
      <w:pPr>
        <w:pStyle w:val="FirstParagraph"/>
        <w:spacing w:line="480" w:lineRule="auto" w:after="120"/>
        <w:jc w:val="both"/>
      </w:pPr>
      <w:r>
        <w:rPr>
          <w:rFonts w:ascii="Times New Roman" w:hAnsi="Times New Roman" w:cs="Times New Roman" w:eastAsia="Times New Roman"/>
          <w:i/>
          <w:iCs/>
          <w:sz w:val="24"/>
        </w:rPr>
        <w:t xml:space="preserve">Career aspirations and vocational interests of Muslim adolescents of Aligarh.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150 students (75 + 75) of A.M.U. Boys’ and Girls’ High Schools, using Kulshrestha’s V.I.R. 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Aspiration Inventory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aspirations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covered a wide spectrum (engineering, medicine, civil services, business, teaching), but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revealed the familiar gender-typed pattern. An interesting subsidiary finding was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aspiration and measured interest was wider in girls than in boys, suggesting greater social pressure on girls’ choices.</w:t>
      </w:r>
    </w:p>
    <w:bookmarkEnd w:id="56"/>
    <w:bookmarkStart w:id="57" w:name="chaudhary-2018"/>
    <w:p>
      <w:pPr>
        <w:pStyle w:val="Heading3"/>
        <w:spacing w:line="360" w:lineRule="auto"/>
        <w:jc w:val="left"/>
      </w:pPr>
      <w:r>
        <w:rPr>
          <w:rFonts w:ascii="Times New Roman" w:hAnsi="Times New Roman" w:cs="Times New Roman" w:eastAsia="Times New Roman"/>
          <w:b/>
          <w:sz w:val="26"/>
        </w:rPr>
        <w:t xml:space="preserve">2.3.10 Chaudhary (2018)</w:t>
      </w:r>
    </w:p>
    <w:p>
      <w:pPr>
        <w:pStyle w:val="FirstParagraph"/>
        <w:spacing w:line="480" w:lineRule="auto" w:after="120"/>
        <w:jc w:val="both"/>
      </w:pPr>
      <w:r>
        <w:rPr>
          <w:rFonts w:ascii="Times New Roman" w:hAnsi="Times New Roman" w:cs="Times New Roman" w:eastAsia="Times New Roman"/>
          <w:i/>
          <w:iCs/>
          <w:sz w:val="24"/>
        </w:rPr>
        <w:t xml:space="preserve">A comparative study of vocational interests of rural and urban secondary school students of Western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with multi-stage stratified sampling, on 240 students (60 rural boys + 60 rural girls + 60 urban boys + 60 urban girls) of Classes IX–X of Meerut and Muzaffarnagar, using Kulshrestha’s V.I.R.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students were significantly higher on Scientific, Executive and Commercial; rural students on Agricultural, Constructive and Household; boys higher on Scientific, Executive, Constructive and Agricultural; girls higher on Literary, Artistic, Social and Household. The findings provide direct background support for the present study and confirm the relevance of the gender-typed hypothesis in the Meerut region.</w:t>
      </w:r>
    </w:p>
    <w:bookmarkEnd w:id="57"/>
    <w:bookmarkStart w:id="58" w:name="mishra-2017"/>
    <w:p>
      <w:pPr>
        <w:pStyle w:val="Heading3"/>
        <w:spacing w:line="360" w:lineRule="auto"/>
        <w:jc w:val="left"/>
      </w:pPr>
      <w:r>
        <w:rPr>
          <w:rFonts w:ascii="Times New Roman" w:hAnsi="Times New Roman" w:cs="Times New Roman" w:eastAsia="Times New Roman"/>
          <w:b/>
          <w:sz w:val="26"/>
        </w:rPr>
        <w:t xml:space="preserve">2.3.11 Mishra (2017)</w:t>
      </w:r>
    </w:p>
    <w:p>
      <w:pPr>
        <w:pStyle w:val="FirstParagraph"/>
        <w:spacing w:line="480" w:lineRule="auto" w:after="120"/>
        <w:jc w:val="both"/>
      </w:pPr>
      <w:r>
        <w:rPr>
          <w:rFonts w:ascii="Times New Roman" w:hAnsi="Times New Roman" w:cs="Times New Roman" w:eastAsia="Times New Roman"/>
          <w:i/>
          <w:iCs/>
          <w:sz w:val="24"/>
        </w:rPr>
        <w:t xml:space="preserve">Vocational interests of adolescents in relation to socio-economic status and 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300 secondary level students (150 + 150) of Allahabad (Prayagraj), using Kulshrestha’s V.I.R. and Kuppuswamy’s S.E.S. Scale (Revised, 2014); analysed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Two-way ANOVA.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gender and S.E.S. exerted significant main effects on vocational interest. High-S.E.S. students were higher on Scientific and Persuasive, low-S.E.S. students on Constructive, Agricultural and Household.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 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interaction was significant on Scientific and Household areas, suggesting that the effect of social class on vocational interest is somewhat different in boys and girls.</w:t>
      </w:r>
    </w:p>
    <w:bookmarkEnd w:id="58"/>
    <w:bookmarkStart w:id="59" w:name="yadav-2016"/>
    <w:p>
      <w:pPr>
        <w:pStyle w:val="Heading3"/>
        <w:spacing w:line="360" w:lineRule="auto"/>
        <w:jc w:val="left"/>
      </w:pPr>
      <w:r>
        <w:rPr>
          <w:rFonts w:ascii="Times New Roman" w:hAnsi="Times New Roman" w:cs="Times New Roman" w:eastAsia="Times New Roman"/>
          <w:b/>
          <w:sz w:val="26"/>
        </w:rPr>
        <w:t xml:space="preserve">2.3.12 Yadav (2016)</w:t>
      </w:r>
    </w:p>
    <w:p>
      <w:pPr>
        <w:pStyle w:val="FirstParagraph"/>
        <w:spacing w:line="480" w:lineRule="auto" w:after="120"/>
        <w:jc w:val="both"/>
      </w:pPr>
      <w:r>
        <w:rPr>
          <w:rFonts w:ascii="Times New Roman" w:hAnsi="Times New Roman" w:cs="Times New Roman" w:eastAsia="Times New Roman"/>
          <w:i/>
          <w:iCs/>
          <w:sz w:val="24"/>
        </w:rPr>
        <w:t xml:space="preserve">A comparative study of the vocational interests of secondary school boys and girls of Government and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on 200 students of Classes IX–X, using Kulshrestha’s V.I.R.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six of ten areas showed significant gender differences; Private school students were higher on Scientific, Executive and Commercial, Government school students higher on Agricultural and Household. The pattern reported by Yadav for Meerut District nearly a decade ago is the most directly comparable Indian study to the present investigation.</w:t>
      </w:r>
    </w:p>
    <w:bookmarkEnd w:id="59"/>
    <w:bookmarkEnd w:id="60"/>
    <w:bookmarkStart w:id="67" w:name="studies-conducted-abroad"/>
    <w:p>
      <w:pPr>
        <w:pStyle w:val="Heading2"/>
        <w:spacing w:line="360" w:lineRule="auto"/>
        <w:jc w:val="center"/>
      </w:pPr>
      <w:r>
        <w:rPr>
          <w:rFonts w:ascii="Times New Roman" w:hAnsi="Times New Roman" w:cs="Times New Roman" w:eastAsia="Times New Roman"/>
          <w:b/>
          <w:sz w:val="28"/>
        </w:rPr>
        <w:t xml:space="preserve">2.4 Studies Conducted Abroad</w:t>
      </w:r>
    </w:p>
    <w:bookmarkStart w:id="61" w:name="lee-kim-and-park-2023"/>
    <w:p>
      <w:pPr>
        <w:pStyle w:val="Heading3"/>
        <w:spacing w:line="360" w:lineRule="auto"/>
        <w:jc w:val="left"/>
      </w:pPr>
      <w:r>
        <w:rPr>
          <w:rFonts w:ascii="Times New Roman" w:hAnsi="Times New Roman" w:cs="Times New Roman" w:eastAsia="Times New Roman"/>
          <w:b/>
          <w:sz w:val="26"/>
        </w:rPr>
        <w:t xml:space="preserve">2.4.1 Lee, Kim and Park (2023)</w:t>
      </w:r>
    </w:p>
    <w:p>
      <w:pPr>
        <w:pStyle w:val="FirstParagraph"/>
        <w:spacing w:line="480" w:lineRule="auto" w:after="120"/>
        <w:jc w:val="both"/>
      </w:pPr>
      <w:r>
        <w:rPr>
          <w:rFonts w:ascii="Times New Roman" w:hAnsi="Times New Roman" w:cs="Times New Roman" w:eastAsia="Times New Roman"/>
          <w:i/>
          <w:iCs/>
          <w:sz w:val="24"/>
        </w:rPr>
        <w:t xml:space="preserve">Gender gap in adolescents’ STEM career interests: A longitudinal study from South Korea.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Five-wave longitudinal survey on 1,842 Korean adolescents (912 boys + 930 girls), using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Interest Survey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STEM Career Aspiration Scale</w:t>
      </w:r>
      <w:r>
        <w:rPr>
          <w:rFonts w:ascii="Times New Roman" w:hAnsi="Times New Roman" w:cs="Times New Roman" w:eastAsia="Times New Roman"/>
          <w:sz w:val="24"/>
        </w:rPr>
        <w:t xml:space="preserve">; analysed by Repeated-measures ANOVA.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significant gender gap in STEM career interest was already visible at Grade 7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widened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Grade 11. Even after controlling for measured science achievement, girls’ STEM interest was lower. The authors concluded that the gap is largely attributable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differential socialisation, role-model availability and parental encouragement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to ability.</w:t>
      </w:r>
    </w:p>
    <w:bookmarkEnd w:id="61"/>
    <w:bookmarkStart w:id="62" w:name="williams-and-oconnor-2022"/>
    <w:p>
      <w:pPr>
        <w:pStyle w:val="Heading3"/>
        <w:spacing w:line="360" w:lineRule="auto"/>
        <w:jc w:val="left"/>
      </w:pPr>
      <w:r>
        <w:rPr>
          <w:rFonts w:ascii="Times New Roman" w:hAnsi="Times New Roman" w:cs="Times New Roman" w:eastAsia="Times New Roman"/>
          <w:b/>
          <w:sz w:val="26"/>
        </w:rPr>
        <w:t xml:space="preserve">2.4.2 Williams and O’Connor (2022)</w:t>
      </w:r>
    </w:p>
    <w:p>
      <w:pPr>
        <w:pStyle w:val="FirstParagraph"/>
        <w:spacing w:line="480" w:lineRule="auto" w:after="120"/>
        <w:jc w:val="both"/>
      </w:pPr>
      <w:r>
        <w:rPr>
          <w:rFonts w:ascii="Times New Roman" w:hAnsi="Times New Roman" w:cs="Times New Roman" w:eastAsia="Times New Roman"/>
          <w:i/>
          <w:iCs/>
          <w:sz w:val="24"/>
        </w:rPr>
        <w:t xml:space="preserve">Gender differences in Holland’s RIASEC interests of secondary school students of Ireland.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survey on 612 secondary school students (305 boys + 307 girls) of Dublin and Cork, using Holland’s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Self-Directed 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(Form R); analysed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Cohen’s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obtained significantly higher means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types (large effect,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0.85 and 0.62); girls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 yielded the smallest gender difference. The findings replicate earlier U.S. and European studies and remain consistent with Holland’s hexagonal structure.</w:t>
      </w:r>
    </w:p>
    <w:bookmarkEnd w:id="62"/>
    <w:bookmarkStart w:id="63" w:name="al-mutairi-and-al-hassan-2021"/>
    <w:p>
      <w:pPr>
        <w:pStyle w:val="Heading3"/>
        <w:spacing w:line="360" w:lineRule="auto"/>
        <w:jc w:val="left"/>
      </w:pPr>
      <w:r>
        <w:rPr>
          <w:rFonts w:ascii="Times New Roman" w:hAnsi="Times New Roman" w:cs="Times New Roman" w:eastAsia="Times New Roman"/>
          <w:b/>
          <w:sz w:val="26"/>
        </w:rPr>
        <w:t xml:space="preserve">2.4.3 Al-Mutairi and Al-Hassan (2021)</w:t>
      </w:r>
    </w:p>
    <w:p>
      <w:pPr>
        <w:pStyle w:val="FirstParagraph"/>
        <w:spacing w:line="480" w:lineRule="auto" w:after="120"/>
        <w:jc w:val="both"/>
      </w:pPr>
      <w:r>
        <w:rPr>
          <w:rFonts w:ascii="Times New Roman" w:hAnsi="Times New Roman" w:cs="Times New Roman" w:eastAsia="Times New Roman"/>
          <w:i/>
          <w:iCs/>
          <w:sz w:val="24"/>
        </w:rPr>
        <w:t xml:space="preserve">Vocational interests of high school students in the Kingdom of Saudi Arabia in relation to 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survey on 480 students (240 + 240) of Grade 10 from Riyadh, using an Arabic adaptation of Holland’s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Self-Directed 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male students scored higher on Realistic, Investigative and Enterprising themes; female students scored higher on Social, Artistic and Conventional themes. The pattern was almost identical to that reported in non-Arab samples, indicating considerable cross-cultural similarity in the gender-typed RIASEC pattern.</w:t>
      </w:r>
    </w:p>
    <w:bookmarkEnd w:id="63"/>
    <w:bookmarkStart w:id="64" w:name="watt-eccles-and-durik-2020"/>
    <w:p>
      <w:pPr>
        <w:pStyle w:val="Heading3"/>
        <w:spacing w:line="360" w:lineRule="auto"/>
        <w:jc w:val="left"/>
      </w:pPr>
      <w:r>
        <w:rPr>
          <w:rFonts w:ascii="Times New Roman" w:hAnsi="Times New Roman" w:cs="Times New Roman" w:eastAsia="Times New Roman"/>
          <w:b/>
          <w:sz w:val="26"/>
        </w:rPr>
        <w:t xml:space="preserve">2.4.4 Watt, Eccles and Durik (2020)</w:t>
      </w:r>
    </w:p>
    <w:p>
      <w:pPr>
        <w:pStyle w:val="FirstParagraph"/>
        <w:spacing w:line="480" w:lineRule="auto" w:after="120"/>
        <w:jc w:val="both"/>
      </w:pPr>
      <w:r>
        <w:rPr>
          <w:rFonts w:ascii="Times New Roman" w:hAnsi="Times New Roman" w:cs="Times New Roman" w:eastAsia="Times New Roman"/>
          <w:i/>
          <w:iCs/>
          <w:sz w:val="24"/>
        </w:rPr>
        <w:t xml:space="preserve">Gendered motivations for choosing maths-related careers: A 25-year follow-up.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Longitudinal panel study on 1,323 American adolescents followed from Grade 9 to age 35, using Eccles’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Expectancy-Value Inventory</w:t>
      </w:r>
      <w:r>
        <w:rPr>
          <w:rFonts w:ascii="Times New Roman" w:hAnsi="Times New Roman" w:cs="Times New Roman" w:eastAsia="Times New Roman"/>
          <w:sz w:val="24"/>
        </w:rPr>
        <w:t xml:space="preserve">; analysed by structural equation modelling.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despite comparable mathematical ability, girls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likely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to enter maths-intensive careers; girls’ expectation of success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task 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maths declined faster across adolescence, leading to differential career trajectories. The authors emphasised the role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gender-stereotyped beliefs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called for sustained interventions in early secondary schooling.</w:t>
      </w:r>
    </w:p>
    <w:bookmarkEnd w:id="64"/>
    <w:bookmarkStart w:id="65" w:name="su-rounds-and-armstrong-2009"/>
    <w:p>
      <w:pPr>
        <w:pStyle w:val="Heading3"/>
        <w:spacing w:line="360" w:lineRule="auto"/>
        <w:jc w:val="left"/>
      </w:pPr>
      <w:r>
        <w:rPr>
          <w:rFonts w:ascii="Times New Roman" w:hAnsi="Times New Roman" w:cs="Times New Roman" w:eastAsia="Times New Roman"/>
          <w:b/>
          <w:sz w:val="26"/>
        </w:rPr>
        <w:t xml:space="preserve">2.4.5 Su, Rounds and Armstrong (2009)</w:t>
      </w:r>
    </w:p>
    <w:p>
      <w:pPr>
        <w:pStyle w:val="FirstParagraph"/>
        <w:spacing w:line="480" w:lineRule="auto" w:after="120"/>
        <w:jc w:val="both"/>
      </w:pPr>
      <w:r>
        <w:rPr>
          <w:rFonts w:ascii="Times New Roman" w:hAnsi="Times New Roman" w:cs="Times New Roman" w:eastAsia="Times New Roman"/>
          <w:i/>
          <w:iCs/>
          <w:sz w:val="24"/>
        </w:rPr>
        <w:t xml:space="preserve">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Meta-analysis of 503,188 individuals across 47 interest inventories, using Cohen’s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large gender difference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0.93) was found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 vs. 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with men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(Realistic, Engineering, Mechanical) and women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(Social, Artistic, Health-related); differences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Data vs. Ideas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were small. The meta-analysis is one of the most authoritative summaries of the gender pattern in the world literature.</w:t>
      </w:r>
    </w:p>
    <w:bookmarkEnd w:id="65"/>
    <w:bookmarkStart w:id="66" w:name="holland-powell-and-fritzsche-1994"/>
    <w:p>
      <w:pPr>
        <w:pStyle w:val="Heading3"/>
        <w:spacing w:line="360" w:lineRule="auto"/>
        <w:jc w:val="left"/>
      </w:pPr>
      <w:r>
        <w:rPr>
          <w:rFonts w:ascii="Times New Roman" w:hAnsi="Times New Roman" w:cs="Times New Roman" w:eastAsia="Times New Roman"/>
          <w:b/>
          <w:sz w:val="26"/>
        </w:rPr>
        <w:t xml:space="preserve">2.4.6 Holland, Powell and Fritzsche (1994)</w:t>
      </w:r>
    </w:p>
    <w:p>
      <w:pPr>
        <w:pStyle w:val="FirstParagraph"/>
        <w:spacing w:line="480" w:lineRule="auto" w:after="120"/>
        <w:jc w:val="both"/>
      </w:pPr>
      <w:r>
        <w:rPr>
          <w:rFonts w:ascii="Times New Roman" w:hAnsi="Times New Roman" w:cs="Times New Roman" w:eastAsia="Times New Roman"/>
          <w:i/>
          <w:iCs/>
          <w:sz w:val="24"/>
        </w:rPr>
        <w:t xml:space="preserve">Self-Directed Search Professional User’s Guide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classical reference summarising a long programme of empirical research on the RIASEC structure. The Manual reports systematic gender differences on Realistic, Artistic, Social and Conventional themes and has provided the conceptual scaffold for subsequent empirical studies of gender differences in vocational interest.</w:t>
      </w:r>
    </w:p>
    <w:bookmarkEnd w:id="66"/>
    <w:bookmarkEnd w:id="67"/>
    <w:bookmarkStart w:id="68" w:name="Xbcc38ebccbd7e5ebf2399a0a2aa8cad147c9b10"/>
    <w:p>
      <w:pPr>
        <w:pStyle w:val="Heading2"/>
        <w:spacing w:line="360" w:lineRule="auto"/>
        <w:jc w:val="center"/>
      </w:pPr>
      <w:r>
        <w:rPr>
          <w:rFonts w:ascii="Times New Roman" w:hAnsi="Times New Roman" w:cs="Times New Roman" w:eastAsia="Times New Roman"/>
          <w:b/>
          <w:sz w:val="28"/>
        </w:rPr>
        <w:t xml:space="preserve">2.5 Critical Appraisal of the Reviewed Literature</w:t>
      </w:r>
    </w:p>
    <w:p>
      <w:pPr>
        <w:pStyle w:val="FirstParagraph"/>
        <w:spacing w:line="480" w:lineRule="auto" w:after="120"/>
        <w:jc w:val="both"/>
      </w:pPr>
      <w:r>
        <w:rPr>
          <w:rFonts w:ascii="Times New Roman" w:hAnsi="Times New Roman" w:cs="Times New Roman" w:eastAsia="Times New Roman"/>
          <w:sz w:val="24"/>
        </w:rPr>
        <w:t xml:space="preserve">A careful examination of the eighteen studies reviewed above leads to the following observations:</w:t>
      </w:r>
    </w:p>
    <w:p>
      <w:pPr>
        <w:pStyle w:val="BodyText"/>
        <w:spacing w:line="480" w:lineRule="auto" w:after="120"/>
        <w:jc w:val="both"/>
      </w:pPr>
      <w:r>
        <w:rPr>
          <w:rFonts w:ascii="Times New Roman" w:hAnsi="Times New Roman" w:cs="Times New Roman" w:eastAsia="Times New Roman"/>
          <w:b/>
          <w:bCs/>
          <w:sz w:val="24"/>
        </w:rPr>
        <w:t xml:space="preserve">(a) Consistency of the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diverse cultures, decades, samples and tools, a remarkably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pattern of vocational interest has emerged. Boys/men tend to be higher on Scientific/Investigative, Mechanical/Realistic/Constructive, Outdoor/Agricultural and Persuasive/Enterprising areas; girls/women on Literary, Artistic, Social and Household/Conventional areas. The Su, Rounds and Armstrong (2009) meta-analysis on more than half a million respondents establishes this with rare statistical robustness.</w:t>
      </w:r>
    </w:p>
    <w:p>
      <w:pPr>
        <w:pStyle w:val="BodyText"/>
        <w:spacing w:line="480" w:lineRule="auto" w:after="120"/>
        <w:jc w:val="both"/>
      </w:pPr>
      <w:r>
        <w:rPr>
          <w:rFonts w:ascii="Times New Roman" w:hAnsi="Times New Roman" w:cs="Times New Roman" w:eastAsia="Times New Roman"/>
          <w:b/>
          <w:bCs/>
          <w:sz w:val="24"/>
        </w:rPr>
        <w:t xml:space="preserve">(b) Indian replication.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studies — from Asthana (1973) and Chauhan (1976) right up to Singh and Verma (2023) — consistently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replicate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international pattern. Earlier formulations may use slightly different labels (e.g., Mechanical / Outdoor / Computational instead of RIASEC) but the underlying picture is unmistakably the same.</w:t>
      </w:r>
    </w:p>
    <w:p>
      <w:pPr>
        <w:pStyle w:val="BodyText"/>
        <w:spacing w:line="480" w:lineRule="auto" w:after="120"/>
        <w:jc w:val="both"/>
      </w:pPr>
      <w:r>
        <w:rPr>
          <w:rFonts w:ascii="Times New Roman" w:hAnsi="Times New Roman" w:cs="Times New Roman" w:eastAsia="Times New Roman"/>
          <w:b/>
          <w:bCs/>
          <w:sz w:val="24"/>
        </w:rPr>
        <w:t xml:space="preserve">(c) Locality and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studies that have examined locality (rural vs. urban) and management (Government vs. Private) report systematic differences.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 higher on Agricultural, Constructive and Household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higher on Scientific, Executive, Commercial and Persuasive interests. The two sample schools of the present study lie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opposite 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these continua: a Government rural school for boys and a Private urban CBSE school for girls. This contrast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deliberate maximisation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context — any gender difference that survives this maximum-contrast design can be regarded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genuinely robust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w:t>
      </w:r>
    </w:p>
    <w:p>
      <w:pPr>
        <w:pStyle w:val="BodyText"/>
        <w:spacing w:line="480" w:lineRule="auto" w:after="120"/>
        <w:jc w:val="both"/>
      </w:pPr>
      <w:r>
        <w:rPr>
          <w:rFonts w:ascii="Times New Roman" w:hAnsi="Times New Roman" w:cs="Times New Roman" w:eastAsia="Times New Roman"/>
          <w:b/>
          <w:bCs/>
          <w:sz w:val="24"/>
        </w:rPr>
        <w:t xml:space="preserve">(d) Methodology and 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Indian studies have used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design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ANOVA, the Kulshrestha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Vohra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being the most widely used tools. Sample sizes have ranged from 100 to 600. The present study, with N = 40, is at the smaller end of this range — a delimitation imposed by the M.Ed. nature of the work.</w:t>
      </w:r>
    </w:p>
    <w:p>
      <w:pPr>
        <w:pStyle w:val="BodyText"/>
        <w:spacing w:line="480" w:lineRule="auto" w:after="120"/>
        <w:jc w:val="both"/>
      </w:pPr>
      <w:r>
        <w:rPr>
          <w:rFonts w:ascii="Times New Roman" w:hAnsi="Times New Roman" w:cs="Times New Roman" w:eastAsia="Times New Roman"/>
          <w:b/>
          <w:bCs/>
          <w:sz w:val="24"/>
        </w:rPr>
        <w:t xml:space="preserve">(e) Stability over 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Studies separated by 30 to 40 years show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but real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changes. The gender gap on Scientific interest has narrowed somewhat over the decades, especially in urban samples; the gap on Household interest has remained essentially constant. The persistence of the pattern despite four decades of social change points to deeply rooted socialisation processes.</w:t>
      </w:r>
    </w:p>
    <w:p>
      <w:pPr>
        <w:pStyle w:val="BodyText"/>
        <w:spacing w:line="480" w:lineRule="auto" w:after="120"/>
        <w:jc w:val="both"/>
      </w:pPr>
      <w:r>
        <w:rPr>
          <w:rFonts w:ascii="Times New Roman" w:hAnsi="Times New Roman" w:cs="Times New Roman" w:eastAsia="Times New Roman"/>
          <w:b/>
          <w:bCs/>
          <w:sz w:val="24"/>
        </w:rPr>
        <w:t xml:space="preserve">(f) Theoretical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studies have been generally weak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 interpretation</w:t>
      </w:r>
      <w:r>
        <w:rPr>
          <w:rFonts w:ascii="Times New Roman" w:hAnsi="Times New Roman" w:cs="Times New Roman" w:eastAsia="Times New Roman"/>
          <w:sz w:val="24"/>
        </w:rPr>
        <w:t xml:space="preserve">. Most simply report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without discussing whether the gender differences reflect biological predisposition, social stereotyping, differential exposure or differential opportunity. The present study attempts a modest improvement by interpreting the findings against the background of Super’s, Holland’s and Eccles’ theoretical frameworks.</w:t>
      </w:r>
    </w:p>
    <w:p>
      <w:pPr>
        <w:pStyle w:val="BodyText"/>
        <w:spacing w:line="480" w:lineRule="auto" w:after="120"/>
        <w:jc w:val="both"/>
      </w:pPr>
      <w:r>
        <w:rPr>
          <w:rFonts w:ascii="Times New Roman" w:hAnsi="Times New Roman" w:cs="Times New Roman" w:eastAsia="Times New Roman"/>
          <w:b/>
          <w:bCs/>
          <w:sz w:val="24"/>
        </w:rPr>
        <w:t xml:space="preserve">(g) Limits of small-sample M.Ed. studies.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Small-sample local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the present one have an honourable place in the M.Ed. tradition, but their findings should be regarded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suggestive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generalisable</w:t>
      </w:r>
      <w:r>
        <w:rPr>
          <w:rFonts w:ascii="Times New Roman" w:hAnsi="Times New Roman" w:cs="Times New Roman" w:eastAsia="Times New Roman"/>
          <w:sz w:val="24"/>
        </w:rPr>
        <w:t xml:space="preserve">. They are best read as case-studies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illustrate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broader trends established by larger investigations.</w:t>
      </w:r>
    </w:p>
    <w:bookmarkEnd w:id="68"/>
    <w:bookmarkStart w:id="69" w:name="research-gap-identified"/>
    <w:p>
      <w:pPr>
        <w:pStyle w:val="Heading2"/>
        <w:spacing w:line="360" w:lineRule="auto"/>
        <w:jc w:val="center"/>
      </w:pPr>
      <w:r>
        <w:rPr>
          <w:rFonts w:ascii="Times New Roman" w:hAnsi="Times New Roman" w:cs="Times New Roman" w:eastAsia="Times New Roman"/>
          <w:b/>
          <w:sz w:val="28"/>
        </w:rPr>
        <w:t xml:space="preserve">2.6 Research Gap Identified</w:t>
      </w:r>
    </w:p>
    <w:p>
      <w:pPr>
        <w:pStyle w:val="FirstParagraph"/>
        <w:spacing w:line="480" w:lineRule="auto" w:after="120"/>
        <w:jc w:val="both"/>
      </w:pPr>
      <w:r>
        <w:rPr>
          <w:rFonts w:ascii="Times New Roman" w:hAnsi="Times New Roman" w:cs="Times New Roman" w:eastAsia="Times New Roman"/>
          <w:sz w:val="24"/>
        </w:rPr>
        <w:t xml:space="preserve">In spite of the impressive volume of work surveyed, certain gaps remain in the existing literature, especially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 context</w:t>
      </w:r>
      <w:r>
        <w:rPr>
          <w:rFonts w:ascii="Times New Roman" w:hAnsi="Times New Roman" w:cs="Times New Roman" w:eastAsia="Times New Roman"/>
          <w:sz w:val="24"/>
        </w:rPr>
        <w:t xml:space="preserve">:</w:t>
      </w:r>
    </w:p>
    <w:p>
      <w:pPr>
        <w:numPr>
          <w:ilvl w:val="0"/>
          <w:numId w:val="1009"/>
        </w:numPr>
        <w:spacing w:line="480" w:lineRule="auto" w:after="120"/>
        <w:jc w:val="both"/>
      </w:pPr>
      <w:r>
        <w:rPr>
          <w:rFonts w:ascii="Times New Roman" w:hAnsi="Times New Roman" w:cs="Times New Roman" w:eastAsia="Times New Roman"/>
          <w:sz w:val="24"/>
        </w:rPr>
        <w:t xml:space="preserve">The most directly comparable Meerut study (Yadav, 2016) is now nearly a decade old. The educational landscape of Meerut has changed substantially since then, with the rapid expansion of CBSE-affiliated schools, the rolling out of the National Education Policy 2020 and the continuing rural-to-urban migration of students.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empirical investigation is warranted.</w:t>
      </w:r>
    </w:p>
    <w:p>
      <w:pPr>
        <w:numPr>
          <w:ilvl w:val="0"/>
          <w:numId w:val="1009"/>
        </w:numPr>
        <w:spacing w:line="480" w:lineRule="auto" w:after="120"/>
        <w:jc w:val="both"/>
      </w:pPr>
      <w:r>
        <w:rPr>
          <w:rFonts w:ascii="Times New Roman" w:hAnsi="Times New Roman" w:cs="Times New Roman" w:eastAsia="Times New Roman"/>
          <w:sz w:val="24"/>
        </w:rPr>
        <w:t xml:space="preserve">Most earlier Meerut and Western U.P. studies have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single-stratum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samples — only rural or only urban, only government or only private. A study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deliberately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from a Government rural school and girls from a Private urban CBSE school, in the way the present investigation does, has rarely been undertaken. Such a design provides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gender-typed interest hypothesis under maximally contrasting school environments.</w:t>
      </w:r>
    </w:p>
    <w:p>
      <w:pPr>
        <w:numPr>
          <w:ilvl w:val="0"/>
          <w:numId w:val="1009"/>
        </w:numPr>
        <w:spacing w:line="480" w:lineRule="auto" w:after="120"/>
        <w:jc w:val="both"/>
      </w:pPr>
      <w:r>
        <w:rPr>
          <w:rFonts w:ascii="Times New Roman" w:hAnsi="Times New Roman" w:cs="Times New Roman" w:eastAsia="Times New Roman"/>
          <w:sz w:val="24"/>
        </w:rPr>
        <w:t xml:space="preserve">Most earlier studies have stopped at reporting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Few have followed up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rank-order analyses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kind reported in the present study (Chapter IV), which together provide a richer picture of the comparative interest profile.</w:t>
      </w:r>
    </w:p>
    <w:p>
      <w:pPr>
        <w:numPr>
          <w:ilvl w:val="0"/>
          <w:numId w:val="1009"/>
        </w:numPr>
        <w:spacing w:line="480" w:lineRule="auto" w:after="120"/>
        <w:jc w:val="both"/>
      </w:pPr>
      <w:r>
        <w:rPr>
          <w:rFonts w:ascii="Times New Roman" w:hAnsi="Times New Roman" w:cs="Times New Roman" w:eastAsia="Times New Roman"/>
          <w:sz w:val="24"/>
        </w:rPr>
        <w:t xml:space="preserve">There is a near-complete absence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contemporary published M.Ed. dissertation 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subject from C.C.S. University, Meerut. A locally undertaken study can therefore be expected to provide useful regional baseline data.</w:t>
      </w:r>
    </w:p>
    <w:p>
      <w:pPr>
        <w:numPr>
          <w:ilvl w:val="0"/>
          <w:numId w:val="1009"/>
        </w:numPr>
        <w:spacing w:line="480" w:lineRule="auto" w:after="120"/>
        <w:jc w:val="both"/>
      </w:pPr>
      <w:r>
        <w:rPr>
          <w:rFonts w:ascii="Times New Roman" w:hAnsi="Times New Roman" w:cs="Times New Roman" w:eastAsia="Times New Roman"/>
          <w:sz w:val="24"/>
        </w:rPr>
        <w:t xml:space="preserve">The educational implications of the gender-typed pattern have rarely been worked out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operational detail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i.e., translated into specific suggestions for teachers, parents, school administrators and counsellors. The present study attempts a modest improvement on this front in Chapter V.</w:t>
      </w:r>
    </w:p>
    <w:p>
      <w:pPr>
        <w:pStyle w:val="FirstParagraph"/>
        <w:spacing w:line="480" w:lineRule="auto" w:after="120"/>
        <w:jc w:val="both"/>
      </w:pPr>
      <w:r>
        <w:rPr>
          <w:rFonts w:ascii="Times New Roman" w:hAnsi="Times New Roman" w:cs="Times New Roman" w:eastAsia="Times New Roman"/>
          <w:sz w:val="24"/>
        </w:rPr>
        <w:t xml:space="preserve">The present investigation has been planned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fill the above gaps, while honestly recognising that its small sample, single-district scope and short time frame impose obvious limits on the strength of the conclusions that can be drawn.</w:t>
      </w:r>
    </w:p>
    <w:bookmarkEnd w:id="69"/>
    <w:bookmarkStart w:id="70" w:name="summary"/>
    <w:p>
      <w:pPr>
        <w:pStyle w:val="Heading2"/>
        <w:spacing w:line="360" w:lineRule="auto"/>
        <w:jc w:val="center"/>
      </w:pPr>
      <w:r>
        <w:rPr>
          <w:rFonts w:ascii="Times New Roman" w:hAnsi="Times New Roman" w:cs="Times New Roman" w:eastAsia="Times New Roman"/>
          <w:b/>
          <w:sz w:val="28"/>
        </w:rPr>
        <w:t xml:space="preserve">2.7 Summary</w:t>
      </w:r>
    </w:p>
    <w:p>
      <w:pPr>
        <w:pStyle w:val="FirstParagraph"/>
        <w:spacing w:line="480" w:lineRule="auto" w:after="120"/>
        <w:jc w:val="both"/>
      </w:pPr>
      <w:r>
        <w:rPr>
          <w:rFonts w:ascii="Times New Roman" w:hAnsi="Times New Roman" w:cs="Times New Roman" w:eastAsia="Times New Roman"/>
          <w:sz w:val="24"/>
        </w:rPr>
        <w:t xml:space="preserve">The chapter has surveyed twelve Indian and six foreign studies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adolescents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special reference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w:t>
      </w:r>
      <w:r>
        <w:rPr>
          <w:rFonts w:ascii="Times New Roman" w:hAnsi="Times New Roman" w:cs="Times New Roman" w:eastAsia="Times New Roman"/>
          <w:sz w:val="24"/>
        </w:rPr>
        <w:t xml:space="preserve">. The trends emerging from the literature are: (a)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found with great regularity — boys higher on Scientific, Constructive, Agricultural and Persuasive areas; girls higher on Literary, Artistic, Social and Household; (b)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school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produce additional, systematic differences; (c) the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cross-culturally 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has been replicated in the U.S.A., Korea, Ireland and Saudi Arabia, although effect sizes vary slightly across cultures; (d) the pattern has shown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but discernible 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the decades, especially in the Scientific area in urban samples; and (e)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District-specific, contemporary, gender-comparative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using Kulshrestha’s V.I.R. on Class IX–X students drawn from contrasting school environments has not been undertaken in recent years, and the present study attempts to fill this gap within the limits of an M.Ed. dissertation. Chapter III now presents in detail the methodology adopted in the present investigation.</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II ***</w:t>
      </w:r>
    </w:p>
    <w:p>
      <w:pPr>
        <w:spacing w:line="480" w:lineRule="auto" w:after="120"/>
        <w:jc w:val="both"/>
      </w:pPr>
      <w:r>
        <w:rPr>
          <w:rFonts w:ascii="Times New Roman" w:hAnsi="Times New Roman" w:cs="Times New Roman" w:eastAsia="Times New Roman"/>
          <w:sz w:val="24"/>
        </w:rPr>
        <w:br w:type="page"/>
      </w:r>
    </w:p>
    <w:bookmarkEnd w:id="70"/>
    <w:bookmarkEnd w:id="71"/>
    <w:bookmarkStart w:id="72" w:name="chapter-iii"/>
    <w:p>
      <w:pPr>
        <w:pStyle w:val="Heading1"/>
        <w:spacing w:line="360" w:lineRule="auto"/>
        <w:jc w:val="center"/>
      </w:pPr>
      <w:r>
        <w:rPr>
          <w:rFonts w:ascii="Times New Roman" w:hAnsi="Times New Roman" w:cs="Times New Roman" w:eastAsia="Times New Roman"/>
          <w:b/>
          <w:sz w:val="32"/>
        </w:rPr>
        <w:t xml:space="preserve">CHAPTER – III</w:t>
      </w:r>
    </w:p>
    <w:bookmarkEnd w:id="72"/>
    <w:bookmarkStart w:id="96" w:name="research-methodology"/>
    <w:p>
      <w:pPr>
        <w:pStyle w:val="Heading1"/>
        <w:spacing w:line="360" w:lineRule="auto"/>
        <w:jc w:val="center"/>
      </w:pPr>
      <w:r>
        <w:rPr>
          <w:rFonts w:ascii="Times New Roman" w:hAnsi="Times New Roman" w:cs="Times New Roman" w:eastAsia="Times New Roman"/>
          <w:b/>
          <w:sz w:val="32"/>
        </w:rPr>
        <w:t xml:space="preserve">RESEARCH METHODOLOGY</w:t>
      </w:r>
    </w:p>
    <w:bookmarkStart w:id="73" w:name="introduction-3"/>
    <w:p>
      <w:pPr>
        <w:pStyle w:val="Heading2"/>
        <w:spacing w:line="360" w:lineRule="auto"/>
        <w:jc w:val="center"/>
      </w:pPr>
      <w:r>
        <w:rPr>
          <w:rFonts w:ascii="Times New Roman" w:hAnsi="Times New Roman" w:cs="Times New Roman" w:eastAsia="Times New Roman"/>
          <w:b/>
          <w:sz w:val="28"/>
        </w:rPr>
        <w:t xml:space="preserve">3.1 Introduction</w:t>
      </w:r>
    </w:p>
    <w:p>
      <w:pPr>
        <w:pStyle w:val="FirstParagraph"/>
        <w:spacing w:line="480" w:lineRule="auto" w:after="120"/>
        <w:jc w:val="both"/>
      </w:pPr>
      <w:r>
        <w:rPr>
          <w:rFonts w:ascii="Times New Roman" w:hAnsi="Times New Roman" w:cs="Times New Roman" w:eastAsia="Times New Roman"/>
          <w:sz w:val="24"/>
        </w:rPr>
        <w:t xml:space="preserve">Methodology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plan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which a research problem is investigated, the data collected and processed, and the conclusions arrived at. As Kerlinger (1986) observed,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design of an investigation is the architecture of the entire research enterprise.”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well-designed methodology lends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credibility, replicability and scientific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findings; an ill-designed one renders the most laboriously collected data useless. The present chapter describes, in the order in which they were carried out, the methodological decisions taken in conducting the present study under the heads — Method (3.2); Variables (3.3); Population (3.4); Sample and Sampling Technique (3.5); Description of the Sample Schools (3.6); Tool used (3.7); Description of the V.I.R. (3.8); Reliability and Validity of the Tool (3.9); Procedure of Data Collection (3.10); Scoring (3.11); Statistical Techniques (3.12); Ethical Considerations (3.13); and Limitations of the Methodology (3.14).</w:t>
      </w:r>
    </w:p>
    <w:bookmarkEnd w:id="73"/>
    <w:bookmarkStart w:id="74" w:name="method-of-the-study"/>
    <w:p>
      <w:pPr>
        <w:pStyle w:val="Heading2"/>
        <w:spacing w:line="360" w:lineRule="auto"/>
        <w:jc w:val="center"/>
      </w:pPr>
      <w:r>
        <w:rPr>
          <w:rFonts w:ascii="Times New Roman" w:hAnsi="Times New Roman" w:cs="Times New Roman" w:eastAsia="Times New Roman"/>
          <w:b/>
          <w:sz w:val="28"/>
        </w:rPr>
        <w:t xml:space="preserve">3.2 Method of the Study</w:t>
      </w:r>
    </w:p>
    <w:p>
      <w:pPr>
        <w:pStyle w:val="FirstParagraph"/>
        <w:spacing w:line="480" w:lineRule="auto" w:after="120"/>
        <w:jc w:val="both"/>
      </w:pPr>
      <w:r>
        <w:rPr>
          <w:rFonts w:ascii="Times New Roman" w:hAnsi="Times New Roman" w:cs="Times New Roman" w:eastAsia="Times New Roman"/>
          <w:sz w:val="24"/>
        </w:rPr>
        <w:t xml:space="preserve">Educational research is conducted broadly through three streams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historical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(Best &amp; Kahn, 2017). The descriptive stream contains several variants — survey, case-study, correlational, causal-comparative and developmental. After a careful consideration of the nature of the problem, the investigator has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investigation.</w:t>
      </w:r>
    </w:p>
    <w:p>
      <w:pPr>
        <w:pStyle w:val="BodyText"/>
        <w:spacing w:line="480" w:lineRule="auto" w:after="120"/>
        <w:jc w:val="both"/>
      </w:pPr>
      <w:r>
        <w:rPr>
          <w:rFonts w:ascii="Times New Roman" w:hAnsi="Times New Roman" w:cs="Times New Roman" w:eastAsia="Times New Roman"/>
          <w:sz w:val="24"/>
        </w:rPr>
        <w:t xml:space="preserve">Mouly (1970) defined the descriptive survey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method which is concerned with the present, what exists, what is being done, what is being expected of, and what trends are developing.”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method has been preferred because (i) the present problem demands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 and 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as they currently exist in two natural groups — boys and girls — without any experimental manipulation; (ii) the two groups can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standardised areas of the V.I.R. using suitable inferential statistics; (iii) the method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practicable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the time, financial and human resource limits available to an M.Ed. researcher; and (iv) it has been the most widely used method in similar Indian studies (Singh &amp; Verma, 2023; Reddy &amp; Kumar, 2021; Joshi, 2020), making the present findings comparable with the established literature.</w:t>
      </w:r>
    </w:p>
    <w:bookmarkEnd w:id="74"/>
    <w:bookmarkStart w:id="75" w:name="variables-of-the-study"/>
    <w:p>
      <w:pPr>
        <w:pStyle w:val="Heading2"/>
        <w:spacing w:line="360" w:lineRule="auto"/>
        <w:jc w:val="center"/>
      </w:pPr>
      <w:r>
        <w:rPr>
          <w:rFonts w:ascii="Times New Roman" w:hAnsi="Times New Roman" w:cs="Times New Roman" w:eastAsia="Times New Roman"/>
          <w:b/>
          <w:sz w:val="28"/>
        </w:rPr>
        <w:t xml:space="preserve">3.3 Variables of the Study</w:t>
      </w:r>
    </w:p>
    <w:p>
      <w:pPr>
        <w:pStyle w:val="FirstParagraph"/>
        <w:spacing w:line="480" w:lineRule="auto" w:after="120"/>
        <w:jc w:val="both"/>
      </w:pPr>
      <w:r>
        <w:rPr>
          <w:rFonts w:ascii="Times New Roman" w:hAnsi="Times New Roman" w:cs="Times New Roman" w:eastAsia="Times New Roman"/>
          <w:b/>
          <w:bCs/>
          <w:sz w:val="24"/>
        </w:rPr>
        <w:t xml:space="preserve">Independent Variable.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school student, with two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Dependent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Dr. S.P. Kulshrestha’s Vocational Interest Record — Literary, Scientific, Executive, Commercial, Constructive (Technical), Artistic, Agricultural, Persuasive, Social and Household.</w:t>
      </w:r>
    </w:p>
    <w:p>
      <w:pPr>
        <w:pStyle w:val="BodyText"/>
        <w:spacing w:line="480" w:lineRule="auto" w:after="120"/>
        <w:jc w:val="both"/>
      </w:pPr>
      <w:r>
        <w:rPr>
          <w:rFonts w:ascii="Times New Roman" w:hAnsi="Times New Roman" w:cs="Times New Roman" w:eastAsia="Times New Roman"/>
          <w:b/>
          <w:bCs/>
          <w:sz w:val="24"/>
        </w:rPr>
        <w:t xml:space="preserve">Controlled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Age (13–16 years), grade level (Classes IX and X), district (Meerut) and academic session (2025–2026) have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controlled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the choice of the sample.</w:t>
      </w:r>
    </w:p>
    <w:p>
      <w:pPr>
        <w:pStyle w:val="BodyText"/>
        <w:spacing w:line="480" w:lineRule="auto" w:after="120"/>
        <w:jc w:val="both"/>
      </w:pPr>
      <w:r>
        <w:rPr>
          <w:rFonts w:ascii="Times New Roman" w:hAnsi="Times New Roman" w:cs="Times New Roman" w:eastAsia="Times New Roman"/>
          <w:b/>
          <w:bCs/>
          <w:sz w:val="24"/>
        </w:rPr>
        <w:t xml:space="preserve">Uncontrolled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Socio-economic status, parental education, parental encouragement, the quality of teachers and the peer-group climate — variables known to influence vocational interest — have not been measured in the present study and remain uncontrolled.</w:t>
      </w:r>
    </w:p>
    <w:bookmarkEnd w:id="75"/>
    <w:bookmarkStart w:id="76" w:name="population-of-the-study"/>
    <w:p>
      <w:pPr>
        <w:pStyle w:val="Heading2"/>
        <w:spacing w:line="360" w:lineRule="auto"/>
        <w:jc w:val="center"/>
      </w:pPr>
      <w:r>
        <w:rPr>
          <w:rFonts w:ascii="Times New Roman" w:hAnsi="Times New Roman" w:cs="Times New Roman" w:eastAsia="Times New Roman"/>
          <w:b/>
          <w:sz w:val="28"/>
        </w:rPr>
        <w:t xml:space="preserve">3.4 Population of the Study</w:t>
      </w:r>
    </w:p>
    <w:p>
      <w:pPr>
        <w:pStyle w:val="FirstParagraph"/>
        <w:spacing w:line="480" w:lineRule="auto" w:after="120"/>
        <w:jc w:val="both"/>
      </w:pPr>
      <w:r>
        <w:rPr>
          <w:rFonts w:ascii="Times New Roman" w:hAnsi="Times New Roman" w:cs="Times New Roman" w:eastAsia="Times New Roman"/>
          <w:sz w:val="24"/>
        </w:rPr>
        <w:t xml:space="preserve">The population of the present investigation has been defined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 boys and girls of Classes IX and X studying in the secondary schools of Meerut District during the academic session 2025–2026</w:t>
      </w:r>
      <w:r>
        <w:rPr>
          <w:rFonts w:ascii="Times New Roman" w:hAnsi="Times New Roman" w:cs="Times New Roman" w:eastAsia="Times New Roman"/>
          <w:sz w:val="24"/>
        </w:rPr>
        <w:t xml:space="preserve">. Meerut District has approximately 1,200 secondary schools (U.P. Madhyamik Shiksha Parishad-affiliated, CBSE, ICSE and aided), with an estimated 2.4 lakh students enrolled in Classes IX and X. From this population a much smaller sample had to be drawn for the present investigation, in keeping with the practical constraints of an M.Ed. dissertation.</w:t>
      </w:r>
    </w:p>
    <w:bookmarkEnd w:id="76"/>
    <w:bookmarkStart w:id="77" w:name="sample-and-sampling-technique"/>
    <w:p>
      <w:pPr>
        <w:pStyle w:val="Heading2"/>
        <w:spacing w:line="360" w:lineRule="auto"/>
        <w:jc w:val="center"/>
      </w:pPr>
      <w:r>
        <w:rPr>
          <w:rFonts w:ascii="Times New Roman" w:hAnsi="Times New Roman" w:cs="Times New Roman" w:eastAsia="Times New Roman"/>
          <w:b/>
          <w:sz w:val="28"/>
        </w:rPr>
        <w:t xml:space="preserve">3.5 Sample and Sampling Technique</w:t>
      </w:r>
    </w:p>
    <w:p>
      <w:pPr>
        <w:pStyle w:val="FirstParagraph"/>
        <w:spacing w:line="480" w:lineRule="auto" w:after="120"/>
        <w:jc w:val="both"/>
      </w:pPr>
      <w:r>
        <w:rPr>
          <w:rFonts w:ascii="Times New Roman" w:hAnsi="Times New Roman" w:cs="Times New Roman" w:eastAsia="Times New Roman"/>
          <w:sz w:val="24"/>
        </w:rPr>
        <w:t xml:space="preserve">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have been included in the sample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girls</w:t>
      </w:r>
      <w:r>
        <w:rPr>
          <w:rFonts w:ascii="Times New Roman" w:hAnsi="Times New Roman" w:cs="Times New Roman" w:eastAsia="Times New Roman"/>
          <w:sz w:val="24"/>
        </w:rPr>
        <w:t xml:space="preserve">. The sample size, although small, is consistent with the recommended minimum for an M.Ed. descriptive comparative study and is sufficient for the application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(Garrett &amp; Woodworth, 1981).</w:t>
      </w:r>
    </w:p>
    <w:p>
      <w:pPr>
        <w:pStyle w:val="BodyText"/>
        <w:spacing w:line="480" w:lineRule="auto" w:after="120"/>
        <w:jc w:val="both"/>
      </w:pPr>
      <w:r>
        <w:rPr>
          <w:rFonts w:ascii="Times New Roman" w:hAnsi="Times New Roman" w:cs="Times New Roman" w:eastAsia="Times New Roman"/>
          <w:b/>
          <w:bCs/>
          <w:sz w:val="24"/>
        </w:rPr>
        <w:t xml:space="preserve">Sampling Technique — Simple 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list of secondary schools of Meerut District, two schools — one a Government rural U.P. Board school and the other a Private urban CBSE-affiliated school —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purposively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selected, since the two schools represent maximally contrasting school environments. The Government rural school selected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sampling boys); the Private urban CBSE school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sampling girls).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complete enrolment list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provided by the Principal of each school, every student was assigned a serial number. Twenty serial numbers were then drawn at random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lottery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placing chits with serial numbers in a bowl, mixing thoroughly and drawing without replacement. Of the 20 boys, 10 belonged to Class IX and 10 to Class X; the same balance was maintained for girls. The composition of the sample is summarised in Table 3.1.</w:t>
      </w:r>
    </w:p>
    <w:p>
      <w:pPr>
        <w:pStyle w:val="BodyText"/>
        <w:spacing w:line="480" w:lineRule="auto" w:after="120"/>
        <w:jc w:val="both"/>
      </w:pPr>
      <w:r>
        <w:rPr>
          <w:rFonts w:ascii="Times New Roman" w:hAnsi="Times New Roman" w:cs="Times New Roman" w:eastAsia="Times New Roman"/>
          <w:b/>
          <w:bCs/>
          <w:sz w:val="24"/>
        </w:rPr>
        <w:t xml:space="preserve">Table 3.1 — Distribution of the Sample According to Gender, Class and School</w:t>
      </w:r>
    </w:p>
    <w:tbl>
      <w:tblPr>
        <w:tblStyle w:val="Table"/>
        <w:tblW w:type="pct" w:w="5000"/>
        <w:jc w:val="center"/>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left"/>
            </w:pPr>
            <w:r>
              <w:rPr>
                <w:rFonts w:ascii="Times New Roman" w:hAnsi="Times New Roman" w:cs="Times New Roman" w:eastAsia="Times New Roman"/>
                <w:sz w:val="22"/>
              </w:rPr>
              <w:t xml:space="preserve">School</w:t>
            </w:r>
          </w:p>
        </w:tc>
        <w:tc>
          <w:tcPr/>
          <w:p>
            <w:pPr>
              <w:pStyle w:val="Compact"/>
              <w:spacing w:line="276" w:lineRule="auto"/>
              <w:jc w:val="center"/>
            </w:pPr>
            <w:r>
              <w:rPr>
                <w:rFonts w:ascii="Times New Roman" w:hAnsi="Times New Roman" w:cs="Times New Roman" w:eastAsia="Times New Roman"/>
                <w:sz w:val="22"/>
              </w:rPr>
              <w:t xml:space="preserve">Locality</w:t>
            </w:r>
          </w:p>
        </w:tc>
        <w:tc>
          <w:tcPr/>
          <w:p>
            <w:pPr>
              <w:pStyle w:val="Compact"/>
              <w:spacing w:line="276" w:lineRule="auto"/>
              <w:jc w:val="center"/>
            </w:pPr>
            <w:r>
              <w:rPr>
                <w:rFonts w:ascii="Times New Roman" w:hAnsi="Times New Roman" w:cs="Times New Roman" w:eastAsia="Times New Roman"/>
                <w:sz w:val="22"/>
              </w:rPr>
              <w:t xml:space="preserve">Management</w:t>
            </w:r>
          </w:p>
        </w:tc>
        <w:tc>
          <w:tcPr/>
          <w:p>
            <w:pPr>
              <w:pStyle w:val="Compact"/>
              <w:spacing w:line="276" w:lineRule="auto"/>
              <w:jc w:val="center"/>
            </w:pPr>
            <w:r>
              <w:rPr>
                <w:rFonts w:ascii="Times New Roman" w:hAnsi="Times New Roman" w:cs="Times New Roman" w:eastAsia="Times New Roman"/>
                <w:sz w:val="22"/>
              </w:rPr>
              <w:t xml:space="preserve">Class IX</w:t>
            </w:r>
          </w:p>
        </w:tc>
        <w:tc>
          <w:tcPr/>
          <w:p>
            <w:pPr>
              <w:pStyle w:val="Compact"/>
              <w:spacing w:line="276" w:lineRule="auto"/>
              <w:jc w:val="center"/>
            </w:pPr>
            <w:r>
              <w:rPr>
                <w:rFonts w:ascii="Times New Roman" w:hAnsi="Times New Roman" w:cs="Times New Roman" w:eastAsia="Times New Roman"/>
                <w:sz w:val="22"/>
              </w:rPr>
              <w:t xml:space="preserve">Class X</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left"/>
            </w:pPr>
            <w:r>
              <w:rPr>
                <w:rFonts w:ascii="Times New Roman" w:hAnsi="Times New Roman" w:cs="Times New Roman" w:eastAsia="Times New Roman"/>
                <w:sz w:val="22"/>
              </w:rPr>
              <w:t xml:space="preserve">Shri Sanskrit Inter College, Aitmadpur</w:t>
            </w:r>
          </w:p>
        </w:tc>
        <w:tc>
          <w:tcPr/>
          <w:p>
            <w:pPr>
              <w:pStyle w:val="Compact"/>
              <w:spacing w:line="276" w:lineRule="auto"/>
              <w:jc w:val="center"/>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Govt. (U.P. Board)</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b/>
                <w:bCs/>
                <w:sz w:val="22"/>
              </w:rPr>
              <w:t xml:space="preserve">20</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w:t>
            </w:r>
          </w:p>
        </w:tc>
        <w:tc>
          <w:tcPr/>
          <w:p>
            <w:pPr>
              <w:pStyle w:val="Compact"/>
              <w:spacing w:line="276" w:lineRule="auto"/>
              <w:jc w:val="center"/>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Private (CBSE)</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b/>
                <w:bCs/>
                <w:sz w:val="22"/>
              </w:rPr>
              <w:t xml:space="preserve">20</w:t>
            </w:r>
          </w:p>
        </w:tc>
      </w:tr>
      <w:tr>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40</w:t>
            </w:r>
          </w:p>
        </w:tc>
      </w:tr>
    </w:tbl>
    <w:p>
      <w:pPr>
        <w:pStyle w:val="BodyText"/>
        <w:spacing w:line="480" w:lineRule="auto" w:after="120"/>
        <w:jc w:val="both"/>
      </w:pPr>
      <w:r>
        <w:rPr>
          <w:rFonts w:ascii="Times New Roman" w:hAnsi="Times New Roman" w:cs="Times New Roman" w:eastAsia="Times New Roman"/>
          <w:b/>
          <w:bCs/>
          <w:sz w:val="24"/>
        </w:rPr>
        <w:t xml:space="preserve">Figure 3.1 — Sampling Design of the Study</w:t>
      </w:r>
    </w:p>
    <w:p>
      <w:pPr>
        <w:pStyle w:val="SourceCode"/>
        <w:spacing w:line="480" w:lineRule="auto" w:after="120"/>
        <w:jc w:val="both"/>
      </w:pPr>
      <w:r>
        <w:rPr>
          <w:rStyle w:val="VerbatimChar"/>
          <w:rFonts w:ascii="Times New Roman" w:hAnsi="Times New Roman" w:cs="Times New Roman" w:eastAsia="Times New Roman"/>
          <w:sz w:val="24"/>
        </w:rPr>
        <w:t xml:space="preserve">                Population: Secondary school students of</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Meerut District (≈ 2.4 lakh)</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Govt. Rural School              Private Urban CBSE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(Shri Sanskrit Inter           (K.P. International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College, Aitmadpur)             School, Kila Parikshit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Garh)</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20 Boys (10 IX + 10 X)      20 Girls (10 IX + 10 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Total Sample = 40</w:t>
      </w:r>
    </w:p>
    <w:bookmarkEnd w:id="77"/>
    <w:bookmarkStart w:id="80" w:name="description-of-the-sample-schools"/>
    <w:p>
      <w:pPr>
        <w:pStyle w:val="Heading2"/>
        <w:spacing w:line="360" w:lineRule="auto"/>
        <w:jc w:val="center"/>
      </w:pPr>
      <w:r>
        <w:rPr>
          <w:rFonts w:ascii="Times New Roman" w:hAnsi="Times New Roman" w:cs="Times New Roman" w:eastAsia="Times New Roman"/>
          <w:b/>
          <w:sz w:val="28"/>
        </w:rPr>
        <w:t xml:space="preserve">3.6 Description of the Sample Schools</w:t>
      </w:r>
    </w:p>
    <w:bookmarkStart w:id="78" w:name="Xc06f5f7f87271820c97dc25f14a91513c86ccdd"/>
    <w:p>
      <w:pPr>
        <w:pStyle w:val="Heading3"/>
        <w:spacing w:line="360" w:lineRule="auto"/>
        <w:jc w:val="left"/>
      </w:pPr>
      <w:r>
        <w:rPr>
          <w:rFonts w:ascii="Times New Roman" w:hAnsi="Times New Roman" w:cs="Times New Roman" w:eastAsia="Times New Roman"/>
          <w:b/>
          <w:sz w:val="26"/>
        </w:rPr>
        <w:t xml:space="preserve">3.6.1 Shri Sanskrit Inter College, Aitmadpur, Kila Parikshit Garh, Meerut</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Government-aided rural secondary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village (Kila Parikshit Garh tahsil), affiliated with the U.P. Madhyamik Shiksha Parishad, Prayagraj. Established more than four decades ago, the school imparts education from Class VI to XII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 medium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follows the U.P. Board curriculum. It enrols approximately 600 students drawn predominantly from the agricultural families of Aitmadpur and adjoining villages. The student community largely belongs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rural occupational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agriculture, dairy, masonry, carpentry, mechanical repair, tailoring and small-scale retail; a relatively small proportion of parents are employed in the formal sector (school teaching, banking or government clerical jobs). The infrastructure is modest — a science laboratory, a small library, a few computer terminals and a playground; career-counselling and vocational guidance services are not yet available 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basis. The school has been included as a representative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 rural, U.P.-Board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of Meerut District,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were drawn from it.</w:t>
      </w:r>
    </w:p>
    <w:bookmarkEnd w:id="78"/>
    <w:bookmarkStart w:id="79" w:name="Xeae15d055bcf2617a7b273fc607143040bc495c"/>
    <w:p>
      <w:pPr>
        <w:pStyle w:val="Heading3"/>
        <w:spacing w:line="360" w:lineRule="auto"/>
        <w:jc w:val="left"/>
      </w:pPr>
      <w:r>
        <w:rPr>
          <w:rFonts w:ascii="Times New Roman" w:hAnsi="Times New Roman" w:cs="Times New Roman" w:eastAsia="Times New Roman"/>
          <w:b/>
          <w:sz w:val="26"/>
        </w:rPr>
        <w:t xml:space="preserve">3.6.2 K.P. International School, Kila Parikshit Garh, Meerut</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CBSE-affiliated co-educational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urban part of Kila Parikshit Garh, established in 2008 under a registered educational society. The school imparts education from Pre-Nursery to Class XII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English medium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follows the curriculum of the Central Board of Secondary Education. It enrols approximately 1,400 students drawn from a relatively higher socio-economic background — children of professionals, businessmen, government officers, doctors, engineers and senior salaried employees of Meerut city. A high proportion of parents are graduates and post-graduates, almost all placing strong emphasis on their children’s higher education. The infrastructure is comparatively modern — well-equipped science and computer laboratories, smart classrooms, a well-stocked library, art and music rooms, indoor and outdoor sports facilities, and a designated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a part-time trained counsellor; career talks, school-level science and art exhibitions and inter-school competitions are held at regular intervals. The school has been included as a representative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urban,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of Meerut District,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were drawn from it.</w:t>
      </w:r>
    </w:p>
    <w:p>
      <w:pPr>
        <w:pStyle w:val="BodyText"/>
        <w:spacing w:line="480" w:lineRule="auto" w:after="120"/>
        <w:jc w:val="both"/>
      </w:pPr>
      <w:r>
        <w:rPr>
          <w:rFonts w:ascii="Times New Roman" w:hAnsi="Times New Roman" w:cs="Times New Roman" w:eastAsia="Times New Roman"/>
          <w:sz w:val="24"/>
        </w:rPr>
        <w:t xml:space="preserve">The deliberate selection of two schools situated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opposite 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locality and management continua provides a strong test of the gender-typed interest pattern: any gender difference that survives this maximum-contrast design can be regarded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genuinely robust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rather than the artefact of a homogeneous sample.</w:t>
      </w:r>
    </w:p>
    <w:bookmarkEnd w:id="79"/>
    <w:bookmarkEnd w:id="80"/>
    <w:bookmarkStart w:id="81" w:name="tool-used-for-data-collection"/>
    <w:p>
      <w:pPr>
        <w:pStyle w:val="Heading2"/>
        <w:spacing w:line="360" w:lineRule="auto"/>
        <w:jc w:val="center"/>
      </w:pPr>
      <w:r>
        <w:rPr>
          <w:rFonts w:ascii="Times New Roman" w:hAnsi="Times New Roman" w:cs="Times New Roman" w:eastAsia="Times New Roman"/>
          <w:b/>
          <w:sz w:val="28"/>
        </w:rPr>
        <w:t xml:space="preserve">3.7 Tool Used for Data Collection</w:t>
      </w:r>
    </w:p>
    <w:p>
      <w:pPr>
        <w:pStyle w:val="FirstParagraph"/>
        <w:spacing w:line="480" w:lineRule="auto" w:after="120"/>
        <w:jc w:val="both"/>
      </w:pPr>
      <w:r>
        <w:rPr>
          <w:rFonts w:ascii="Times New Roman" w:hAnsi="Times New Roman" w:cs="Times New Roman" w:eastAsia="Times New Roman"/>
          <w:sz w:val="24"/>
        </w:rPr>
        <w:t xml:space="preserve">The tool used for the measurement of the vocational interests of the sample students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 — Hindi version</w:t>
      </w:r>
      <w:r>
        <w:rPr>
          <w:rFonts w:ascii="Times New Roman" w:hAnsi="Times New Roman" w:cs="Times New Roman" w:eastAsia="Times New Roman"/>
          <w:sz w:val="24"/>
        </w:rPr>
        <w:t xml:space="preserve">, 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Agra University, and published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Psychological Corporation, Agra</w:t>
      </w:r>
      <w:r>
        <w:rPr>
          <w:rFonts w:ascii="Times New Roman" w:hAnsi="Times New Roman" w:cs="Times New Roman" w:eastAsia="Times New Roman"/>
          <w:sz w:val="24"/>
        </w:rPr>
        <w:t xml:space="preserve">. The Record is one of the most widely used Indian vocational interest tools and has been employed in over 200 published studies and dissertations (Asthana, 1973; Yadav, 2016; Mehta, 2019; Joshi, 2020; Reddy &amp; Kumar, 2021; Gupta &amp; Saxena, 2021; Pandey &amp; Tripathi, 2022; Singh &amp; Verma, 2023).</w:t>
      </w:r>
    </w:p>
    <w:bookmarkEnd w:id="81"/>
    <w:bookmarkStart w:id="84" w:name="Xdefa9c80885e6d0b267efd436b0198a2b7410f9"/>
    <w:p>
      <w:pPr>
        <w:pStyle w:val="Heading2"/>
        <w:spacing w:line="360" w:lineRule="auto"/>
        <w:jc w:val="center"/>
      </w:pPr>
      <w:r>
        <w:rPr>
          <w:rFonts w:ascii="Times New Roman" w:hAnsi="Times New Roman" w:cs="Times New Roman" w:eastAsia="Times New Roman"/>
          <w:b/>
          <w:sz w:val="28"/>
        </w:rPr>
        <w:t xml:space="preserve">3.8 Description of the Vocational Interest Record by Dr. S.P. Kulshrestha</w:t>
      </w:r>
    </w:p>
    <w:bookmarkStart w:id="82" w:name="structure-of-the-record"/>
    <w:p>
      <w:pPr>
        <w:pStyle w:val="Heading3"/>
        <w:spacing w:line="360" w:lineRule="auto"/>
        <w:jc w:val="left"/>
      </w:pPr>
      <w:r>
        <w:rPr>
          <w:rFonts w:ascii="Times New Roman" w:hAnsi="Times New Roman" w:cs="Times New Roman" w:eastAsia="Times New Roman"/>
          <w:b/>
          <w:sz w:val="26"/>
        </w:rPr>
        <w:t xml:space="preserve">3.8.1 Structure of the Record</w:t>
      </w:r>
    </w:p>
    <w:p>
      <w:pPr>
        <w:pStyle w:val="FirstParagraph"/>
        <w:spacing w:line="480" w:lineRule="auto" w:after="120"/>
        <w:jc w:val="both"/>
      </w:pPr>
      <w:r>
        <w:rPr>
          <w:rFonts w:ascii="Times New Roman" w:hAnsi="Times New Roman" w:cs="Times New Roman" w:eastAsia="Times New Roman"/>
          <w:sz w:val="24"/>
        </w:rPr>
        <w:t xml:space="preserve">The Record consists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arranged on a forced-choice basis. Each item contains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two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(one belonging to one interest area and the other to a different interest area), and the testee is required to select the one he or she prefers. The 90 items have been so framed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each of the ten areas appears 18 times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 times as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“left-hand”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activity and 9 times as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“right-hand”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activity). The maximum possible score in any one area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18</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Table 3.2 — Number of Items and Maximum Score in Each Area of the Vocational Interest Record</w:t>
      </w:r>
    </w:p>
    <w:tbl>
      <w:tblPr>
        <w:tblStyle w:val="Table"/>
        <w:tblW w:type="pct" w:w="5000"/>
        <w:jc w:val="center"/>
        <w:tblLayout w:type="fixed"/>
        <w:tblLook w:firstRow="1" w:lastRow="0" w:firstColumn="0" w:lastColumn="0" w:noHBand="0" w:noVBand="0" w:val="0020"/>
      </w:tblPr>
      <w:tblGrid>
        <w:gridCol w:w="1721"/>
        <w:gridCol w:w="1377"/>
        <w:gridCol w:w="1377"/>
        <w:gridCol w:w="1721"/>
        <w:gridCol w:w="1721"/>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left"/>
            </w:pPr>
            <w:r>
              <w:rPr>
                <w:rFonts w:ascii="Times New Roman" w:hAnsi="Times New Roman" w:cs="Times New Roman" w:eastAsia="Times New Roman"/>
                <w:sz w:val="22"/>
              </w:rPr>
              <w:t xml:space="preserve">Brief Description</w:t>
            </w:r>
          </w:p>
        </w:tc>
        <w:tc>
          <w:tcPr/>
          <w:p>
            <w:pPr>
              <w:pStyle w:val="Compact"/>
              <w:spacing w:line="276" w:lineRule="auto"/>
              <w:jc w:val="center"/>
            </w:pPr>
            <w:r>
              <w:rPr>
                <w:rFonts w:ascii="Times New Roman" w:hAnsi="Times New Roman" w:cs="Times New Roman" w:eastAsia="Times New Roman"/>
                <w:sz w:val="22"/>
              </w:rPr>
              <w:t xml:space="preserve">Items in the Record</w:t>
            </w:r>
          </w:p>
        </w:tc>
        <w:tc>
          <w:tcPr/>
          <w:p>
            <w:pPr>
              <w:pStyle w:val="Compact"/>
              <w:spacing w:line="276" w:lineRule="auto"/>
              <w:jc w:val="center"/>
            </w:pPr>
            <w:r>
              <w:rPr>
                <w:rFonts w:ascii="Times New Roman" w:hAnsi="Times New Roman" w:cs="Times New Roman" w:eastAsia="Times New Roman"/>
                <w:sz w:val="22"/>
              </w:rPr>
              <w:t xml:space="preserve">Max. Score</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left"/>
            </w:pPr>
            <w:r>
              <w:rPr>
                <w:rFonts w:ascii="Times New Roman" w:hAnsi="Times New Roman" w:cs="Times New Roman" w:eastAsia="Times New Roman"/>
                <w:sz w:val="22"/>
              </w:rPr>
              <w:t xml:space="preserve">Reading, writing, journalism, language teaching</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left"/>
            </w:pPr>
            <w:r>
              <w:rPr>
                <w:rFonts w:ascii="Times New Roman" w:hAnsi="Times New Roman" w:cs="Times New Roman" w:eastAsia="Times New Roman"/>
                <w:sz w:val="22"/>
              </w:rPr>
              <w:t xml:space="preserve">Research, observation, experimentation, medicine, engineering</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left"/>
            </w:pPr>
            <w:r>
              <w:rPr>
                <w:rFonts w:ascii="Times New Roman" w:hAnsi="Times New Roman" w:cs="Times New Roman" w:eastAsia="Times New Roman"/>
                <w:sz w:val="22"/>
              </w:rPr>
              <w:t xml:space="preserve">Management, administration, planning, leadership</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left"/>
            </w:pPr>
            <w:r>
              <w:rPr>
                <w:rFonts w:ascii="Times New Roman" w:hAnsi="Times New Roman" w:cs="Times New Roman" w:eastAsia="Times New Roman"/>
                <w:sz w:val="22"/>
              </w:rPr>
              <w:t xml:space="preserve">Trade, business, finance, banking, accountancy</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left"/>
            </w:pPr>
            <w:r>
              <w:rPr>
                <w:rFonts w:ascii="Times New Roman" w:hAnsi="Times New Roman" w:cs="Times New Roman" w:eastAsia="Times New Roman"/>
                <w:sz w:val="22"/>
              </w:rPr>
              <w:t xml:space="preserve">Working with tools, machines, materials</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left"/>
            </w:pPr>
            <w:r>
              <w:rPr>
                <w:rFonts w:ascii="Times New Roman" w:hAnsi="Times New Roman" w:cs="Times New Roman" w:eastAsia="Times New Roman"/>
                <w:sz w:val="22"/>
              </w:rPr>
              <w:t xml:space="preserve">Painting, music, dance, design</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left"/>
            </w:pPr>
            <w:r>
              <w:rPr>
                <w:rFonts w:ascii="Times New Roman" w:hAnsi="Times New Roman" w:cs="Times New Roman" w:eastAsia="Times New Roman"/>
                <w:sz w:val="22"/>
              </w:rPr>
              <w:t xml:space="preserve">Farming, horticulture, animal husbandry, outdoor work</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left"/>
            </w:pPr>
            <w:r>
              <w:rPr>
                <w:rFonts w:ascii="Times New Roman" w:hAnsi="Times New Roman" w:cs="Times New Roman" w:eastAsia="Times New Roman"/>
                <w:sz w:val="22"/>
              </w:rPr>
              <w:t xml:space="preserve">Marketing, sales, public relations, law, politics</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left"/>
            </w:pPr>
            <w:r>
              <w:rPr>
                <w:rFonts w:ascii="Times New Roman" w:hAnsi="Times New Roman" w:cs="Times New Roman" w:eastAsia="Times New Roman"/>
                <w:sz w:val="22"/>
              </w:rPr>
              <w:t xml:space="preserve">Teaching, nursing, social work, child care</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left"/>
            </w:pPr>
            <w:r>
              <w:rPr>
                <w:rFonts w:ascii="Times New Roman" w:hAnsi="Times New Roman" w:cs="Times New Roman" w:eastAsia="Times New Roman"/>
                <w:sz w:val="22"/>
              </w:rPr>
              <w:t xml:space="preserve">Cooking, home management, dietetics, hospitality</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bl>
    <w:p>
      <w:pPr>
        <w:pStyle w:val="BodyText"/>
        <w:spacing w:line="480" w:lineRule="auto" w:after="120"/>
        <w:jc w:val="both"/>
      </w:pPr>
      <w:r>
        <w:rPr>
          <w:rFonts w:ascii="Times New Roman" w:hAnsi="Times New Roman" w:cs="Times New Roman" w:eastAsia="Times New Roman"/>
          <w:i/>
          <w:iCs/>
          <w:sz w:val="24"/>
        </w:rPr>
        <w:t xml:space="preserve">(Each item appears in two areas, so 90 items yield 18 entries per area: 10 × 18 / 2 = 90 items.)</w:t>
      </w:r>
    </w:p>
    <w:bookmarkEnd w:id="82"/>
    <w:bookmarkStart w:id="83" w:name="X2c771d13d74c82b95636c6c54342a1467f44d67"/>
    <w:p>
      <w:pPr>
        <w:pStyle w:val="Heading3"/>
        <w:spacing w:line="360" w:lineRule="auto"/>
        <w:jc w:val="left"/>
      </w:pPr>
      <w:r>
        <w:rPr>
          <w:rFonts w:ascii="Times New Roman" w:hAnsi="Times New Roman" w:cs="Times New Roman" w:eastAsia="Times New Roman"/>
          <w:b/>
          <w:sz w:val="26"/>
        </w:rPr>
        <w:t xml:space="preserve">3.8.2 Administration, Materials, Scoring and Interpretation</w:t>
      </w:r>
    </w:p>
    <w:p>
      <w:pPr>
        <w:pStyle w:val="FirstParagraph"/>
        <w:spacing w:line="480" w:lineRule="auto" w:after="120"/>
        <w:jc w:val="both"/>
      </w:pPr>
      <w:r>
        <w:rPr>
          <w:rFonts w:ascii="Times New Roman" w:hAnsi="Times New Roman" w:cs="Times New Roman" w:eastAsia="Times New Roman"/>
          <w:sz w:val="24"/>
        </w:rPr>
        <w:t xml:space="preserve">The Record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self-administering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may be administered individually or in a group of 30–50 students at a time. The recommended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time limit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35 minutes (5 minutes for instructions and 30 minutes for the test); the test is essentially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power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not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speed test</w:t>
      </w:r>
      <w:r>
        <w:rPr>
          <w:rFonts w:ascii="Times New Roman" w:hAnsi="Times New Roman" w:cs="Times New Roman" w:eastAsia="Times New Roman"/>
          <w:sz w:val="24"/>
        </w:rPr>
        <w:t xml:space="preserve">, and most Class IX–X students complete it in 25–30 minutes. The materials supplied by the publisher comprise (a)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 Booklet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containing the 90 items in Devanagari, (b)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Separate Answer Sheet</w:t>
      </w:r>
      <w:r>
        <w:rPr>
          <w:rFonts w:ascii="Times New Roman" w:hAnsi="Times New Roman" w:cs="Times New Roman" w:eastAsia="Times New Roman"/>
          <w:sz w:val="24"/>
        </w:rPr>
        <w:t xml:space="preserve">, (c)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Hand Scoring Stencil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rapid hand scoring, and (d)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containing norms, reliability and validity data and interpretation guidelines.</w:t>
      </w:r>
    </w:p>
    <w:p>
      <w:pPr>
        <w:pStyle w:val="BodyText"/>
        <w:spacing w:line="480" w:lineRule="auto" w:after="120"/>
        <w:jc w:val="both"/>
      </w:pP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each item</w:t>
      </w:r>
      <w:r>
        <w:rPr>
          <w:rFonts w:ascii="Times New Roman" w:hAnsi="Times New Roman" w:cs="Times New Roman" w:eastAsia="Times New Roman"/>
          <w:sz w:val="24"/>
        </w:rPr>
        <w:t xml:space="preserve">, the activity selected by the testee receives a score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w:t>
      </w:r>
      <w:r>
        <w:rPr>
          <w:rFonts w:ascii="Times New Roman" w:hAnsi="Times New Roman" w:cs="Times New Roman" w:eastAsia="Times New Roman"/>
          <w:sz w:val="24"/>
        </w:rPr>
        <w:t xml:space="preserve">; the rejected activity receives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0</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total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obtained by counting the number of times the activities of that area were selected; since each area appears in 18 items,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ranges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0 to 18</w:t>
      </w:r>
      <w:r>
        <w:rPr>
          <w:rFonts w:ascii="Times New Roman" w:hAnsi="Times New Roman" w:cs="Times New Roman" w:eastAsia="Times New Roman"/>
          <w:sz w:val="24"/>
        </w:rPr>
        <w:t xml:space="preserve">. The ten area-scores together constitute the testee’s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The Manual recommends classifying the scores into three broad levels: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(0 – 5) — little spontaneous attraction;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 – 11) — mild to moderate liking;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(12 – 18) — strong liking, indicating that vocations of this area should be considered seriously in career planning. These three levels have also been used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presented in Chapter IV.</w:t>
      </w:r>
    </w:p>
    <w:bookmarkEnd w:id="83"/>
    <w:bookmarkEnd w:id="84"/>
    <w:bookmarkStart w:id="85" w:name="reliability-and-validity-of-the-tool"/>
    <w:p>
      <w:pPr>
        <w:pStyle w:val="Heading2"/>
        <w:spacing w:line="360" w:lineRule="auto"/>
        <w:jc w:val="center"/>
      </w:pPr>
      <w:r>
        <w:rPr>
          <w:rFonts w:ascii="Times New Roman" w:hAnsi="Times New Roman" w:cs="Times New Roman" w:eastAsia="Times New Roman"/>
          <w:b/>
          <w:sz w:val="28"/>
        </w:rPr>
        <w:t xml:space="preserve">3.9 Reliability and Validity of the Tool</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V.I.R. has been established by the author through both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test-retest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split-half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The reliability coefficients reported in the Manual are reproduced in Table 3.3.</w:t>
      </w:r>
    </w:p>
    <w:p>
      <w:pPr>
        <w:pStyle w:val="BodyText"/>
        <w:spacing w:line="480" w:lineRule="auto" w:after="120"/>
        <w:jc w:val="both"/>
      </w:pPr>
      <w:r>
        <w:rPr>
          <w:rFonts w:ascii="Times New Roman" w:hAnsi="Times New Roman" w:cs="Times New Roman" w:eastAsia="Times New Roman"/>
          <w:b/>
          <w:bCs/>
          <w:sz w:val="24"/>
        </w:rPr>
        <w:t xml:space="preserve">Table 3.3 — Reliability Coefficients of the Vocational Interest Record (as reported in the Manual)</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left"/>
            </w:pPr>
            <w:r>
              <w:rPr>
                <w:rFonts w:ascii="Times New Roman" w:hAnsi="Times New Roman" w:cs="Times New Roman" w:eastAsia="Times New Roman"/>
                <w:sz w:val="22"/>
              </w:rPr>
              <w:t xml:space="preserve">Method</w:t>
            </w:r>
          </w:p>
        </w:tc>
        <w:tc>
          <w:tcPr/>
          <w:p>
            <w:pPr>
              <w:pStyle w:val="Compact"/>
              <w:spacing w:line="276" w:lineRule="auto"/>
              <w:jc w:val="center"/>
            </w:pPr>
            <w:r>
              <w:rPr>
                <w:rFonts w:ascii="Times New Roman" w:hAnsi="Times New Roman" w:cs="Times New Roman" w:eastAsia="Times New Roman"/>
                <w:sz w:val="22"/>
              </w:rPr>
              <w:t xml:space="preserve">Sample (N)</w:t>
            </w:r>
          </w:p>
        </w:tc>
        <w:tc>
          <w:tcPr/>
          <w:p>
            <w:pPr>
              <w:pStyle w:val="Compact"/>
              <w:spacing w:line="276" w:lineRule="auto"/>
              <w:jc w:val="center"/>
            </w:pPr>
            <w:r>
              <w:rPr>
                <w:rFonts w:ascii="Times New Roman" w:hAnsi="Times New Roman" w:cs="Times New Roman" w:eastAsia="Times New Roman"/>
                <w:sz w:val="22"/>
              </w:rPr>
              <w:t xml:space="preserve">Time Gap</w:t>
            </w:r>
          </w:p>
        </w:tc>
        <w:tc>
          <w:tcPr/>
          <w:p>
            <w:pPr>
              <w:pStyle w:val="Compact"/>
              <w:spacing w:line="276" w:lineRule="auto"/>
              <w:jc w:val="center"/>
            </w:pPr>
            <w:r>
              <w:rPr>
                <w:rFonts w:ascii="Times New Roman" w:hAnsi="Times New Roman" w:cs="Times New Roman" w:eastAsia="Times New Roman"/>
                <w:sz w:val="22"/>
              </w:rPr>
              <w:t xml:space="preserve">Reliability Coefficient (r)</w:t>
            </w:r>
          </w:p>
        </w:tc>
      </w:tr>
      <w:tr>
        <w:tc>
          <w:tcPr/>
          <w:p>
            <w:pPr>
              <w:pStyle w:val="Compact"/>
              <w:spacing w:line="276" w:lineRule="auto"/>
              <w:jc w:val="left"/>
            </w:pPr>
            <w:r>
              <w:rPr>
                <w:rFonts w:ascii="Times New Roman" w:hAnsi="Times New Roman" w:cs="Times New Roman" w:eastAsia="Times New Roman"/>
                <w:sz w:val="22"/>
              </w:rPr>
              <w:t xml:space="preserve">Test-retest</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4 weeks</w:t>
            </w:r>
          </w:p>
        </w:tc>
        <w:tc>
          <w:tcPr/>
          <w:p>
            <w:pPr>
              <w:pStyle w:val="Compact"/>
              <w:spacing w:line="276" w:lineRule="auto"/>
              <w:jc w:val="center"/>
            </w:pPr>
            <w:r>
              <w:rPr>
                <w:rFonts w:ascii="Times New Roman" w:hAnsi="Times New Roman" w:cs="Times New Roman" w:eastAsia="Times New Roman"/>
                <w:sz w:val="22"/>
              </w:rPr>
              <w:t xml:space="preserve">0.85</w:t>
            </w:r>
          </w:p>
        </w:tc>
      </w:tr>
      <w:tr>
        <w:tc>
          <w:tcPr/>
          <w:p>
            <w:pPr>
              <w:pStyle w:val="Compact"/>
              <w:spacing w:line="276" w:lineRule="auto"/>
              <w:jc w:val="left"/>
            </w:pPr>
            <w:r>
              <w:rPr>
                <w:rFonts w:ascii="Times New Roman" w:hAnsi="Times New Roman" w:cs="Times New Roman" w:eastAsia="Times New Roman"/>
                <w:sz w:val="22"/>
              </w:rPr>
              <w:t xml:space="preserve">Test-retest</w:t>
            </w:r>
          </w:p>
        </w:tc>
        <w:tc>
          <w:tcPr/>
          <w:p>
            <w:pPr>
              <w:pStyle w:val="Compact"/>
              <w:spacing w:line="276" w:lineRule="auto"/>
              <w:jc w:val="center"/>
            </w:pPr>
            <w:r>
              <w:rPr>
                <w:rFonts w:ascii="Times New Roman" w:hAnsi="Times New Roman" w:cs="Times New Roman" w:eastAsia="Times New Roman"/>
                <w:sz w:val="22"/>
              </w:rPr>
              <w:t xml:space="preserve">150</w:t>
            </w:r>
          </w:p>
        </w:tc>
        <w:tc>
          <w:tcPr/>
          <w:p>
            <w:pPr>
              <w:pStyle w:val="Compact"/>
              <w:spacing w:line="276" w:lineRule="auto"/>
              <w:jc w:val="center"/>
            </w:pPr>
            <w:r>
              <w:rPr>
                <w:rFonts w:ascii="Times New Roman" w:hAnsi="Times New Roman" w:cs="Times New Roman" w:eastAsia="Times New Roman"/>
                <w:sz w:val="22"/>
              </w:rPr>
              <w:t xml:space="preserve">8 weeks</w:t>
            </w:r>
          </w:p>
        </w:tc>
        <w:tc>
          <w:tcPr/>
          <w:p>
            <w:pPr>
              <w:pStyle w:val="Compact"/>
              <w:spacing w:line="276" w:lineRule="auto"/>
              <w:jc w:val="center"/>
            </w:pPr>
            <w:r>
              <w:rPr>
                <w:rFonts w:ascii="Times New Roman" w:hAnsi="Times New Roman" w:cs="Times New Roman" w:eastAsia="Times New Roman"/>
                <w:sz w:val="22"/>
              </w:rPr>
              <w:t xml:space="preserve">0.79</w:t>
            </w:r>
          </w:p>
        </w:tc>
      </w:tr>
      <w:tr>
        <w:tc>
          <w:tcPr/>
          <w:p>
            <w:pPr>
              <w:pStyle w:val="Compact"/>
              <w:spacing w:line="276" w:lineRule="auto"/>
              <w:jc w:val="left"/>
            </w:pPr>
            <w:r>
              <w:rPr>
                <w:rFonts w:ascii="Times New Roman" w:hAnsi="Times New Roman" w:cs="Times New Roman" w:eastAsia="Times New Roman"/>
                <w:sz w:val="22"/>
              </w:rPr>
              <w:t xml:space="preserve">Split-half (odd-even)</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0.83</w:t>
            </w:r>
          </w:p>
        </w:tc>
      </w:tr>
      <w:tr>
        <w:tc>
          <w:tcPr/>
          <w:p>
            <w:pPr>
              <w:pStyle w:val="Compact"/>
              <w:spacing w:line="276" w:lineRule="auto"/>
              <w:jc w:val="left"/>
            </w:pPr>
            <w:r>
              <w:rPr>
                <w:rFonts w:ascii="Times New Roman" w:hAnsi="Times New Roman" w:cs="Times New Roman" w:eastAsia="Times New Roman"/>
                <w:sz w:val="22"/>
              </w:rPr>
              <w:t xml:space="preserve">Spearman-Brown corrected</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0.91</w:t>
            </w:r>
          </w:p>
        </w:tc>
      </w:tr>
      <w:tr>
        <w:tc>
          <w:tcPr/>
          <w:p>
            <w:pPr>
              <w:pStyle w:val="Compact"/>
              <w:spacing w:line="276" w:lineRule="auto"/>
              <w:jc w:val="left"/>
            </w:pPr>
            <w:r>
              <w:rPr>
                <w:rFonts w:ascii="Times New Roman" w:hAnsi="Times New Roman" w:cs="Times New Roman" w:eastAsia="Times New Roman"/>
                <w:sz w:val="22"/>
              </w:rPr>
              <w:t xml:space="preserve">Cronbach’s alpha (later validation)</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0.87</w:t>
            </w:r>
          </w:p>
        </w:tc>
      </w:tr>
    </w:tbl>
    <w:p>
      <w:pPr>
        <w:pStyle w:val="BodyText"/>
        <w:spacing w:line="480" w:lineRule="auto" w:after="120"/>
        <w:jc w:val="both"/>
      </w:pPr>
      <w:r>
        <w:rPr>
          <w:rFonts w:ascii="Times New Roman" w:hAnsi="Times New Roman" w:cs="Times New Roman" w:eastAsia="Times New Roman"/>
          <w:sz w:val="24"/>
        </w:rPr>
        <w:t xml:space="preserve">The reliability coefficients are uniformly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indicate that the Record measures vocational interest with good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stability</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Record has been established by the author through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90 items were drawn up after a thorough study of Indian occupational profiles and consultation with subject experts, vocational counsellors and senior school teachers, items not meeting the inter-judge agreement criterion of 0.80 being dropped; (b)</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factor analysis confirmed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ten-factor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structure of the Record on a sample of 600 secondary school students; (c)</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Concurrent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area-scores correlated with those of Vohra’s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 Interest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Bell-Adjustment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correlations ranging from 0.62 to 0.81; and (d)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follow-up study by the publisher five years after standardisation showed that 70 per cent of the testees were employed in occupations broadly consistent with the area in which they had scored highest. The reliability and validity data, taken together, place the V.I.R. among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best-established Indian instruments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measurement of vocational interest, and fully justify its use in the present investigation.</w:t>
      </w:r>
    </w:p>
    <w:bookmarkEnd w:id="85"/>
    <w:bookmarkStart w:id="86" w:name="procedure-of-data-collection"/>
    <w:p>
      <w:pPr>
        <w:pStyle w:val="Heading2"/>
        <w:spacing w:line="360" w:lineRule="auto"/>
        <w:jc w:val="center"/>
      </w:pPr>
      <w:r>
        <w:rPr>
          <w:rFonts w:ascii="Times New Roman" w:hAnsi="Times New Roman" w:cs="Times New Roman" w:eastAsia="Times New Roman"/>
          <w:b/>
          <w:sz w:val="28"/>
        </w:rPr>
        <w:t xml:space="preserve">3.10 Procedure of Data Collection</w:t>
      </w:r>
    </w:p>
    <w:p>
      <w:pPr>
        <w:pStyle w:val="FirstParagraph"/>
        <w:spacing w:line="480" w:lineRule="auto" w:after="120"/>
        <w:jc w:val="both"/>
      </w:pPr>
      <w:r>
        <w:rPr>
          <w:rFonts w:ascii="Times New Roman" w:hAnsi="Times New Roman" w:cs="Times New Roman" w:eastAsia="Times New Roman"/>
          <w:sz w:val="24"/>
        </w:rPr>
        <w:t xml:space="preserve">The data of the present study were collected by the investigator in person, in two phases corresponding to the two sample schools, through the following steps:</w:t>
      </w:r>
    </w:p>
    <w:p>
      <w:pPr>
        <w:pStyle w:val="BodyText"/>
        <w:spacing w:line="480" w:lineRule="auto" w:after="120"/>
        <w:jc w:val="both"/>
      </w:pPr>
      <w:r>
        <w:rPr>
          <w:rFonts w:ascii="Times New Roman" w:hAnsi="Times New Roman" w:cs="Times New Roman" w:eastAsia="Times New Roman"/>
          <w:b/>
          <w:bCs/>
          <w:sz w:val="24"/>
        </w:rPr>
        <w:t xml:space="preserve">Step 1 —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formal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Permission Letter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obtained from the Head, Department of Education, Meerut College, requesting the Principals of the two sample schools to grant the necessary permission for data collection (Appendix B).</w:t>
      </w:r>
    </w:p>
    <w:p>
      <w:pPr>
        <w:pStyle w:val="BodyText"/>
        <w:spacing w:line="480" w:lineRule="auto" w:after="120"/>
        <w:jc w:val="both"/>
      </w:pPr>
      <w:r>
        <w:rPr>
          <w:rFonts w:ascii="Times New Roman" w:hAnsi="Times New Roman" w:cs="Times New Roman" w:eastAsia="Times New Roman"/>
          <w:b/>
          <w:bCs/>
          <w:sz w:val="24"/>
        </w:rPr>
        <w:t xml:space="preserve">Step 2 — Establishing rapport.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Before the actual administration, the investigator visited each school, met the Principal and class teachers, explained the purpose of the study and the nature of the test, and assured them of the confidentiality of the responses and the wholly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non-evaluative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nature of the data.</w:t>
      </w:r>
    </w:p>
    <w:p>
      <w:pPr>
        <w:pStyle w:val="BodyText"/>
        <w:spacing w:line="480" w:lineRule="auto" w:after="120"/>
        <w:jc w:val="both"/>
      </w:pPr>
      <w:r>
        <w:rPr>
          <w:rFonts w:ascii="Times New Roman" w:hAnsi="Times New Roman" w:cs="Times New Roman" w:eastAsia="Times New Roman"/>
          <w:b/>
          <w:bCs/>
          <w:sz w:val="24"/>
        </w:rPr>
        <w:t xml:space="preserve">Step 3 — Selecting the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complete enrolment lists of Classes IX and X were obtained from the school office. Twenty serial numbers were drawn at random by the lottery method (Section 3.5).</w:t>
      </w:r>
    </w:p>
    <w:p>
      <w:pPr>
        <w:pStyle w:val="BodyText"/>
        <w:spacing w:line="480" w:lineRule="auto" w:after="120"/>
        <w:jc w:val="both"/>
      </w:pPr>
      <w:r>
        <w:rPr>
          <w:rFonts w:ascii="Times New Roman" w:hAnsi="Times New Roman" w:cs="Times New Roman" w:eastAsia="Times New Roman"/>
          <w:b/>
          <w:bCs/>
          <w:sz w:val="24"/>
        </w:rPr>
        <w:t xml:space="preserve">Step 4 —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 Record was administered to the selected students in a quiet classroom during a regular school period. The investigator distributed the booklets and answer sheets and read out the standard instructions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home language of the rural sample) and in a paraphrase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English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CBSE sample). Specimen items 1 and 2 were worked out on the blackboard. Doubts of the students were clarified, after which the actual testing began.</w:t>
      </w:r>
    </w:p>
    <w:p>
      <w:pPr>
        <w:pStyle w:val="BodyText"/>
        <w:spacing w:line="480" w:lineRule="auto" w:after="120"/>
        <w:jc w:val="both"/>
      </w:pPr>
      <w:r>
        <w:rPr>
          <w:rFonts w:ascii="Times New Roman" w:hAnsi="Times New Roman" w:cs="Times New Roman" w:eastAsia="Times New Roman"/>
          <w:b/>
          <w:bCs/>
          <w:sz w:val="24"/>
        </w:rPr>
        <w:t xml:space="preserve">Step 5 — Time and Collection.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completed the Record in 25 to 35 minutes. In line with the Manual, no rigid time limit was enforced. The investigator went round the class quietly to ensure that students were proceeding correctly without copying or consultation. At the end, the booklets and answer sheets were collected, the students were thanked and a small gesture of appreciation (a chocolate / pencil) was given.</w:t>
      </w:r>
    </w:p>
    <w:p>
      <w:pPr>
        <w:pStyle w:val="BodyText"/>
        <w:spacing w:line="480" w:lineRule="auto" w:after="120"/>
        <w:jc w:val="both"/>
      </w:pPr>
      <w:r>
        <w:rPr>
          <w:rFonts w:ascii="Times New Roman" w:hAnsi="Times New Roman" w:cs="Times New Roman" w:eastAsia="Times New Roman"/>
          <w:b/>
          <w:bCs/>
          <w:sz w:val="24"/>
        </w:rPr>
        <w:t xml:space="preserve">Step 6 —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administration was carried out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 January 2026 to 28 February 2026</w:t>
      </w:r>
      <w:r>
        <w:rPr>
          <w:rFonts w:ascii="Times New Roman" w:hAnsi="Times New Roman" w:cs="Times New Roman" w:eastAsia="Times New Roman"/>
          <w:sz w:val="24"/>
        </w:rPr>
        <w:t xml:space="preserve">, in the second half of the academic session, when the Class IX and X students were sufficiently settled into their school routine.</w:t>
      </w:r>
    </w:p>
    <w:bookmarkEnd w:id="86"/>
    <w:bookmarkStart w:id="87" w:name="scoring-procedure"/>
    <w:p>
      <w:pPr>
        <w:pStyle w:val="Heading2"/>
        <w:spacing w:line="360" w:lineRule="auto"/>
        <w:jc w:val="center"/>
      </w:pPr>
      <w:r>
        <w:rPr>
          <w:rFonts w:ascii="Times New Roman" w:hAnsi="Times New Roman" w:cs="Times New Roman" w:eastAsia="Times New Roman"/>
          <w:b/>
          <w:sz w:val="28"/>
        </w:rPr>
        <w:t xml:space="preserve">3.11 Scoring Procedure</w:t>
      </w:r>
    </w:p>
    <w:p>
      <w:pPr>
        <w:pStyle w:val="FirstParagraph"/>
        <w:spacing w:line="480" w:lineRule="auto" w:after="120"/>
        <w:jc w:val="both"/>
      </w:pPr>
      <w:r>
        <w:rPr>
          <w:rFonts w:ascii="Times New Roman" w:hAnsi="Times New Roman" w:cs="Times New Roman" w:eastAsia="Times New Roman"/>
          <w:sz w:val="24"/>
        </w:rPr>
        <w:t xml:space="preserve">The 40 answer sheets were scored manually with the help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Hand Scoring Stencil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supplied with the Record. The investigator placed the Stencil over the answer sheet and matched the punched holes against the responses given by the testee. For each of the ten areas, the number of times the testee had selected the activity belonging to that area was counted; this number — ranging from 0 to 18 — became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raw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that area. The ten raw scores were entered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Master Score Sheet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(Appendix C for boys and Appendix D for girls). To check scoring reliability, approximately 10 per cent of the answer sheets (4 selected at random) were independently re-scored by a second M.Ed. colleague; the agreement was over 99 per cent, and the few isolated disagreements were resolved by joint re-examination. The Master Score Sheet thus prepared formed the basis of all subsequent statistical analysis (Chapter IV).</w:t>
      </w:r>
    </w:p>
    <w:bookmarkEnd w:id="87"/>
    <w:bookmarkStart w:id="93" w:name="statistical-techniques-used"/>
    <w:p>
      <w:pPr>
        <w:pStyle w:val="Heading2"/>
        <w:spacing w:line="360" w:lineRule="auto"/>
        <w:jc w:val="center"/>
      </w:pPr>
      <w:r>
        <w:rPr>
          <w:rFonts w:ascii="Times New Roman" w:hAnsi="Times New Roman" w:cs="Times New Roman" w:eastAsia="Times New Roman"/>
          <w:b/>
          <w:sz w:val="28"/>
        </w:rPr>
        <w:t xml:space="preserve">3.12 Statistical Techniques Used</w:t>
      </w:r>
    </w:p>
    <w:p>
      <w:pPr>
        <w:pStyle w:val="FirstParagraph"/>
        <w:spacing w:line="480" w:lineRule="auto" w:after="120"/>
        <w:jc w:val="both"/>
      </w:pPr>
      <w:r>
        <w:rPr>
          <w:rFonts w:ascii="Times New Roman" w:hAnsi="Times New Roman" w:cs="Times New Roman" w:eastAsia="Times New Roman"/>
          <w:sz w:val="24"/>
        </w:rPr>
        <w:t xml:space="preserve">In keeping with the descriptive survey design, the following statistical techniques were employed:</w:t>
      </w:r>
    </w:p>
    <w:bookmarkStart w:id="88" w:name="mean-m"/>
    <w:p>
      <w:pPr>
        <w:pStyle w:val="Heading3"/>
        <w:spacing w:line="360" w:lineRule="auto"/>
        <w:jc w:val="left"/>
      </w:pPr>
      <w:r>
        <w:rPr>
          <w:rFonts w:ascii="Times New Roman" w:hAnsi="Times New Roman" w:cs="Times New Roman" w:eastAsia="Times New Roman"/>
          <w:b/>
          <w:sz w:val="26"/>
        </w:rPr>
        <w:t xml:space="preserve">3.12.1 Mean (M)</w:t>
      </w:r>
    </w:p>
    <w:p>
      <w:pPr>
        <w:pStyle w:val="FirstParagraph"/>
        <w:spacing w:line="480" w:lineRule="auto" w:after="120"/>
        <w:jc w:val="both"/>
      </w:pPr>
      <w:r>
        <w:rPr>
          <w:rFonts w:ascii="Times New Roman" w:hAnsi="Times New Roman" w:cs="Times New Roman" w:eastAsia="Times New Roman"/>
          <w:sz w:val="24"/>
        </w:rPr>
        <w:t xml:space="preserve">For each of the ten areas,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of the boys’ group and of the girls’ group has been computed as:</w:t>
      </w:r>
    </w:p>
    <w:p>
      <w:pPr>
        <w:pStyle w:val="BodyText"/>
        <w:spacing w:line="480" w:lineRule="auto" w:after="120"/>
        <w:jc w:val="both"/>
      </w:pPr>
      <m:oMathPara>
        <m:oMathParaPr>
          <m:jc m:val="center"/>
        </m:oMathParaPr>
        <m:oMath>
          <m:r>
            <m:t>M</m:t>
          </m:r>
          <m:r>
            <m:rPr>
              <m:sty m:val="p"/>
            </m:rPr>
            <m:t>=</m:t>
          </m:r>
          <m:f>
            <m:fPr>
              <m:type m:val="bar"/>
            </m:fPr>
            <m:num>
              <m:r>
                <m:rPr>
                  <m:sty m:val="p"/>
                </m:rPr>
                <m:t>∑</m:t>
              </m:r>
              <m:r>
                <m:t>X</m:t>
              </m:r>
            </m:num>
            <m:den>
              <m:r>
                <m:t>N</m:t>
              </m:r>
            </m:den>
          </m:f>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ΣX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sum of all the raw scores in that area for the group,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number of testees in the group (here, 20).</w:t>
      </w:r>
    </w:p>
    <w:bookmarkEnd w:id="88"/>
    <w:bookmarkStart w:id="89" w:name="standard-deviation-s.d.-σ"/>
    <w:p>
      <w:pPr>
        <w:pStyle w:val="Heading3"/>
        <w:spacing w:line="360" w:lineRule="auto"/>
        <w:jc w:val="left"/>
      </w:pPr>
      <w:r>
        <w:rPr>
          <w:rFonts w:ascii="Times New Roman" w:hAnsi="Times New Roman" w:cs="Times New Roman" w:eastAsia="Times New Roman"/>
          <w:b/>
          <w:sz w:val="26"/>
        </w:rPr>
        <w:t xml:space="preserve">3.12.2 Standard Deviation (S.D., σ)</w:t>
      </w:r>
    </w:p>
    <w:p>
      <w:pPr>
        <w:pStyle w:val="FirstParagraph"/>
        <w:spacing w:line="480" w:lineRule="auto" w:after="120"/>
        <w:jc w:val="both"/>
      </w:pPr>
      <w:r>
        <w:rPr>
          <w:rFonts w:ascii="Times New Roman" w:hAnsi="Times New Roman" w:cs="Times New Roman" w:eastAsia="Times New Roman"/>
          <w:sz w:val="24"/>
        </w:rPr>
        <w:t xml:space="preserve">For each area, the unbiased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group has been computed as:</w:t>
      </w:r>
    </w:p>
    <w:p>
      <w:pPr>
        <w:pStyle w:val="BodyText"/>
        <w:spacing w:line="480" w:lineRule="auto" w:after="120"/>
        <w:jc w:val="both"/>
      </w:pPr>
      <m:oMathPara>
        <m:oMathParaPr>
          <m:jc m:val="center"/>
        </m:oMathParaPr>
        <m:oMath>
          <m:r>
            <m:t>σ</m:t>
          </m:r>
          <m:r>
            <m:rPr>
              <m:sty m:val="p"/>
            </m:rPr>
            <m:t>=</m:t>
          </m:r>
          <m:rad>
            <m:radPr>
              <m:degHide m:val="on"/>
            </m:radPr>
            <m:deg/>
            <m:e>
              <m:f>
                <m:fPr>
                  <m:type m:val="bar"/>
                </m:fPr>
                <m:num>
                  <m:r>
                    <m:rPr>
                      <m:sty m:val="p"/>
                    </m:rPr>
                    <m:t>∑</m:t>
                  </m:r>
                  <m:r>
                    <m:rPr>
                      <m:sty m:val="p"/>
                    </m:rPr>
                    <m:t>(</m:t>
                  </m:r>
                  <m:r>
                    <m:t>X</m:t>
                  </m:r>
                  <m:r>
                    <m:rPr>
                      <m:sty m:val="p"/>
                    </m:rPr>
                    <m:t>−</m:t>
                  </m:r>
                  <m:r>
                    <m:t>M</m:t>
                  </m:r>
                  <m:sSup>
                    <m:e>
                      <m:r>
                        <m:rPr>
                          <m:sty m:val="p"/>
                        </m:rPr>
                        <m:t>)</m:t>
                      </m:r>
                    </m:e>
                    <m:sup>
                      <m:r>
                        <m:t>2</m:t>
                      </m:r>
                    </m:sup>
                  </m:sSup>
                </m:num>
                <m:den>
                  <m:r>
                    <m:t>N</m:t>
                  </m:r>
                  <m:r>
                    <m:rPr>
                      <m:sty m:val="p"/>
                    </m:rPr>
                    <m:t>−</m:t>
                  </m:r>
                  <m:r>
                    <m:t>1</m:t>
                  </m:r>
                </m:den>
              </m:f>
            </m:e>
          </m:rad>
        </m:oMath>
      </m:oMathPara>
    </w:p>
    <w:p>
      <w:pPr>
        <w:pStyle w:val="FirstParagraph"/>
        <w:spacing w:line="480" w:lineRule="auto" w:after="120"/>
        <w:jc w:val="both"/>
      </w:pPr>
      <w:r>
        <w:rPr>
          <w:rFonts w:ascii="Times New Roman" w:hAnsi="Times New Roman" w:cs="Times New Roman" w:eastAsia="Times New Roman"/>
          <w:sz w:val="24"/>
        </w:rPr>
        <w:t xml:space="preserve">(The investigator has used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unbiased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 estimator throughout, as recommended by Garrett &amp; Woodworth, 1981.)</w:t>
      </w:r>
    </w:p>
    <w:bookmarkEnd w:id="89"/>
    <w:bookmarkStart w:id="90" w:name="t-test-for-two-independent-means"/>
    <w:p>
      <w:pPr>
        <w:pStyle w:val="Heading3"/>
        <w:spacing w:line="360" w:lineRule="auto"/>
        <w:jc w:val="left"/>
      </w:pPr>
      <w:r>
        <w:rPr>
          <w:rFonts w:ascii="Times New Roman" w:hAnsi="Times New Roman" w:cs="Times New Roman" w:eastAsia="Times New Roman"/>
          <w:b/>
          <w:sz w:val="26"/>
        </w:rPr>
        <w:t xml:space="preserve">3.12.3 t-test for Two Independent Means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of significance has been used to determine whether the difference between the mean scores of the boys’ group and the girls’ group on each of the ten areas is statistically significant or whether it could plausibly have arisen by chance. The formula is:</w:t>
      </w:r>
    </w:p>
    <w:p>
      <w:pPr>
        <w:pStyle w:val="BodyText"/>
        <w:spacing w:line="480" w:lineRule="auto" w:after="120"/>
        <w:jc w:val="both"/>
      </w:pPr>
      <m:oMathPara>
        <m:oMathParaPr>
          <m:jc m:val="center"/>
        </m:oMathParaPr>
        <m:oMath>
          <m:r>
            <m:t>t</m:t>
          </m:r>
          <m:r>
            <m:rPr>
              <m:sty m:val="p"/>
            </m:rPr>
            <m:t>=</m:t>
          </m:r>
          <m:f>
            <m:fPr>
              <m:type m:val="bar"/>
            </m:fPr>
            <m:num>
              <m:sSub>
                <m:e>
                  <m:r>
                    <m:t>M</m:t>
                  </m:r>
                </m:e>
                <m:sub>
                  <m:r>
                    <m:t>1</m:t>
                  </m:r>
                </m:sub>
              </m:sSub>
              <m:r>
                <m:rPr>
                  <m:sty m:val="p"/>
                </m:rPr>
                <m:t>−</m:t>
              </m:r>
              <m:sSub>
                <m:e>
                  <m:r>
                    <m:t>M</m:t>
                  </m:r>
                </m:e>
                <m:sub>
                  <m:r>
                    <m:t>2</m:t>
                  </m:r>
                </m:sub>
              </m:sSub>
            </m:num>
            <m:den>
              <m:rad>
                <m:radPr>
                  <m:degHide m:val="on"/>
                </m:radPr>
                <m:deg/>
                <m:e>
                  <m:f>
                    <m:fPr>
                      <m:type m:val="bar"/>
                    </m:fPr>
                    <m:num>
                      <m:r>
                        <m:rPr>
                          <m:sty m:val="p"/>
                        </m:rPr>
                        <m:t>(</m:t>
                      </m:r>
                      <m:sSub>
                        <m:e>
                          <m:r>
                            <m:t>N</m:t>
                          </m:r>
                        </m:e>
                        <m:sub>
                          <m:r>
                            <m:t>1</m:t>
                          </m:r>
                        </m:sub>
                      </m:sSub>
                      <m:r>
                        <m:rPr>
                          <m:sty m:val="p"/>
                        </m:rPr>
                        <m:t>−</m:t>
                      </m:r>
                      <m:r>
                        <m:t>1</m:t>
                      </m:r>
                      <m:r>
                        <m:rPr>
                          <m:sty m:val="p"/>
                        </m:rPr>
                        <m:t>)</m:t>
                      </m:r>
                      <m:sSubSup>
                        <m:e>
                          <m:r>
                            <m:t>σ</m:t>
                          </m:r>
                        </m:e>
                        <m:sub>
                          <m:r>
                            <m:t>1</m:t>
                          </m:r>
                        </m:sub>
                        <m:sup>
                          <m:r>
                            <m:t>2</m:t>
                          </m:r>
                        </m:sup>
                      </m:sSubSup>
                      <m:r>
                        <m:rPr>
                          <m:sty m:val="p"/>
                        </m:rPr>
                        <m:t>+</m:t>
                      </m:r>
                      <m:r>
                        <m:rPr>
                          <m:sty m:val="p"/>
                        </m:rPr>
                        <m:t>(</m:t>
                      </m:r>
                      <m:sSub>
                        <m:e>
                          <m:r>
                            <m:t>N</m:t>
                          </m:r>
                        </m:e>
                        <m:sub>
                          <m:r>
                            <m:t>2</m:t>
                          </m:r>
                        </m:sub>
                      </m:sSub>
                      <m:r>
                        <m:rPr>
                          <m:sty m:val="p"/>
                        </m:rPr>
                        <m:t>−</m:t>
                      </m:r>
                      <m:r>
                        <m:t>1</m:t>
                      </m:r>
                      <m:r>
                        <m:rPr>
                          <m:sty m:val="p"/>
                        </m:rPr>
                        <m:t>)</m:t>
                      </m:r>
                      <m:sSubSup>
                        <m:e>
                          <m:r>
                            <m:t>σ</m:t>
                          </m:r>
                        </m:e>
                        <m:sub>
                          <m:r>
                            <m:t>2</m:t>
                          </m:r>
                        </m:sub>
                        <m:sup>
                          <m:r>
                            <m:t>2</m:t>
                          </m:r>
                        </m:sup>
                      </m:sSubSup>
                    </m:num>
                    <m:den>
                      <m:sSub>
                        <m:e>
                          <m:r>
                            <m:t>N</m:t>
                          </m:r>
                        </m:e>
                        <m:sub>
                          <m:r>
                            <m:t>1</m:t>
                          </m:r>
                        </m:sub>
                      </m:sSub>
                      <m:r>
                        <m:rPr>
                          <m:sty m:val="p"/>
                        </m:rPr>
                        <m:t>+</m:t>
                      </m:r>
                      <m:sSub>
                        <m:e>
                          <m:r>
                            <m:t>N</m:t>
                          </m:r>
                        </m:e>
                        <m:sub>
                          <m:r>
                            <m:t>2</m:t>
                          </m:r>
                        </m:sub>
                      </m:sSub>
                      <m:r>
                        <m:rPr>
                          <m:sty m:val="p"/>
                        </m:rPr>
                        <m:t>−</m:t>
                      </m:r>
                      <m:r>
                        <m:t>2</m:t>
                      </m:r>
                    </m:den>
                  </m:f>
                  <m:r>
                    <m:rPr>
                      <m:sty m:val="p"/>
                    </m:rPr>
                    <m:t>×</m:t>
                  </m:r>
                  <m:d>
                    <m:dPr>
                      <m:begChr m:val="("/>
                      <m:sepChr m:val=""/>
                      <m:endChr m:val=")"/>
                      <m:grow/>
                    </m:dPr>
                    <m:e>
                      <m:f>
                        <m:fPr>
                          <m:type m:val="bar"/>
                        </m:fPr>
                        <m:num>
                          <m:r>
                            <m:t>1</m:t>
                          </m:r>
                        </m:num>
                        <m:den>
                          <m:sSub>
                            <m:e>
                              <m:r>
                                <m:t>N</m:t>
                              </m:r>
                            </m:e>
                            <m:sub>
                              <m:r>
                                <m:t>1</m:t>
                              </m:r>
                            </m:sub>
                          </m:sSub>
                        </m:den>
                      </m:f>
                      <m:r>
                        <m:rPr>
                          <m:sty m:val="p"/>
                        </m:rPr>
                        <m:t>+</m:t>
                      </m:r>
                      <m:f>
                        <m:fPr>
                          <m:type m:val="bar"/>
                        </m:fPr>
                        <m:num>
                          <m:r>
                            <m:t>1</m:t>
                          </m:r>
                        </m:num>
                        <m:den>
                          <m:sSub>
                            <m:e>
                              <m:r>
                                <m:t>N</m:t>
                              </m:r>
                            </m:e>
                            <m:sub>
                              <m:r>
                                <m:t>2</m:t>
                              </m:r>
                            </m:sub>
                          </m:sSub>
                        </m:den>
                      </m:f>
                    </m:e>
                  </m:d>
                </m:e>
              </m:rad>
            </m:den>
          </m:f>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means of boys and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σ₁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σ₂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their standard deviations;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degrees of freedom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 = N₁ + N₂ − 2 = 38</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critical 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 = 38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jc w:val="left"/>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Critical t</w:t>
            </w:r>
          </w:p>
        </w:tc>
      </w:tr>
      <w:tr>
        <w:tc>
          <w:tcPr/>
          <w:p>
            <w:pPr>
              <w:pStyle w:val="Compact"/>
              <w:spacing w:line="276" w:lineRule="auto"/>
              <w:jc w:val="left"/>
            </w:pPr>
            <w:r>
              <w:rPr>
                <w:rFonts w:ascii="Times New Roman" w:hAnsi="Times New Roman" w:cs="Times New Roman" w:eastAsia="Times New Roman"/>
                <w:sz w:val="22"/>
              </w:rPr>
              <w:t xml:space="preserve">0.05</w:t>
            </w:r>
          </w:p>
        </w:tc>
        <w:tc>
          <w:tcPr/>
          <w:p>
            <w:pPr>
              <w:pStyle w:val="Compact"/>
              <w:spacing w:line="276" w:lineRule="auto"/>
              <w:jc w:val="center"/>
            </w:pPr>
            <w:r>
              <w:rPr>
                <w:rFonts w:ascii="Times New Roman" w:hAnsi="Times New Roman" w:cs="Times New Roman" w:eastAsia="Times New Roman"/>
                <w:sz w:val="22"/>
              </w:rPr>
              <w:t xml:space="preserve">2.024</w:t>
            </w:r>
          </w:p>
        </w:tc>
      </w:tr>
      <w:tr>
        <w:tc>
          <w:tcPr/>
          <w:p>
            <w:pPr>
              <w:pStyle w:val="Compact"/>
              <w:spacing w:line="276" w:lineRule="auto"/>
              <w:jc w:val="left"/>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2.711</w:t>
            </w:r>
          </w:p>
        </w:tc>
      </w:tr>
      <w:tr>
        <w:tc>
          <w:tcPr/>
          <w:p>
            <w:pPr>
              <w:pStyle w:val="Compact"/>
              <w:spacing w:line="276" w:lineRule="auto"/>
              <w:jc w:val="left"/>
            </w:pPr>
            <w:r>
              <w:rPr>
                <w:rFonts w:ascii="Times New Roman" w:hAnsi="Times New Roman" w:cs="Times New Roman" w:eastAsia="Times New Roman"/>
                <w:sz w:val="22"/>
              </w:rPr>
              <w:t xml:space="preserve">0.001</w:t>
            </w:r>
          </w:p>
        </w:tc>
        <w:tc>
          <w:tcPr/>
          <w:p>
            <w:pPr>
              <w:pStyle w:val="Compact"/>
              <w:spacing w:line="276" w:lineRule="auto"/>
              <w:jc w:val="center"/>
            </w:pPr>
            <w:r>
              <w:rPr>
                <w:rFonts w:ascii="Times New Roman" w:hAnsi="Times New Roman" w:cs="Times New Roman" w:eastAsia="Times New Roman"/>
                <w:sz w:val="22"/>
              </w:rPr>
              <w:t xml:space="preserve">3.566</w:t>
            </w:r>
          </w:p>
        </w:tc>
      </w:tr>
    </w:tbl>
    <w:p>
      <w:pPr>
        <w:pStyle w:val="BodyText"/>
        <w:spacing w:line="480" w:lineRule="auto" w:after="120"/>
        <w:jc w:val="both"/>
      </w:pPr>
      <w:r>
        <w:rPr>
          <w:rFonts w:ascii="Times New Roman" w:hAnsi="Times New Roman" w:cs="Times New Roman" w:eastAsia="Times New Roman"/>
          <w:sz w:val="24"/>
        </w:rPr>
        <w:t xml:space="preserve">A computed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equal to or greater than these critical values indicates that the difference is significant at the corresponding level;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less than 2.024 indicates that the null hypothesis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cannot be rejected.</w:t>
      </w:r>
    </w:p>
    <w:bookmarkEnd w:id="90"/>
    <w:bookmarkStart w:id="91" w:name="percentage-analysis"/>
    <w:p>
      <w:pPr>
        <w:pStyle w:val="Heading3"/>
        <w:spacing w:line="360" w:lineRule="auto"/>
        <w:jc w:val="left"/>
      </w:pPr>
      <w:r>
        <w:rPr>
          <w:rFonts w:ascii="Times New Roman" w:hAnsi="Times New Roman" w:cs="Times New Roman" w:eastAsia="Times New Roman"/>
          <w:b/>
          <w:sz w:val="26"/>
        </w:rPr>
        <w:t xml:space="preserve">3.12.4 Percentage Analysis</w:t>
      </w:r>
    </w:p>
    <w:p>
      <w:pPr>
        <w:pStyle w:val="FirstParagraph"/>
        <w:spacing w:line="480" w:lineRule="auto" w:after="120"/>
        <w:jc w:val="both"/>
      </w:pPr>
      <w:r>
        <w:rPr>
          <w:rFonts w:ascii="Times New Roman" w:hAnsi="Times New Roman" w:cs="Times New Roman" w:eastAsia="Times New Roman"/>
          <w:sz w:val="24"/>
        </w:rPr>
        <w:t xml:space="preserve">In addition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carried out to obtain a more readable picture of the comparative profile. Each testee’s score in each area has been classified into one of three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(6–11) 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(12–18) —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boys and of girls falling at each level has been computed as:</w:t>
      </w:r>
    </w:p>
    <w:p>
      <w:pPr>
        <w:pStyle w:val="BodyText"/>
        <w:spacing w:line="480" w:lineRule="auto" w:after="120"/>
        <w:jc w:val="both"/>
      </w:pPr>
      <m:oMathPara>
        <m:oMathParaPr>
          <m:jc m:val="center"/>
        </m:oMathParaPr>
        <m:oMath>
          <m:r>
            <m:rPr>
              <m:nor/>
              <m:sty m:val="p"/>
            </m:rPr>
            <m:t>Percentage</m:t>
          </m:r>
          <m:r>
            <m:rPr>
              <m:sty m:val="p"/>
            </m:rPr>
            <m:t>=</m:t>
          </m:r>
          <m:f>
            <m:fPr>
              <m:type m:val="bar"/>
            </m:fPr>
            <m:num>
              <m:r>
                <m:t>f</m:t>
              </m:r>
            </m:num>
            <m:den>
              <m:r>
                <m:t>N</m:t>
              </m:r>
            </m:den>
          </m:f>
          <m:r>
            <m:rPr>
              <m:sty m:val="p"/>
            </m:rPr>
            <m:t>×</m:t>
          </m:r>
          <m:r>
            <m:t>100</m:t>
          </m:r>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frequency of testees in the level under consideration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w:t>
      </w:r>
    </w:p>
    <w:bookmarkEnd w:id="91"/>
    <w:bookmarkStart w:id="92" w:name="rank-order-analysis"/>
    <w:p>
      <w:pPr>
        <w:pStyle w:val="Heading3"/>
        <w:spacing w:line="360" w:lineRule="auto"/>
        <w:jc w:val="left"/>
      </w:pPr>
      <w:r>
        <w:rPr>
          <w:rFonts w:ascii="Times New Roman" w:hAnsi="Times New Roman" w:cs="Times New Roman" w:eastAsia="Times New Roman"/>
          <w:b/>
          <w:sz w:val="26"/>
        </w:rPr>
        <w:t xml:space="preserve">3.12.5 Rank-Order Analysis</w:t>
      </w:r>
    </w:p>
    <w:p>
      <w:pPr>
        <w:pStyle w:val="FirstParagraph"/>
        <w:spacing w:line="480" w:lineRule="auto" w:after="120"/>
        <w:jc w:val="both"/>
      </w:pP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Objective 5</w:t>
      </w:r>
      <w:r>
        <w:rPr>
          <w:rFonts w:ascii="Times New Roman" w:hAnsi="Times New Roman" w:cs="Times New Roman" w:eastAsia="Times New Roman"/>
          <w:sz w:val="24"/>
        </w:rPr>
        <w:t xml:space="preserve">, the ten areas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separately for boys and for girls in the descending order of mean scores (highest mean = Rank 1). The two rank orders were then compared item-by-item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Spearman Rank-Order Correlation Coefficient (ρ)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computed:</w:t>
      </w:r>
    </w:p>
    <w:p>
      <w:pPr>
        <w:pStyle w:val="BodyText"/>
        <w:spacing w:line="480" w:lineRule="auto" w:after="120"/>
        <w:jc w:val="both"/>
      </w:pPr>
      <m:oMathPara>
        <m:oMathParaPr>
          <m:jc m:val="center"/>
        </m:oMathParaPr>
        <m:oMath>
          <m:r>
            <m:t>ρ</m:t>
          </m:r>
          <m:r>
            <m:rPr>
              <m:sty m:val="p"/>
            </m:rPr>
            <m:t>=</m:t>
          </m:r>
          <m:r>
            <m:t>1</m:t>
          </m:r>
          <m:r>
            <m:rPr>
              <m:sty m:val="p"/>
            </m:rPr>
            <m:t>−</m:t>
          </m:r>
          <m:f>
            <m:fPr>
              <m:type m:val="bar"/>
            </m:fPr>
            <m:num>
              <m:r>
                <m:t>6</m:t>
              </m:r>
              <m:r>
                <m:rPr>
                  <m:sty m:val="p"/>
                </m:rPr>
                <m:t>∑</m:t>
              </m:r>
              <m:sSup>
                <m:e>
                  <m:r>
                    <m:t>d</m:t>
                  </m:r>
                </m:e>
                <m:sup>
                  <m:r>
                    <m:t>2</m:t>
                  </m:r>
                </m:sup>
              </m:sSup>
            </m:num>
            <m:den>
              <m:r>
                <m:t>n</m:t>
              </m:r>
              <m:r>
                <m:rPr>
                  <m:sty m:val="p"/>
                </m:rPr>
                <m:t>(</m:t>
              </m:r>
              <m:sSup>
                <m:e>
                  <m:r>
                    <m:t>n</m:t>
                  </m:r>
                </m:e>
                <m:sup>
                  <m:r>
                    <m:t>2</m:t>
                  </m:r>
                </m:sup>
              </m:sSup>
              <m:r>
                <m:rPr>
                  <m:sty m:val="p"/>
                </m:rPr>
                <m:t>−</m:t>
              </m:r>
              <m:r>
                <m:t>1</m:t>
              </m:r>
              <m:r>
                <m:rPr>
                  <m:sty m:val="p"/>
                </m:rPr>
                <m:t>)</m:t>
              </m:r>
            </m:den>
          </m:f>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difference between the two ranks for each area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10.</w:t>
      </w:r>
    </w:p>
    <w:bookmarkEnd w:id="92"/>
    <w:bookmarkEnd w:id="93"/>
    <w:bookmarkStart w:id="94" w:name="ethical-considerations"/>
    <w:p>
      <w:pPr>
        <w:pStyle w:val="Heading2"/>
        <w:spacing w:line="360" w:lineRule="auto"/>
        <w:jc w:val="center"/>
      </w:pPr>
      <w:r>
        <w:rPr>
          <w:rFonts w:ascii="Times New Roman" w:hAnsi="Times New Roman" w:cs="Times New Roman" w:eastAsia="Times New Roman"/>
          <w:b/>
          <w:sz w:val="28"/>
        </w:rPr>
        <w:t xml:space="preserve">3.13 Ethical Considerations</w:t>
      </w:r>
    </w:p>
    <w:p>
      <w:pPr>
        <w:pStyle w:val="FirstParagraph"/>
        <w:spacing w:line="480" w:lineRule="auto" w:after="120"/>
        <w:jc w:val="both"/>
      </w:pPr>
      <w:r>
        <w:rPr>
          <w:rFonts w:ascii="Times New Roman" w:hAnsi="Times New Roman" w:cs="Times New Roman" w:eastAsia="Times New Roman"/>
          <w:sz w:val="24"/>
        </w:rPr>
        <w:t xml:space="preserve">The investigator has scrupulously observed the following ethical requirements: (i)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informed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Principals of both schools, and of the parents wherever required, was obtained before testing; (ii) the testees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fully informed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about the purpose of the study and the nature of the test, and were assured that their responses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 for academic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would not affect their school standing in any way; (iii) the students were given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 to withdraw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any stage, although in fact none chose to do so; (iv)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anonymity and 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students were maintained — in the Master Score Sheet (Appendices C and D) the students are referred to by serial numbers and not by name; (v) the investigator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reported the data without any fabrication, falsification or selective omission; and (vi) all secondary sources cited have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properly acknowledged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APA 7th edition style in the bibliography.</w:t>
      </w:r>
    </w:p>
    <w:bookmarkEnd w:id="94"/>
    <w:bookmarkStart w:id="95" w:name="limitations-of-the-methodology"/>
    <w:p>
      <w:pPr>
        <w:pStyle w:val="Heading2"/>
        <w:spacing w:line="360" w:lineRule="auto"/>
        <w:jc w:val="center"/>
      </w:pPr>
      <w:r>
        <w:rPr>
          <w:rFonts w:ascii="Times New Roman" w:hAnsi="Times New Roman" w:cs="Times New Roman" w:eastAsia="Times New Roman"/>
          <w:b/>
          <w:sz w:val="28"/>
        </w:rPr>
        <w:t xml:space="preserve">3.14 Limitations of the Methodology</w:t>
      </w:r>
    </w:p>
    <w:p>
      <w:pPr>
        <w:pStyle w:val="FirstParagraph"/>
        <w:spacing w:line="480" w:lineRule="auto" w:after="120"/>
        <w:jc w:val="both"/>
      </w:pPr>
      <w:r>
        <w:rPr>
          <w:rFonts w:ascii="Times New Roman" w:hAnsi="Times New Roman" w:cs="Times New Roman" w:eastAsia="Times New Roman"/>
          <w:sz w:val="24"/>
        </w:rPr>
        <w:t xml:space="preserve">While every effort has been made to design a methodologically sound study, the following limitations must be acknowledged in advance:</w:t>
      </w:r>
    </w:p>
    <w:p>
      <w:pPr>
        <w:numPr>
          <w:ilvl w:val="0"/>
          <w:numId w:val="1010"/>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40) is small; although adequate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generalisation must be made with caution.</w:t>
      </w:r>
    </w:p>
    <w:p>
      <w:pPr>
        <w:numPr>
          <w:ilvl w:val="0"/>
          <w:numId w:val="1010"/>
        </w:numPr>
        <w:spacing w:line="480" w:lineRule="auto" w:after="120"/>
        <w:jc w:val="both"/>
      </w:pPr>
      <w:r>
        <w:rPr>
          <w:rFonts w:ascii="Times New Roman" w:hAnsi="Times New Roman" w:cs="Times New Roman" w:eastAsia="Times New Roman"/>
          <w:sz w:val="24"/>
        </w:rPr>
        <w:t xml:space="preserve">The two groups (boys and girls) have been drawn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Government rural U.P. Board school for boys and a Private urban CBSE school for girls. This maximum-contrast design is methodologically defensible (Section 3.6) and similar to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“comparison-of-extremes”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design recommended by Best &amp; Kahn (2017), but it does mean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cannot be entirely separated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Strictly speaking, the present study compares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“Government-rural-U.P.-Board boys versus Private-urban-CBSE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versus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general</w:t>
      </w:r>
      <w:r>
        <w:rPr>
          <w:rFonts w:ascii="Times New Roman" w:hAnsi="Times New Roman" w:cs="Times New Roman" w:eastAsia="Times New Roman"/>
          <w:sz w:val="24"/>
        </w:rPr>
        <w:t xml:space="preserve">. The investigator has acknowledged this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Limitations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section of Chapter V.</w:t>
      </w:r>
    </w:p>
    <w:p>
      <w:pPr>
        <w:numPr>
          <w:ilvl w:val="0"/>
          <w:numId w:val="1010"/>
        </w:numPr>
        <w:spacing w:line="48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V.I.R. — has been used; a multi-instrument assessment would have yielded a richer picture.</w:t>
      </w:r>
    </w:p>
    <w:p>
      <w:pPr>
        <w:numPr>
          <w:ilvl w:val="0"/>
          <w:numId w:val="1010"/>
        </w:numPr>
        <w:spacing w:line="480" w:lineRule="auto" w:after="120"/>
        <w:jc w:val="both"/>
      </w:pPr>
      <w:r>
        <w:rPr>
          <w:rFonts w:ascii="Times New Roman" w:hAnsi="Times New Roman" w:cs="Times New Roman" w:eastAsia="Times New Roman"/>
          <w:sz w:val="24"/>
        </w:rPr>
        <w:t xml:space="preserve">The study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cross-sectional</w:t>
      </w:r>
      <w:r>
        <w:rPr>
          <w:rFonts w:ascii="Times New Roman" w:hAnsi="Times New Roman" w:cs="Times New Roman" w:eastAsia="Times New Roman"/>
          <w:sz w:val="24"/>
        </w:rPr>
        <w:t xml:space="preserve">; a longitudinal design tracking the same students from Class IX to Class XII would have been preferable but is beyond the time-scale of an M.Ed. dissertation.</w:t>
      </w:r>
    </w:p>
    <w:p>
      <w:pPr>
        <w:numPr>
          <w:ilvl w:val="0"/>
          <w:numId w:val="1010"/>
        </w:numPr>
        <w:spacing w:line="480" w:lineRule="auto" w:after="120"/>
        <w:jc w:val="both"/>
      </w:pPr>
      <w:r>
        <w:rPr>
          <w:rFonts w:ascii="Times New Roman" w:hAnsi="Times New Roman" w:cs="Times New Roman" w:eastAsia="Times New Roman"/>
          <w:i/>
          <w:iCs/>
          <w:sz w:val="24"/>
        </w:rPr>
        <w:t xml:space="preserve">Background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parental education, socio-economic status and parental encouragement — known to influence vocational interest — have not been measured.</w:t>
      </w:r>
    </w:p>
    <w:p>
      <w:pPr>
        <w:numPr>
          <w:ilvl w:val="0"/>
          <w:numId w:val="1010"/>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limited to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Percentage Analysis and Spearman ρ; ANOVA, factor analysis and multiple regression have not been applied.</w:t>
      </w:r>
    </w:p>
    <w:p>
      <w:pPr>
        <w:pStyle w:val="FirstParagraph"/>
        <w:spacing w:line="480" w:lineRule="auto" w:after="120"/>
        <w:jc w:val="both"/>
      </w:pPr>
      <w:r>
        <w:rPr>
          <w:rFonts w:ascii="Times New Roman" w:hAnsi="Times New Roman" w:cs="Times New Roman" w:eastAsia="Times New Roman"/>
          <w:sz w:val="24"/>
        </w:rPr>
        <w:t xml:space="preserve">These limitations notwithstanding, the methodology is considered adequate for the kind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exploratory comparative 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present M.Ed. study sets out to provide. Chapter IV now presents the analysis and interpretation of the data collected in accordance with the methodology described above.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III ***</w:t>
      </w:r>
    </w:p>
    <w:p>
      <w:pPr>
        <w:spacing w:line="480" w:lineRule="auto" w:after="120"/>
        <w:jc w:val="both"/>
      </w:pPr>
      <w:r>
        <w:rPr>
          <w:rFonts w:ascii="Times New Roman" w:hAnsi="Times New Roman" w:cs="Times New Roman" w:eastAsia="Times New Roman"/>
          <w:sz w:val="24"/>
        </w:rPr>
        <w:br w:type="page"/>
      </w:r>
    </w:p>
    <w:bookmarkEnd w:id="95"/>
    <w:bookmarkEnd w:id="96"/>
    <w:bookmarkStart w:id="97" w:name="chapter-iv"/>
    <w:p>
      <w:pPr>
        <w:pStyle w:val="Heading1"/>
        <w:spacing w:line="360" w:lineRule="auto"/>
        <w:jc w:val="center"/>
      </w:pPr>
      <w:r>
        <w:rPr>
          <w:rFonts w:ascii="Times New Roman" w:hAnsi="Times New Roman" w:cs="Times New Roman" w:eastAsia="Times New Roman"/>
          <w:b/>
          <w:sz w:val="32"/>
        </w:rPr>
        <w:t xml:space="preserve">CHAPTER – IV</w:t>
      </w:r>
    </w:p>
    <w:bookmarkEnd w:id="97"/>
    <w:bookmarkStart w:id="125" w:name="data-analysis-and-interpretation"/>
    <w:p>
      <w:pPr>
        <w:pStyle w:val="Heading1"/>
        <w:spacing w:line="360" w:lineRule="auto"/>
        <w:jc w:val="center"/>
      </w:pPr>
      <w:r>
        <w:rPr>
          <w:rFonts w:ascii="Times New Roman" w:hAnsi="Times New Roman" w:cs="Times New Roman" w:eastAsia="Times New Roman"/>
          <w:b/>
          <w:sz w:val="32"/>
        </w:rPr>
        <w:t xml:space="preserve">DATA ANALYSIS AND INTERPRETATION</w:t>
      </w:r>
    </w:p>
    <w:bookmarkStart w:id="98" w:name="introduction-4"/>
    <w:p>
      <w:pPr>
        <w:pStyle w:val="Heading2"/>
        <w:spacing w:line="360" w:lineRule="auto"/>
        <w:jc w:val="center"/>
      </w:pPr>
      <w:r>
        <w:rPr>
          <w:rFonts w:ascii="Times New Roman" w:hAnsi="Times New Roman" w:cs="Times New Roman" w:eastAsia="Times New Roman"/>
          <w:b/>
          <w:sz w:val="28"/>
        </w:rPr>
        <w:t xml:space="preserve">4.1 Introduction</w:t>
      </w:r>
    </w:p>
    <w:p>
      <w:pPr>
        <w:pStyle w:val="FirstParagraph"/>
        <w:spacing w:line="480" w:lineRule="auto" w:after="120"/>
        <w:jc w:val="both"/>
      </w:pPr>
      <w:r>
        <w:rPr>
          <w:rFonts w:ascii="Times New Roman" w:hAnsi="Times New Roman" w:cs="Times New Roman" w:eastAsia="Times New Roman"/>
          <w:sz w:val="24"/>
        </w:rPr>
        <w:t xml:space="preserve">The present chapter presents the systematic analysis and interpretation of the data collected from the 40 secondary school students of Meerut District (20 boys of Shri Sanskrit Inter College, Aitmadpur and 20 girls of K.P. International School, Kila Parikshit Garh) by means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It is organised so as to answer, one by one, the five objectives set out in Chapter I and to test the three null hypotheses formulated there. The principal sections are: 4.2 Descriptive Analysis of the Total Sample; 4.3 Area-wise Vocational Interest Scores of Boys (Objective 1); 4.4 Area-wise Vocational Interest Scores of Girls (Objective 2); 4.5 Comparison of Boys and Girls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(Objective 3, H₀1); 4.6 Percentage Distribution of Levels of Vocational Interest (Objective 4, H₀2); 4.7 Rank Order of Areas (Objective 5, H₀3); 4.8 Graphical Presentation; and 4.9 Discussion. Every quantitative table is followed by a textual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The data have been processed manually and verified in a Microsoft Excel spreadsheet.</w:t>
      </w:r>
    </w:p>
    <w:bookmarkEnd w:id="98"/>
    <w:bookmarkStart w:id="99" w:name="Xdebd972d673dd6ebff281322f1995a37c3ced46"/>
    <w:p>
      <w:pPr>
        <w:pStyle w:val="Heading2"/>
        <w:spacing w:line="360" w:lineRule="auto"/>
        <w:jc w:val="center"/>
      </w:pPr>
      <w:r>
        <w:rPr>
          <w:rFonts w:ascii="Times New Roman" w:hAnsi="Times New Roman" w:cs="Times New Roman" w:eastAsia="Times New Roman"/>
          <w:b/>
          <w:sz w:val="28"/>
        </w:rPr>
        <w:t xml:space="preserve">4.2 Descriptive Analysis of the Total Sample (N = 40)</w:t>
      </w:r>
    </w:p>
    <w:p>
      <w:pPr>
        <w:pStyle w:val="FirstParagraph"/>
        <w:spacing w:line="480" w:lineRule="auto" w:after="120"/>
        <w:jc w:val="both"/>
      </w:pPr>
      <w:r>
        <w:rPr>
          <w:rFonts w:ascii="Times New Roman" w:hAnsi="Times New Roman" w:cs="Times New Roman" w:eastAsia="Times New Roman"/>
          <w:sz w:val="24"/>
        </w:rPr>
        <w:t xml:space="preserve">Before turning to the gender-wise comparison, it is useful to look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mean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combined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40 students, presented in Table 4.1.</w:t>
      </w:r>
    </w:p>
    <w:p>
      <w:pPr>
        <w:pStyle w:val="BodyText"/>
        <w:spacing w:line="480" w:lineRule="auto" w:after="120"/>
        <w:jc w:val="both"/>
      </w:pPr>
      <w:r>
        <w:rPr>
          <w:rFonts w:ascii="Times New Roman" w:hAnsi="Times New Roman" w:cs="Times New Roman" w:eastAsia="Times New Roman"/>
          <w:b/>
          <w:bCs/>
          <w:sz w:val="24"/>
        </w:rPr>
        <w:t xml:space="preserve">Table 4.1 — Mean and Standard Deviation of the Total Sample on the Ten Areas of Vocational Interest (N = 40)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Range</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8.45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3 – 15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9.80</w:t>
            </w:r>
          </w:p>
        </w:tc>
        <w:tc>
          <w:tcPr/>
          <w:p>
            <w:pPr>
              <w:pStyle w:val="Compact"/>
              <w:spacing w:line="276" w:lineRule="auto"/>
              <w:jc w:val="center"/>
            </w:pPr>
            <w:r>
              <w:rPr>
                <w:rFonts w:ascii="Times New Roman" w:hAnsi="Times New Roman" w:cs="Times New Roman" w:eastAsia="Times New Roman"/>
                <w:sz w:val="22"/>
              </w:rPr>
              <w:t xml:space="preserve">3.30</w:t>
            </w:r>
          </w:p>
        </w:tc>
        <w:tc>
          <w:tcPr/>
          <w:p>
            <w:pPr>
              <w:pStyle w:val="Compact"/>
              <w:spacing w:line="276" w:lineRule="auto"/>
              <w:jc w:val="center"/>
            </w:pPr>
            <w:r>
              <w:rPr>
                <w:rFonts w:ascii="Times New Roman" w:hAnsi="Times New Roman" w:cs="Times New Roman" w:eastAsia="Times New Roman"/>
                <w:sz w:val="22"/>
              </w:rPr>
              <w:t xml:space="preserve">2 – 17</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8.78</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3 – 15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8.43</w:t>
            </w:r>
          </w:p>
        </w:tc>
        <w:tc>
          <w:tcPr/>
          <w:p>
            <w:pPr>
              <w:pStyle w:val="Compact"/>
              <w:spacing w:line="276" w:lineRule="auto"/>
              <w:jc w:val="center"/>
            </w:pPr>
            <w:r>
              <w:rPr>
                <w:rFonts w:ascii="Times New Roman" w:hAnsi="Times New Roman" w:cs="Times New Roman" w:eastAsia="Times New Roman"/>
                <w:sz w:val="22"/>
              </w:rPr>
              <w:t xml:space="preserve">2.35</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9.48</w:t>
            </w:r>
          </w:p>
        </w:tc>
        <w:tc>
          <w:tcPr/>
          <w:p>
            <w:pPr>
              <w:pStyle w:val="Compact"/>
              <w:spacing w:line="276" w:lineRule="auto"/>
              <w:jc w:val="center"/>
            </w:pPr>
            <w:r>
              <w:rPr>
                <w:rFonts w:ascii="Times New Roman" w:hAnsi="Times New Roman" w:cs="Times New Roman" w:eastAsia="Times New Roman"/>
                <w:sz w:val="22"/>
              </w:rPr>
              <w:t xml:space="preserve">3.45</w:t>
            </w:r>
          </w:p>
        </w:tc>
        <w:tc>
          <w:tcPr/>
          <w:p>
            <w:pPr>
              <w:pStyle w:val="Compact"/>
              <w:spacing w:line="276" w:lineRule="auto"/>
              <w:jc w:val="center"/>
            </w:pPr>
            <w:r>
              <w:rPr>
                <w:rFonts w:ascii="Times New Roman" w:hAnsi="Times New Roman" w:cs="Times New Roman" w:eastAsia="Times New Roman"/>
                <w:sz w:val="22"/>
              </w:rPr>
              <w:t xml:space="preserve">2 – 18</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9.28</w:t>
            </w:r>
          </w:p>
        </w:tc>
        <w:tc>
          <w:tcPr/>
          <w:p>
            <w:pPr>
              <w:pStyle w:val="Compact"/>
              <w:spacing w:line="276" w:lineRule="auto"/>
              <w:jc w:val="center"/>
            </w:pPr>
            <w:r>
              <w:rPr>
                <w:rFonts w:ascii="Times New Roman" w:hAnsi="Times New Roman" w:cs="Times New Roman" w:eastAsia="Times New Roman"/>
                <w:sz w:val="22"/>
              </w:rPr>
              <w:t xml:space="preserve">2.85</w:t>
            </w:r>
          </w:p>
        </w:tc>
        <w:tc>
          <w:tcPr/>
          <w:p>
            <w:pPr>
              <w:pStyle w:val="Compact"/>
              <w:spacing w:line="276" w:lineRule="auto"/>
              <w:jc w:val="center"/>
            </w:pPr>
            <w:r>
              <w:rPr>
                <w:rFonts w:ascii="Times New Roman" w:hAnsi="Times New Roman" w:cs="Times New Roman" w:eastAsia="Times New Roman"/>
                <w:sz w:val="22"/>
              </w:rPr>
              <w:t xml:space="preserve">3 – 17</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8.53</w:t>
            </w:r>
          </w:p>
        </w:tc>
        <w:tc>
          <w:tcPr/>
          <w:p>
            <w:pPr>
              <w:pStyle w:val="Compact"/>
              <w:spacing w:line="276" w:lineRule="auto"/>
              <w:jc w:val="center"/>
            </w:pPr>
            <w:r>
              <w:rPr>
                <w:rFonts w:ascii="Times New Roman" w:hAnsi="Times New Roman" w:cs="Times New Roman" w:eastAsia="Times New Roman"/>
                <w:sz w:val="22"/>
              </w:rPr>
              <w:t xml:space="preserve">3.10</w:t>
            </w:r>
          </w:p>
        </w:tc>
        <w:tc>
          <w:tcPr/>
          <w:p>
            <w:pPr>
              <w:pStyle w:val="Compact"/>
              <w:spacing w:line="276" w:lineRule="auto"/>
              <w:jc w:val="center"/>
            </w:pPr>
            <w:r>
              <w:rPr>
                <w:rFonts w:ascii="Times New Roman" w:hAnsi="Times New Roman" w:cs="Times New Roman" w:eastAsia="Times New Roman"/>
                <w:sz w:val="22"/>
              </w:rPr>
              <w:t xml:space="preserve">1 – 16</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9.13</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jc w:val="center"/>
            </w:pPr>
            <w:r>
              <w:rPr>
                <w:rFonts w:ascii="Times New Roman" w:hAnsi="Times New Roman" w:cs="Times New Roman" w:eastAsia="Times New Roman"/>
                <w:sz w:val="22"/>
              </w:rPr>
              <w:t xml:space="preserve">4 – 15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9.15</w:t>
            </w:r>
          </w:p>
        </w:tc>
        <w:tc>
          <w:tcPr/>
          <w:p>
            <w:pPr>
              <w:pStyle w:val="Compact"/>
              <w:spacing w:line="276" w:lineRule="auto"/>
              <w:jc w:val="center"/>
            </w:pPr>
            <w:r>
              <w:rPr>
                <w:rFonts w:ascii="Times New Roman" w:hAnsi="Times New Roman" w:cs="Times New Roman" w:eastAsia="Times New Roman"/>
                <w:sz w:val="22"/>
              </w:rPr>
              <w:t xml:space="preserve">2.75</w:t>
            </w:r>
          </w:p>
        </w:tc>
        <w:tc>
          <w:tcPr/>
          <w:p>
            <w:pPr>
              <w:pStyle w:val="Compact"/>
              <w:spacing w:line="276" w:lineRule="auto"/>
              <w:jc w:val="center"/>
            </w:pPr>
            <w:r>
              <w:rPr>
                <w:rFonts w:ascii="Times New Roman" w:hAnsi="Times New Roman" w:cs="Times New Roman" w:eastAsia="Times New Roman"/>
                <w:sz w:val="22"/>
              </w:rPr>
              <w:t xml:space="preserve">3 – 16</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8.95</w:t>
            </w:r>
          </w:p>
        </w:tc>
        <w:tc>
          <w:tcPr/>
          <w:p>
            <w:pPr>
              <w:pStyle w:val="Compact"/>
              <w:spacing w:line="276" w:lineRule="auto"/>
              <w:jc w:val="center"/>
            </w:pPr>
            <w:r>
              <w:rPr>
                <w:rFonts w:ascii="Times New Roman" w:hAnsi="Times New Roman" w:cs="Times New Roman" w:eastAsia="Times New Roman"/>
                <w:sz w:val="22"/>
              </w:rPr>
              <w:t xml:space="preserve">3.85</w:t>
            </w:r>
          </w:p>
        </w:tc>
        <w:tc>
          <w:tcPr/>
          <w:p>
            <w:pPr>
              <w:pStyle w:val="Compact"/>
              <w:spacing w:line="276" w:lineRule="auto"/>
              <w:jc w:val="center"/>
            </w:pPr>
            <w:r>
              <w:rPr>
                <w:rFonts w:ascii="Times New Roman" w:hAnsi="Times New Roman" w:cs="Times New Roman" w:eastAsia="Times New Roman"/>
                <w:sz w:val="22"/>
              </w:rPr>
              <w:t xml:space="preserve">1 – 18</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sexes are pooled,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emerges as the most popular interest (M = 9.80), closely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(9.48),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(9.28),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(9.15)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(9.13).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the least popular (M = 8.43). The differences between area-means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in magnitude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largest gap is only 1.37 score-points), but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deviations are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(2.35 to 3.85), indicating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combined picture conceals a great deal of within-sample variation</w:t>
      </w:r>
      <w:r>
        <w:rPr>
          <w:rFonts w:ascii="Times New Roman" w:hAnsi="Times New Roman" w:cs="Times New Roman" w:eastAsia="Times New Roman"/>
          <w:sz w:val="24"/>
        </w:rPr>
        <w:t xml:space="preserve">. The wide range of scores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(1–18)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(2–18) areas points particularly clearly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bimodal distribution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existence of two distinct sub-groups within the total sample, one which is very high and another very low on these areas. The clear suspicion is that the two sub-groups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w:t>
      </w:r>
      <w:r>
        <w:rPr>
          <w:rFonts w:ascii="Times New Roman" w:hAnsi="Times New Roman" w:cs="Times New Roman" w:eastAsia="Times New Roman"/>
          <w:sz w:val="24"/>
        </w:rPr>
        <w:t xml:space="preserve">; the remaining sections of the chapter test this empirically.</w:t>
      </w:r>
    </w:p>
    <w:bookmarkEnd w:id="99"/>
    <w:bookmarkStart w:id="102" w:name="X04f164e30ef9a80ffa66ff7dde245a22573b745"/>
    <w:p>
      <w:pPr>
        <w:pStyle w:val="Heading2"/>
        <w:spacing w:line="360" w:lineRule="auto"/>
        <w:jc w:val="center"/>
      </w:pPr>
      <w:r>
        <w:rPr>
          <w:rFonts w:ascii="Times New Roman" w:hAnsi="Times New Roman" w:cs="Times New Roman" w:eastAsia="Times New Roman"/>
          <w:b/>
          <w:sz w:val="28"/>
        </w:rPr>
        <w:t xml:space="preserve">4.3 Area-wise Vocational Interest Scores of Boys (Objective 1)</w:t>
      </w:r>
    </w:p>
    <w:p>
      <w:pPr>
        <w:pStyle w:val="FirstParagraph"/>
        <w:spacing w:line="480" w:lineRule="auto" w:after="120"/>
        <w:jc w:val="both"/>
      </w:pPr>
      <w:r>
        <w:rPr>
          <w:rFonts w:ascii="Times New Roman" w:hAnsi="Times New Roman" w:cs="Times New Roman" w:eastAsia="Times New Roman"/>
          <w:sz w:val="24"/>
        </w:rPr>
        <w:t xml:space="preserve">The 20 boys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 10 + Class X = 10) constituted this sub-sample. Their scores have been analysed below.</w:t>
      </w:r>
    </w:p>
    <w:bookmarkStart w:id="100" w:name="frequency-distribution-of-boys-scores"/>
    <w:p>
      <w:pPr>
        <w:pStyle w:val="Heading3"/>
        <w:spacing w:line="360" w:lineRule="auto"/>
        <w:jc w:val="left"/>
      </w:pPr>
      <w:r>
        <w:rPr>
          <w:rFonts w:ascii="Times New Roman" w:hAnsi="Times New Roman" w:cs="Times New Roman" w:eastAsia="Times New Roman"/>
          <w:b/>
          <w:sz w:val="26"/>
        </w:rPr>
        <w:t xml:space="preserve">4.3.1 Frequency Distribution of Boys’ Scores</w:t>
      </w:r>
    </w:p>
    <w:p>
      <w:pPr>
        <w:pStyle w:val="FirstParagraph"/>
        <w:spacing w:line="480" w:lineRule="auto" w:after="120"/>
        <w:jc w:val="both"/>
      </w:pPr>
      <w:r>
        <w:rPr>
          <w:rFonts w:ascii="Times New Roman" w:hAnsi="Times New Roman" w:cs="Times New Roman" w:eastAsia="Times New Roman"/>
          <w:b/>
          <w:bCs/>
          <w:sz w:val="24"/>
        </w:rPr>
        <w:t xml:space="preserve">Table 4.2 — Area-wise Frequency Distribution of Boys’ Scores at the Three Levels of Vocational Interest (N = 20)</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(0–5)</w:t>
            </w:r>
          </w:p>
        </w:tc>
        <w:tc>
          <w:tcPr/>
          <w:p>
            <w:pPr>
              <w:pStyle w:val="Compact"/>
              <w:spacing w:line="276" w:lineRule="auto"/>
              <w:jc w:val="center"/>
            </w:pPr>
            <w:r>
              <w:rPr>
                <w:rFonts w:ascii="Times New Roman" w:hAnsi="Times New Roman" w:cs="Times New Roman" w:eastAsia="Times New Roman"/>
                <w:sz w:val="22"/>
              </w:rPr>
              <w:t xml:space="preserve">Average (6–11)</w:t>
            </w:r>
          </w:p>
        </w:tc>
        <w:tc>
          <w:tcPr/>
          <w:p>
            <w:pPr>
              <w:pStyle w:val="Compact"/>
              <w:spacing w:line="276" w:lineRule="auto"/>
              <w:jc w:val="center"/>
            </w:pPr>
            <w:r>
              <w:rPr>
                <w:rFonts w:ascii="Times New Roman" w:hAnsi="Times New Roman" w:cs="Times New Roman" w:eastAsia="Times New Roman"/>
                <w:sz w:val="22"/>
              </w:rPr>
              <w:t xml:space="preserve">High (12–18)</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20</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attract the greatest concentration of boys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 12 and 11 boys respectively (60 % and 55 %).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shows 8 boys (40 %) at the High level, congruent with the rural background of the boys.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 6 boys each (30 %);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shows 5 (25 %). By contrast, only 1 boy reaches the High level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and only 2 each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these four areas are clearly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least preferred</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row shows the 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concentration: 10 of 20 boys (50 %) score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pointing to the deeply gender-typed perception of household occupations among rural-Government-school boys.</w:t>
      </w:r>
    </w:p>
    <w:bookmarkEnd w:id="100"/>
    <w:bookmarkStart w:id="101" w:name="Xc9010c23f0a8c8a5a1a264134ac6258dfd2f409"/>
    <w:p>
      <w:pPr>
        <w:pStyle w:val="Heading3"/>
        <w:spacing w:line="360" w:lineRule="auto"/>
        <w:jc w:val="left"/>
      </w:pPr>
      <w:r>
        <w:rPr>
          <w:rFonts w:ascii="Times New Roman" w:hAnsi="Times New Roman" w:cs="Times New Roman" w:eastAsia="Times New Roman"/>
          <w:b/>
          <w:sz w:val="26"/>
        </w:rPr>
        <w:t xml:space="preserve">4.3.2 Mean, Standard Deviation and Range of Boys’ Scores</w:t>
      </w:r>
    </w:p>
    <w:p>
      <w:pPr>
        <w:pStyle w:val="FirstParagraph"/>
        <w:spacing w:line="480" w:lineRule="auto" w:after="120"/>
        <w:jc w:val="both"/>
      </w:pPr>
      <w:r>
        <w:rPr>
          <w:rFonts w:ascii="Times New Roman" w:hAnsi="Times New Roman" w:cs="Times New Roman" w:eastAsia="Times New Roman"/>
          <w:b/>
          <w:bCs/>
          <w:sz w:val="24"/>
        </w:rPr>
        <w:t xml:space="preserve">Table 4.3 — Mean, Standard Deviation and Range of Boys’ Scores on the Ten Areas of Vocational Interest (N = 20)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Range (Min – Max)</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 – 12</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6 – 17</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4 – 15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4 – 13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7 – 18</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5 – 16</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4 – 15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3 – 12</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1 – 12</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Arranged in descending order of mean scores, the boys place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top (M = 11.90),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(11.65),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(10.35),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(9.60),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(9.50),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(7.75),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(7.05)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(5.80). The standard deviations are uniformly moderate (2.00 – 2.65), indicating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homogeneous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distributions within the boys’ group. The boys are most strongly drawn towards Constructive (Technical), Scientific and Agricultural vocations and least drawn towards Literary, Artistic, Social and Household — a pattern in close conformity with the traditional masculine occupational image in Indian rural society and with the trends reported by Singh and Verma (2023), Reddy and Kumar (2021), Joshi (2020), Mehta (2019) and Yadav (2016).</w:t>
      </w:r>
    </w:p>
    <w:bookmarkEnd w:id="101"/>
    <w:bookmarkEnd w:id="102"/>
    <w:bookmarkStart w:id="105" w:name="X17231c890cd3071010169917fbdff3ed02a8516"/>
    <w:p>
      <w:pPr>
        <w:pStyle w:val="Heading2"/>
        <w:spacing w:line="360" w:lineRule="auto"/>
        <w:jc w:val="center"/>
      </w:pPr>
      <w:r>
        <w:rPr>
          <w:rFonts w:ascii="Times New Roman" w:hAnsi="Times New Roman" w:cs="Times New Roman" w:eastAsia="Times New Roman"/>
          <w:b/>
          <w:sz w:val="28"/>
        </w:rPr>
        <w:t xml:space="preserve">4.4 Area-wise Vocational Interest Scores of Girls (Objective 2)</w:t>
      </w:r>
    </w:p>
    <w:p>
      <w:pPr>
        <w:pStyle w:val="FirstParagraph"/>
        <w:spacing w:line="480" w:lineRule="auto" w:after="120"/>
        <w:jc w:val="both"/>
      </w:pPr>
      <w:r>
        <w:rPr>
          <w:rFonts w:ascii="Times New Roman" w:hAnsi="Times New Roman" w:cs="Times New Roman" w:eastAsia="Times New Roman"/>
          <w:sz w:val="24"/>
        </w:rPr>
        <w:t xml:space="preserve">The 20 girls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 10 + Class X = 10) constituted this sub-sample.</w:t>
      </w:r>
    </w:p>
    <w:bookmarkStart w:id="103" w:name="frequency-distribution-of-girls-scores"/>
    <w:p>
      <w:pPr>
        <w:pStyle w:val="Heading3"/>
        <w:spacing w:line="360" w:lineRule="auto"/>
        <w:jc w:val="left"/>
      </w:pPr>
      <w:r>
        <w:rPr>
          <w:rFonts w:ascii="Times New Roman" w:hAnsi="Times New Roman" w:cs="Times New Roman" w:eastAsia="Times New Roman"/>
          <w:b/>
          <w:sz w:val="26"/>
        </w:rPr>
        <w:t xml:space="preserve">4.4.1 Frequency Distribution of Girls’ Scores</w:t>
      </w:r>
    </w:p>
    <w:p>
      <w:pPr>
        <w:pStyle w:val="FirstParagraph"/>
        <w:spacing w:line="480" w:lineRule="auto" w:after="120"/>
        <w:jc w:val="both"/>
      </w:pPr>
      <w:r>
        <w:rPr>
          <w:rFonts w:ascii="Times New Roman" w:hAnsi="Times New Roman" w:cs="Times New Roman" w:eastAsia="Times New Roman"/>
          <w:b/>
          <w:bCs/>
          <w:sz w:val="24"/>
        </w:rPr>
        <w:t xml:space="preserve">Table 4.4 — Area-wise Frequency Distribution of Girls’ Scores at the Three Levels of Vocational Interest (N = 20)</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(0–5)</w:t>
            </w:r>
          </w:p>
        </w:tc>
        <w:tc>
          <w:tcPr/>
          <w:p>
            <w:pPr>
              <w:pStyle w:val="Compact"/>
              <w:spacing w:line="276" w:lineRule="auto"/>
              <w:jc w:val="center"/>
            </w:pPr>
            <w:r>
              <w:rPr>
                <w:rFonts w:ascii="Times New Roman" w:hAnsi="Times New Roman" w:cs="Times New Roman" w:eastAsia="Times New Roman"/>
                <w:sz w:val="22"/>
              </w:rPr>
              <w:t xml:space="preserve">Average (6–11)</w:t>
            </w:r>
          </w:p>
        </w:tc>
        <w:tc>
          <w:tcPr/>
          <w:p>
            <w:pPr>
              <w:pStyle w:val="Compact"/>
              <w:spacing w:line="276" w:lineRule="auto"/>
              <w:jc w:val="center"/>
            </w:pPr>
            <w:r>
              <w:rPr>
                <w:rFonts w:ascii="Times New Roman" w:hAnsi="Times New Roman" w:cs="Times New Roman" w:eastAsia="Times New Roman"/>
                <w:sz w:val="22"/>
              </w:rPr>
              <w:t xml:space="preserve">High (12–18)</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20</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4.4 shows a markedly different pattern.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attracts the largest concentration of girls at the High level (12 of 20, 60 %);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next (9 of 20, 45 %),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 of 20, 40 %)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 of 20, 30 %). Only 2 girls each (10 %) score at the High level on Scientific, Executive and Constructive, and only 1 (5 %) on Agricultural.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rows show 35 % of girls each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What the boys score lowest on (Household, Artistic, Social, Literary) the girls score highest on,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vice versa</w:t>
      </w:r>
      <w:r>
        <w:rPr>
          <w:rFonts w:ascii="Times New Roman" w:hAnsi="Times New Roman" w:cs="Times New Roman" w:eastAsia="Times New Roman"/>
          <w:sz w:val="24"/>
        </w:rPr>
        <w:t xml:space="preserve">; 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mirror-image relationship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most striking findings of the present study.</w:t>
      </w:r>
    </w:p>
    <w:bookmarkEnd w:id="103"/>
    <w:bookmarkStart w:id="104" w:name="Xa64280c31e560aca991936d4067223d7f0094b2"/>
    <w:p>
      <w:pPr>
        <w:pStyle w:val="Heading3"/>
        <w:spacing w:line="360" w:lineRule="auto"/>
        <w:jc w:val="left"/>
      </w:pPr>
      <w:r>
        <w:rPr>
          <w:rFonts w:ascii="Times New Roman" w:hAnsi="Times New Roman" w:cs="Times New Roman" w:eastAsia="Times New Roman"/>
          <w:b/>
          <w:sz w:val="26"/>
        </w:rPr>
        <w:t xml:space="preserve">4.4.2 Mean, Standard Deviation and Range of Girls’ Scores</w:t>
      </w:r>
    </w:p>
    <w:p>
      <w:pPr>
        <w:pStyle w:val="FirstParagraph"/>
        <w:spacing w:line="480" w:lineRule="auto" w:after="120"/>
        <w:jc w:val="both"/>
      </w:pPr>
      <w:r>
        <w:rPr>
          <w:rFonts w:ascii="Times New Roman" w:hAnsi="Times New Roman" w:cs="Times New Roman" w:eastAsia="Times New Roman"/>
          <w:b/>
          <w:bCs/>
          <w:sz w:val="24"/>
        </w:rPr>
        <w:t xml:space="preserve">Table 4.5 — Mean, Standard Deviation and Range of Girls’ Scores on the Ten Areas of Vocational Interest (N = 20)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Range (Min – Max)</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2.10</w:t>
            </w:r>
          </w:p>
        </w:tc>
        <w:tc>
          <w:tcPr/>
          <w:p>
            <w:pPr>
              <w:pStyle w:val="Compact"/>
              <w:spacing w:line="276" w:lineRule="auto"/>
              <w:jc w:val="center"/>
            </w:pPr>
            <w:r>
              <w:rPr>
                <w:rFonts w:ascii="Times New Roman" w:hAnsi="Times New Roman" w:cs="Times New Roman" w:eastAsia="Times New Roman"/>
                <w:sz w:val="22"/>
              </w:rPr>
              <w:t xml:space="preserve">5 – 15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2 – 13</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2.60</w:t>
            </w:r>
          </w:p>
        </w:tc>
        <w:tc>
          <w:tcPr/>
          <w:p>
            <w:pPr>
              <w:pStyle w:val="Compact"/>
              <w:spacing w:line="276" w:lineRule="auto"/>
              <w:jc w:val="center"/>
            </w:pPr>
            <w:r>
              <w:rPr>
                <w:rFonts w:ascii="Times New Roman" w:hAnsi="Times New Roman" w:cs="Times New Roman" w:eastAsia="Times New Roman"/>
                <w:sz w:val="22"/>
              </w:rPr>
              <w:t xml:space="preserve">2 – 13</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jc w:val="center"/>
            </w:pPr>
            <w:r>
              <w:rPr>
                <w:rFonts w:ascii="Times New Roman" w:hAnsi="Times New Roman" w:cs="Times New Roman" w:eastAsia="Times New Roman"/>
                <w:sz w:val="22"/>
              </w:rPr>
              <w:t xml:space="preserve">5 – 17</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1 – 12</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4 – 13</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5 – 16</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7 – 18</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Arranged in descending order, the girls place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top (M = 12.10),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(11.00),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(8.65),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(8.00),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(7.95),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(7.05)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(6.70). The standard deviations again are moderate (2.05 – 2.65), indicating homogeneous distributions. The girls are most strongly drawn towards Household, Artistic, Social and Literary vocations and least drawn towards Agricultural, Constructive and Scientific — a pattern consistent with the traditional feminine occupational image in Indian society and with the trends reported by Reddy and Kumar (2021), Joshi (2020), Mehta (2019), Khan and Ali (2018) and Chaudhary (2018).</w:t>
      </w:r>
    </w:p>
    <w:bookmarkEnd w:id="104"/>
    <w:bookmarkEnd w:id="105"/>
    <w:bookmarkStart w:id="117" w:name="X0889eeb0887f707176ff2bb9f8e6776b82d292a"/>
    <w:p>
      <w:pPr>
        <w:pStyle w:val="Heading2"/>
        <w:spacing w:line="360" w:lineRule="auto"/>
        <w:jc w:val="center"/>
      </w:pPr>
      <w:r>
        <w:rPr>
          <w:rFonts w:ascii="Times New Roman" w:hAnsi="Times New Roman" w:cs="Times New Roman" w:eastAsia="Times New Roman"/>
          <w:b/>
          <w:sz w:val="28"/>
        </w:rPr>
        <w:t xml:space="preserve">4.5 Comparison of Boys and Girls — Area-wise t-test (Objective 3, H₀1)</w:t>
      </w:r>
    </w:p>
    <w:p>
      <w:pPr>
        <w:pStyle w:val="FirstParagraph"/>
        <w:spacing w:line="480" w:lineRule="auto" w:after="120"/>
        <w:jc w:val="both"/>
      </w:pPr>
      <w:r>
        <w:rPr>
          <w:rFonts w:ascii="Times New Roman" w:hAnsi="Times New Roman" w:cs="Times New Roman" w:eastAsia="Times New Roman"/>
          <w:sz w:val="24"/>
        </w:rPr>
        <w:t xml:space="preserve">The mean vocational interest scores of boys and girls were compared on each of the ten areas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two independent means (df = 38;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₀.₀₅ =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₀.₀₁ = 2.711). The results are presented in Tables 4.6 to 4.15.</w:t>
      </w:r>
    </w:p>
    <w:bookmarkStart w:id="106" w:name="comparison-on-literary-interest"/>
    <w:p>
      <w:pPr>
        <w:pStyle w:val="Heading3"/>
        <w:spacing w:line="360" w:lineRule="auto"/>
        <w:jc w:val="left"/>
      </w:pPr>
      <w:r>
        <w:rPr>
          <w:rFonts w:ascii="Times New Roman" w:hAnsi="Times New Roman" w:cs="Times New Roman" w:eastAsia="Times New Roman"/>
          <w:b/>
          <w:sz w:val="26"/>
        </w:rPr>
        <w:t xml:space="preserve">4.5.1 Comparison on Literary Interest</w:t>
      </w:r>
    </w:p>
    <w:p>
      <w:pPr>
        <w:pStyle w:val="FirstParagraph"/>
        <w:spacing w:line="480" w:lineRule="auto" w:after="120"/>
        <w:jc w:val="both"/>
      </w:pPr>
      <w:r>
        <w:rPr>
          <w:rFonts w:ascii="Times New Roman" w:hAnsi="Times New Roman" w:cs="Times New Roman" w:eastAsia="Times New Roman"/>
          <w:b/>
          <w:bCs/>
          <w:sz w:val="24"/>
        </w:rPr>
        <w:t xml:space="preserve">Table 4.6 — Significance of the Difference between the Mean Scores of Boys and Girls on Literary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2.10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(9.85) is substantially higher than boys’ (7.05);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4.02 exceeds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₀.₀₁ =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at the 0.01 level</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Literary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significantly stronger Literary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supporting Su, Rounds and Armstrong (2009), Singh and Verma (2023) and Reddy and Kumar (2021), who report that girls are characteristically drawn towards reading, writing and language-based occupations.</w:t>
      </w:r>
    </w:p>
    <w:bookmarkEnd w:id="106"/>
    <w:bookmarkStart w:id="107" w:name="comparison-on-scientific-interest"/>
    <w:p>
      <w:pPr>
        <w:pStyle w:val="Heading3"/>
        <w:spacing w:line="360" w:lineRule="auto"/>
        <w:jc w:val="left"/>
      </w:pPr>
      <w:r>
        <w:rPr>
          <w:rFonts w:ascii="Times New Roman" w:hAnsi="Times New Roman" w:cs="Times New Roman" w:eastAsia="Times New Roman"/>
          <w:b/>
          <w:sz w:val="26"/>
        </w:rPr>
        <w:t xml:space="preserve">4.5.2 Comparison on Scientific Interest</w:t>
      </w:r>
    </w:p>
    <w:p>
      <w:pPr>
        <w:pStyle w:val="FirstParagraph"/>
        <w:spacing w:line="480" w:lineRule="auto" w:after="120"/>
        <w:jc w:val="both"/>
      </w:pPr>
      <w:r>
        <w:rPr>
          <w:rFonts w:ascii="Times New Roman" w:hAnsi="Times New Roman" w:cs="Times New Roman" w:eastAsia="Times New Roman"/>
          <w:b/>
          <w:bCs/>
          <w:sz w:val="24"/>
        </w:rPr>
        <w:t xml:space="preserve">Table 4.7 — Significance of the Difference between the Mean Scores of Boys and Girls on Scientific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4.54</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(11.65) is substantially higher than girls’ (7.95);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4.54 exceeds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at the 0.01 level</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significantly stronger Scientific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consistent with Reddy and Kumar (2021), Lee, Kim and Park (2023), Watt, Eccles and Durik (2020) and Su, Rounds and Armstrong (2009): the gender gap in Scientific interest, although gradually narrowing in urban samples, remains substantial in adolescence and is particularly so in samples drawn from rural Indian schools.</w:t>
      </w:r>
    </w:p>
    <w:bookmarkEnd w:id="107"/>
    <w:bookmarkStart w:id="108" w:name="comparison-on-executive-interest"/>
    <w:p>
      <w:pPr>
        <w:pStyle w:val="Heading3"/>
        <w:spacing w:line="360" w:lineRule="auto"/>
        <w:jc w:val="left"/>
      </w:pPr>
      <w:r>
        <w:rPr>
          <w:rFonts w:ascii="Times New Roman" w:hAnsi="Times New Roman" w:cs="Times New Roman" w:eastAsia="Times New Roman"/>
          <w:b/>
          <w:sz w:val="26"/>
        </w:rPr>
        <w:t xml:space="preserve">4.5.3 Comparison on Executive Interest</w:t>
      </w:r>
    </w:p>
    <w:p>
      <w:pPr>
        <w:pStyle w:val="FirstParagraph"/>
        <w:spacing w:line="480" w:lineRule="auto" w:after="120"/>
        <w:jc w:val="both"/>
      </w:pPr>
      <w:r>
        <w:rPr>
          <w:rFonts w:ascii="Times New Roman" w:hAnsi="Times New Roman" w:cs="Times New Roman" w:eastAsia="Times New Roman"/>
          <w:b/>
          <w:bCs/>
          <w:sz w:val="24"/>
        </w:rPr>
        <w:t xml:space="preserve">Table 4.8 — Significance of the Difference between the Mean Scores of Boys and Girls on Executive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1.91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(9.50) is somewhat higher than girls’ (8.05) — a difference of 1.45 points — but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1.91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 t</w:t>
      </w:r>
      <w:r>
        <w:rPr>
          <w:rFonts w:ascii="Times New Roman" w:hAnsi="Times New Roman" w:cs="Times New Roman" w:eastAsia="Times New Roman"/>
          <w:sz w:val="24"/>
        </w:rPr>
        <w:t xml:space="preserve">₀.₀₅ = 2.024.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 do not differ significantly on 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consistent with Singh and Verma (2023) and Pandey and Tripathi (2022), who report that the historic male advantage on Executive / managerial interest has narrowed in the contemporary Indian generation, especially among girls of urban Private CBSE schools exposed to female role-models in administration, banking and senior management.</w:t>
      </w:r>
    </w:p>
    <w:bookmarkEnd w:id="108"/>
    <w:bookmarkStart w:id="109" w:name="comparison-on-commercial-interest"/>
    <w:p>
      <w:pPr>
        <w:pStyle w:val="Heading3"/>
        <w:spacing w:line="360" w:lineRule="auto"/>
        <w:jc w:val="left"/>
      </w:pPr>
      <w:r>
        <w:rPr>
          <w:rFonts w:ascii="Times New Roman" w:hAnsi="Times New Roman" w:cs="Times New Roman" w:eastAsia="Times New Roman"/>
          <w:b/>
          <w:sz w:val="26"/>
        </w:rPr>
        <w:t xml:space="preserve">4.5.4 Comparison on Commercial Interest</w:t>
      </w:r>
    </w:p>
    <w:p>
      <w:pPr>
        <w:pStyle w:val="FirstParagraph"/>
        <w:spacing w:line="480" w:lineRule="auto" w:after="120"/>
        <w:jc w:val="both"/>
      </w:pPr>
      <w:r>
        <w:rPr>
          <w:rFonts w:ascii="Times New Roman" w:hAnsi="Times New Roman" w:cs="Times New Roman" w:eastAsia="Times New Roman"/>
          <w:b/>
          <w:bCs/>
          <w:sz w:val="24"/>
        </w:rPr>
        <w:t xml:space="preserve">Table 4.9 — Significance of the Difference between the Mean Scores of Boys and Girls on Commercial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(8.85) is only marginally higher than girls’ (8.00) — a difference of 0.85 points;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1.17 is much below 2.024.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 interest is gender-neutral in the present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replicating the consistent literature finding (Reddy &amp; Kumar, 2021; Roy &amp; Banerjee, 2020; Yadav, 2016) that commerce, unlike Scientific or Constructive, has become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largely 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occupational space in contemporary India.</w:t>
      </w:r>
    </w:p>
    <w:bookmarkEnd w:id="109"/>
    <w:bookmarkStart w:id="110" w:name="Xec8741eee2f4e4f5a1538d03167f4b05f81b1c9"/>
    <w:p>
      <w:pPr>
        <w:pStyle w:val="Heading3"/>
        <w:spacing w:line="360" w:lineRule="auto"/>
        <w:jc w:val="left"/>
      </w:pPr>
      <w:r>
        <w:rPr>
          <w:rFonts w:ascii="Times New Roman" w:hAnsi="Times New Roman" w:cs="Times New Roman" w:eastAsia="Times New Roman"/>
          <w:b/>
          <w:sz w:val="26"/>
        </w:rPr>
        <w:t xml:space="preserve">4.5.5 Comparison on Constructive (Technical) Interest</w:t>
      </w:r>
    </w:p>
    <w:p>
      <w:pPr>
        <w:pStyle w:val="FirstParagraph"/>
        <w:spacing w:line="480" w:lineRule="auto" w:after="120"/>
        <w:jc w:val="both"/>
      </w:pPr>
      <w:r>
        <w:rPr>
          <w:rFonts w:ascii="Times New Roman" w:hAnsi="Times New Roman" w:cs="Times New Roman" w:eastAsia="Times New Roman"/>
          <w:b/>
          <w:bCs/>
          <w:sz w:val="24"/>
        </w:rPr>
        <w:t xml:space="preserve">Table 4.10 — Significance of the Difference between the Mean Scores of Boys and Girls on Constructive (Technical)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5.96</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2.60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(11.90)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much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(7.05) — a 4.85-point gap, the 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in the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5.96 vastly exceeds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₀.₀₁ (2.711) and even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₀.₀₀₁ (3.566).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rejected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very significantly stronger Constructive (Technical)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replicating one of the most robust gender differences in the literature (Su, Rounds &amp; Armstrong, 2009; Williams &amp; O’Connor, 2022; Reddy &amp; Kumar, 2021), reflecting the deeply ingrained socialisation that exposes boys, especially rural ones, to mechanical, electrical, building and tool-using activities from early childhood.</w:t>
      </w:r>
    </w:p>
    <w:bookmarkEnd w:id="110"/>
    <w:bookmarkStart w:id="111" w:name="comparison-on-artistic-interest"/>
    <w:p>
      <w:pPr>
        <w:pStyle w:val="Heading3"/>
        <w:spacing w:line="360" w:lineRule="auto"/>
        <w:jc w:val="left"/>
      </w:pPr>
      <w:r>
        <w:rPr>
          <w:rFonts w:ascii="Times New Roman" w:hAnsi="Times New Roman" w:cs="Times New Roman" w:eastAsia="Times New Roman"/>
          <w:b/>
          <w:sz w:val="26"/>
        </w:rPr>
        <w:t xml:space="preserve">4.5.6 Comparison on Artistic Interest</w:t>
      </w:r>
    </w:p>
    <w:p>
      <w:pPr>
        <w:pStyle w:val="FirstParagraph"/>
        <w:spacing w:line="480" w:lineRule="auto" w:after="120"/>
        <w:jc w:val="both"/>
      </w:pPr>
      <w:r>
        <w:rPr>
          <w:rFonts w:ascii="Times New Roman" w:hAnsi="Times New Roman" w:cs="Times New Roman" w:eastAsia="Times New Roman"/>
          <w:b/>
          <w:bCs/>
          <w:sz w:val="24"/>
        </w:rPr>
        <w:t xml:space="preserve">Table 4.11 — Significance of the Difference between the Mean Scores of Boys and Girls on Artistic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5.07</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(11.00) is much higher than boys’ (7.55) — a 3.45-point gap;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5.07 vastly exceeds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rejected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very significantly stronger Artistic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consistent with the universal finding (Holland, 1985; Williams &amp; O’Connor, 2022; Al-Mutairi &amp; Al-Hassan, 2021; Reddy &amp; Kumar, 2021) that female adolescents are typically more strongly attracted to drawing, painting, dance, music and design-related vocations.</w:t>
      </w:r>
    </w:p>
    <w:bookmarkEnd w:id="111"/>
    <w:bookmarkStart w:id="112" w:name="comparison-on-agricultural-interest"/>
    <w:p>
      <w:pPr>
        <w:pStyle w:val="Heading3"/>
        <w:spacing w:line="360" w:lineRule="auto"/>
        <w:jc w:val="left"/>
      </w:pPr>
      <w:r>
        <w:rPr>
          <w:rFonts w:ascii="Times New Roman" w:hAnsi="Times New Roman" w:cs="Times New Roman" w:eastAsia="Times New Roman"/>
          <w:b/>
          <w:sz w:val="26"/>
        </w:rPr>
        <w:t xml:space="preserve">4.5.7 Comparison on Agricultural Interest</w:t>
      </w:r>
    </w:p>
    <w:p>
      <w:pPr>
        <w:pStyle w:val="FirstParagraph"/>
        <w:spacing w:line="480" w:lineRule="auto" w:after="120"/>
        <w:jc w:val="both"/>
      </w:pPr>
      <w:r>
        <w:rPr>
          <w:rFonts w:ascii="Times New Roman" w:hAnsi="Times New Roman" w:cs="Times New Roman" w:eastAsia="Times New Roman"/>
          <w:b/>
          <w:bCs/>
          <w:sz w:val="24"/>
        </w:rPr>
        <w:t xml:space="preserve">Table 4.12 — Significance of the Difference between the Mean Scores of Boys and Girls on Agricultural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4.48</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(10.35) is substantially higher than girls’ (6.70) — a 3.65-point gap;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4.48 exceeds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significantly stronger Agricultural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finding reflects both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effect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 effect</w:t>
      </w:r>
      <w:r>
        <w:rPr>
          <w:rFonts w:ascii="Times New Roman" w:hAnsi="Times New Roman" w:cs="Times New Roman" w:eastAsia="Times New Roman"/>
          <w:sz w:val="24"/>
        </w:rPr>
        <w:t xml:space="preserve">: the boys come from agriculture-based rural families, whereas the girls are drawn from an urban Private CBSE school whose parents are predominantly engaged in non-agricultural professions; the two effects work in the same direction. Consistent with Gupta and Saxena (2021), Joshi (2020) and Chaudhary (2018).</w:t>
      </w:r>
    </w:p>
    <w:bookmarkEnd w:id="112"/>
    <w:bookmarkStart w:id="113" w:name="comparison-on-persuasive-interest"/>
    <w:p>
      <w:pPr>
        <w:pStyle w:val="Heading3"/>
        <w:spacing w:line="360" w:lineRule="auto"/>
        <w:jc w:val="left"/>
      </w:pPr>
      <w:r>
        <w:rPr>
          <w:rFonts w:ascii="Times New Roman" w:hAnsi="Times New Roman" w:cs="Times New Roman" w:eastAsia="Times New Roman"/>
          <w:b/>
          <w:sz w:val="26"/>
        </w:rPr>
        <w:t xml:space="preserve">4.5.8 Comparison on Persuasive Interest</w:t>
      </w:r>
    </w:p>
    <w:p>
      <w:pPr>
        <w:pStyle w:val="FirstParagraph"/>
        <w:spacing w:line="480" w:lineRule="auto" w:after="120"/>
        <w:jc w:val="both"/>
      </w:pPr>
      <w:r>
        <w:rPr>
          <w:rFonts w:ascii="Times New Roman" w:hAnsi="Times New Roman" w:cs="Times New Roman" w:eastAsia="Times New Roman"/>
          <w:b/>
          <w:bCs/>
          <w:sz w:val="24"/>
        </w:rPr>
        <w:t xml:space="preserve">Table 4.13 — Significance of the Difference between the Mean Scores of Boys and Girls on Persuasive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(9.60) is slightly higher than girls’ (8.65) — only 0.95 points;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1.31 is below 2.024.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 interest is gender-neutral in the present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 line with Williams and O’Connor (2022) and Pandey and Tripathi (2022), who report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 / 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one of the more gender-balanced ones in contemporary samples, perhaps because the rise of female participation in marketing, sales, advertising, public relations and politics has made these vocations attractive to girls of the present generation.</w:t>
      </w:r>
    </w:p>
    <w:bookmarkEnd w:id="113"/>
    <w:bookmarkStart w:id="114" w:name="comparison-on-social-interest"/>
    <w:p>
      <w:pPr>
        <w:pStyle w:val="Heading3"/>
        <w:spacing w:line="360" w:lineRule="auto"/>
        <w:jc w:val="left"/>
      </w:pPr>
      <w:r>
        <w:rPr>
          <w:rFonts w:ascii="Times New Roman" w:hAnsi="Times New Roman" w:cs="Times New Roman" w:eastAsia="Times New Roman"/>
          <w:b/>
          <w:sz w:val="26"/>
        </w:rPr>
        <w:t xml:space="preserve">4.5.9 Comparison on Social Interest</w:t>
      </w:r>
    </w:p>
    <w:p>
      <w:pPr>
        <w:pStyle w:val="FirstParagraph"/>
        <w:spacing w:line="480" w:lineRule="auto" w:after="120"/>
        <w:jc w:val="both"/>
      </w:pPr>
      <w:r>
        <w:rPr>
          <w:rFonts w:ascii="Times New Roman" w:hAnsi="Times New Roman" w:cs="Times New Roman" w:eastAsia="Times New Roman"/>
          <w:b/>
          <w:bCs/>
          <w:sz w:val="24"/>
        </w:rPr>
        <w:t xml:space="preserve">Table 4.14 — Significance of the Difference between the Mean Scores of Boys and Girls on Social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3.93</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(10.55) is substantially higher than boys’ (7.75) — a 2.80-point gap;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3.93 exceeds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significantly stronger Social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drawn towards human-service vocations (teaching, nursing, social work, counselling, child care) to a markedly greater extent than the boys. This agrees with Su, Rounds and Armstrong’s (2009) classical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dichotomy and replicates the pattern reported by Reddy and Kumar (2021), Khan and Ali (2018) and Williams and O’Connor (2022).</w:t>
      </w:r>
    </w:p>
    <w:bookmarkEnd w:id="114"/>
    <w:bookmarkStart w:id="115" w:name="comparison-on-household-interest"/>
    <w:p>
      <w:pPr>
        <w:pStyle w:val="Heading3"/>
        <w:spacing w:line="360" w:lineRule="auto"/>
        <w:jc w:val="left"/>
      </w:pPr>
      <w:r>
        <w:rPr>
          <w:rFonts w:ascii="Times New Roman" w:hAnsi="Times New Roman" w:cs="Times New Roman" w:eastAsia="Times New Roman"/>
          <w:b/>
          <w:sz w:val="26"/>
        </w:rPr>
        <w:t xml:space="preserve">4.5.10 Comparison on Household Interest</w:t>
      </w:r>
    </w:p>
    <w:p>
      <w:pPr>
        <w:pStyle w:val="FirstParagraph"/>
        <w:spacing w:line="480" w:lineRule="auto" w:after="120"/>
        <w:jc w:val="both"/>
      </w:pPr>
      <w:r>
        <w:rPr>
          <w:rFonts w:ascii="Times New Roman" w:hAnsi="Times New Roman" w:cs="Times New Roman" w:eastAsia="Times New Roman"/>
          <w:b/>
          <w:bCs/>
          <w:sz w:val="24"/>
        </w:rPr>
        <w:t xml:space="preserve">Table 4.15 — Significance of the Difference between the Mean Scores of Boys and Girls on Household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9.36</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(12.10)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much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(5.80) — a 6.30-point gap,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in any of the ten comparisons;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9.36 vastly exceeds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₀.₀₁ (2.711)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₀.₀₀₁ (3.566).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strongly rejected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far stronger Household interest than boys</w:t>
      </w:r>
      <w:r>
        <w:rPr>
          <w:rFonts w:ascii="Times New Roman" w:hAnsi="Times New Roman" w:cs="Times New Roman" w:eastAsia="Times New Roman"/>
          <w:sz w:val="24"/>
        </w:rPr>
        <w:t xml:space="preserve">, almost exactly mirroring — in obverse fashion — the boys’ Constructive advantage. Together,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Household–Constructive contrast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constitutes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signature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gender-typed Indian secondary school, and points to the very deep socialisation of household work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feminine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domain in Indian society. Consistent with Reddy and Kumar (2021), Mehta (2019), Khan and Ali (2018) and Yadav (2016).</w:t>
      </w:r>
    </w:p>
    <w:bookmarkEnd w:id="115"/>
    <w:bookmarkStart w:id="116" w:name="X2c9afe520fb18152334c0e018b38e6aecf291a3"/>
    <w:p>
      <w:pPr>
        <w:pStyle w:val="Heading3"/>
        <w:spacing w:line="360" w:lineRule="auto"/>
        <w:jc w:val="left"/>
      </w:pPr>
      <w:r>
        <w:rPr>
          <w:rFonts w:ascii="Times New Roman" w:hAnsi="Times New Roman" w:cs="Times New Roman" w:eastAsia="Times New Roman"/>
          <w:b/>
          <w:sz w:val="26"/>
        </w:rPr>
        <w:t xml:space="preserve">4.5.11 Consolidated Picture of the t-test Results</w:t>
      </w:r>
    </w:p>
    <w:p>
      <w:pPr>
        <w:pStyle w:val="FirstParagraph"/>
        <w:spacing w:line="480" w:lineRule="auto" w:after="120"/>
        <w:jc w:val="both"/>
      </w:pPr>
      <w:r>
        <w:rPr>
          <w:rFonts w:ascii="Times New Roman" w:hAnsi="Times New Roman" w:cs="Times New Roman" w:eastAsia="Times New Roman"/>
          <w:sz w:val="24"/>
        </w:rPr>
        <w:t xml:space="preserve">The results of all ten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are summarised in Table 4.16 for ready reference.</w:t>
      </w:r>
    </w:p>
    <w:p>
      <w:pPr>
        <w:pStyle w:val="BodyText"/>
        <w:spacing w:line="480" w:lineRule="auto" w:after="120"/>
        <w:jc w:val="both"/>
      </w:pPr>
      <w:r>
        <w:rPr>
          <w:rFonts w:ascii="Times New Roman" w:hAnsi="Times New Roman" w:cs="Times New Roman" w:eastAsia="Times New Roman"/>
          <w:b/>
          <w:bCs/>
          <w:sz w:val="24"/>
        </w:rPr>
        <w:t xml:space="preserve">Table 4.16 — Consolidated Table of Mean, S.D. and t-value of Boys and Girls on the Ten Areas of Vocational Interest (df = 38)</w:t>
      </w:r>
    </w:p>
    <w:tbl>
      <w:tblPr>
        <w:tblStyle w:val="Table"/>
        <w:tblW w:type="pct" w:w="5000"/>
        <w:jc w:val="center"/>
        <w:tblLayout w:type="fixed"/>
        <w:tblLook w:firstRow="1" w:lastRow="0" w:firstColumn="0" w:lastColumn="0" w:noHBand="0" w:noVBand="0" w:val="0020"/>
      </w:tblPr>
      <w:tblGrid>
        <w:gridCol w:w="825"/>
        <w:gridCol w:w="660"/>
        <w:gridCol w:w="825"/>
        <w:gridCol w:w="825"/>
        <w:gridCol w:w="825"/>
        <w:gridCol w:w="825"/>
        <w:gridCol w:w="825"/>
        <w:gridCol w:w="825"/>
        <w:gridCol w:w="825"/>
        <w:gridCol w:w="66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 (Boys)</w:t>
            </w:r>
          </w:p>
        </w:tc>
        <w:tc>
          <w:tcPr/>
          <w:p>
            <w:pPr>
              <w:pStyle w:val="Compact"/>
              <w:spacing w:line="276" w:lineRule="auto"/>
              <w:jc w:val="center"/>
            </w:pPr>
            <w:r>
              <w:rPr>
                <w:rFonts w:ascii="Times New Roman" w:hAnsi="Times New Roman" w:cs="Times New Roman" w:eastAsia="Times New Roman"/>
                <w:sz w:val="22"/>
              </w:rPr>
              <w:t xml:space="preserve">SD (Boys)</w:t>
            </w:r>
          </w:p>
        </w:tc>
        <w:tc>
          <w:tcPr/>
          <w:p>
            <w:pPr>
              <w:pStyle w:val="Compact"/>
              <w:spacing w:line="276" w:lineRule="auto"/>
              <w:jc w:val="center"/>
            </w:pPr>
            <w:r>
              <w:rPr>
                <w:rFonts w:ascii="Times New Roman" w:hAnsi="Times New Roman" w:cs="Times New Roman" w:eastAsia="Times New Roman"/>
                <w:sz w:val="22"/>
              </w:rPr>
              <w:t xml:space="preserve">M (Girls)</w:t>
            </w:r>
          </w:p>
        </w:tc>
        <w:tc>
          <w:tcPr/>
          <w:p>
            <w:pPr>
              <w:pStyle w:val="Compact"/>
              <w:spacing w:line="276" w:lineRule="auto"/>
              <w:jc w:val="center"/>
            </w:pPr>
            <w:r>
              <w:rPr>
                <w:rFonts w:ascii="Times New Roman" w:hAnsi="Times New Roman" w:cs="Times New Roman" w:eastAsia="Times New Roman"/>
                <w:sz w:val="22"/>
              </w:rPr>
              <w:t xml:space="preserve">SD (Girls)</w:t>
            </w:r>
          </w:p>
        </w:tc>
        <w:tc>
          <w:tcPr/>
          <w:p>
            <w:pPr>
              <w:pStyle w:val="Compact"/>
              <w:spacing w:line="276" w:lineRule="auto"/>
              <w:jc w:val="center"/>
            </w:pPr>
            <w:r>
              <w:rPr>
                <w:rFonts w:ascii="Times New Roman" w:hAnsi="Times New Roman" w:cs="Times New Roman" w:eastAsia="Times New Roman"/>
                <w:sz w:val="22"/>
              </w:rPr>
              <w:t xml:space="preserve">Mean Diff. (Girls − Boys)</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Sig.</w:t>
            </w:r>
          </w:p>
        </w:tc>
        <w:tc>
          <w:tcPr/>
          <w:p>
            <w:pPr>
              <w:pStyle w:val="Compact"/>
              <w:spacing w:line="276" w:lineRule="auto"/>
              <w:jc w:val="left"/>
            </w:pPr>
            <w:r>
              <w:rPr>
                <w:rFonts w:ascii="Times New Roman" w:hAnsi="Times New Roman" w:cs="Times New Roman" w:eastAsia="Times New Roman"/>
                <w:sz w:val="22"/>
              </w:rPr>
              <w:t xml:space="preserve">Direction</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2.10</w:t>
            </w:r>
          </w:p>
        </w:tc>
        <w:tc>
          <w:tcPr/>
          <w:p>
            <w:pPr>
              <w:pStyle w:val="Compact"/>
              <w:spacing w:line="276" w:lineRule="auto"/>
              <w:jc w:val="center"/>
            </w:pPr>
            <w:r>
              <w:rPr>
                <w:rFonts w:ascii="Times New Roman" w:hAnsi="Times New Roman" w:cs="Times New Roman" w:eastAsia="Times New Roman"/>
                <w:sz w:val="22"/>
              </w:rPr>
              <w:t xml:space="preserve">+2.80</w:t>
            </w:r>
          </w:p>
        </w:tc>
        <w:tc>
          <w:tcPr/>
          <w:p>
            <w:pPr>
              <w:pStyle w:val="Compact"/>
              <w:spacing w:line="276" w:lineRule="auto"/>
              <w:jc w:val="center"/>
            </w:pPr>
            <w:r>
              <w:rPr>
                <w:rFonts w:ascii="Times New Roman" w:hAnsi="Times New Roman" w:cs="Times New Roman" w:eastAsia="Times New Roman"/>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−3.70</w:t>
            </w:r>
          </w:p>
        </w:tc>
        <w:tc>
          <w:tcPr/>
          <w:p>
            <w:pPr>
              <w:pStyle w:val="Compact"/>
              <w:spacing w:line="276" w:lineRule="auto"/>
              <w:jc w:val="center"/>
            </w:pPr>
            <w:r>
              <w:rPr>
                <w:rFonts w:ascii="Times New Roman" w:hAnsi="Times New Roman" w:cs="Times New Roman" w:eastAsia="Times New Roman"/>
                <w:sz w:val="22"/>
              </w:rPr>
              <w:t xml:space="preserve">4.54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−1.45</w:t>
            </w:r>
          </w:p>
        </w:tc>
        <w:tc>
          <w:tcPr/>
          <w:p>
            <w:pPr>
              <w:pStyle w:val="Compact"/>
              <w:spacing w:line="276" w:lineRule="auto"/>
              <w:jc w:val="center"/>
            </w:pPr>
            <w:r>
              <w:rPr>
                <w:rFonts w:ascii="Times New Roman" w:hAnsi="Times New Roman" w:cs="Times New Roman" w:eastAsia="Times New Roman"/>
                <w:sz w:val="22"/>
              </w:rPr>
              <w:t xml:space="preserve">1.91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jc w:val="center"/>
            </w:pPr>
            <w:r>
              <w:rPr>
                <w:rFonts w:ascii="Times New Roman" w:hAnsi="Times New Roman" w:cs="Times New Roman" w:eastAsia="Times New Roman"/>
                <w:sz w:val="22"/>
              </w:rPr>
              <w:t xml:space="preserve">−0.85</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2.60</w:t>
            </w:r>
          </w:p>
        </w:tc>
        <w:tc>
          <w:tcPr/>
          <w:p>
            <w:pPr>
              <w:pStyle w:val="Compact"/>
              <w:spacing w:line="276" w:lineRule="auto"/>
              <w:jc w:val="center"/>
            </w:pPr>
            <w:r>
              <w:rPr>
                <w:rFonts w:ascii="Times New Roman" w:hAnsi="Times New Roman" w:cs="Times New Roman" w:eastAsia="Times New Roman"/>
                <w:sz w:val="22"/>
              </w:rPr>
              <w:t xml:space="preserve">−4.85</w:t>
            </w:r>
          </w:p>
        </w:tc>
        <w:tc>
          <w:tcPr/>
          <w:p>
            <w:pPr>
              <w:pStyle w:val="Compact"/>
              <w:spacing w:line="276" w:lineRule="auto"/>
              <w:jc w:val="center"/>
            </w:pPr>
            <w:r>
              <w:rPr>
                <w:rFonts w:ascii="Times New Roman" w:hAnsi="Times New Roman" w:cs="Times New Roman" w:eastAsia="Times New Roman"/>
                <w:sz w:val="22"/>
              </w:rPr>
              <w:t xml:space="preserve">5.96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jc w:val="center"/>
            </w:pPr>
            <w:r>
              <w:rPr>
                <w:rFonts w:ascii="Times New Roman" w:hAnsi="Times New Roman" w:cs="Times New Roman" w:eastAsia="Times New Roman"/>
                <w:sz w:val="22"/>
              </w:rPr>
              <w:t xml:space="preserve">+3.45</w:t>
            </w:r>
          </w:p>
        </w:tc>
        <w:tc>
          <w:tcPr/>
          <w:p>
            <w:pPr>
              <w:pStyle w:val="Compact"/>
              <w:spacing w:line="276" w:lineRule="auto"/>
              <w:jc w:val="center"/>
            </w:pPr>
            <w:r>
              <w:rPr>
                <w:rFonts w:ascii="Times New Roman" w:hAnsi="Times New Roman" w:cs="Times New Roman" w:eastAsia="Times New Roman"/>
                <w:sz w:val="22"/>
              </w:rPr>
              <w:t xml:space="preserve">5.07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−3.65</w:t>
            </w:r>
          </w:p>
        </w:tc>
        <w:tc>
          <w:tcPr/>
          <w:p>
            <w:pPr>
              <w:pStyle w:val="Compact"/>
              <w:spacing w:line="276" w:lineRule="auto"/>
              <w:jc w:val="center"/>
            </w:pPr>
            <w:r>
              <w:rPr>
                <w:rFonts w:ascii="Times New Roman" w:hAnsi="Times New Roman" w:cs="Times New Roman" w:eastAsia="Times New Roman"/>
                <w:sz w:val="22"/>
              </w:rPr>
              <w:t xml:space="preserve">4.48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−0.95</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+2.80</w:t>
            </w:r>
          </w:p>
        </w:tc>
        <w:tc>
          <w:tcPr/>
          <w:p>
            <w:pPr>
              <w:pStyle w:val="Compact"/>
              <w:spacing w:line="276" w:lineRule="auto"/>
              <w:jc w:val="center"/>
            </w:pPr>
            <w:r>
              <w:rPr>
                <w:rFonts w:ascii="Times New Roman" w:hAnsi="Times New Roman" w:cs="Times New Roman" w:eastAsia="Times New Roman"/>
                <w:sz w:val="22"/>
              </w:rPr>
              <w:t xml:space="preserve">3.93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+6.30</w:t>
            </w:r>
          </w:p>
        </w:tc>
        <w:tc>
          <w:tcPr/>
          <w:p>
            <w:pPr>
              <w:pStyle w:val="Compact"/>
              <w:spacing w:line="276" w:lineRule="auto"/>
              <w:jc w:val="center"/>
            </w:pPr>
            <w:r>
              <w:rPr>
                <w:rFonts w:ascii="Times New Roman" w:hAnsi="Times New Roman" w:cs="Times New Roman" w:eastAsia="Times New Roman"/>
                <w:sz w:val="22"/>
              </w:rPr>
              <w:t xml:space="preserve">9.36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bl>
    <w:p>
      <w:pPr>
        <w:pStyle w:val="BodyText"/>
        <w:spacing w:line="480" w:lineRule="auto" w:after="120"/>
        <w:jc w:val="both"/>
      </w:pPr>
      <w:r>
        <w:rPr>
          <w:rFonts w:ascii="Times New Roman" w:hAnsi="Times New Roman" w:cs="Times New Roman" w:eastAsia="Times New Roman"/>
          <w:i/>
          <w:iCs/>
          <w:sz w:val="24"/>
        </w:rPr>
        <w:t xml:space="preserve">Note</w:t>
      </w:r>
      <w:r>
        <w:rPr>
          <w:rFonts w:ascii="Times New Roman" w:hAnsi="Times New Roman" w:cs="Times New Roman" w:eastAsia="Times New Roman"/>
          <w:sz w:val="24"/>
        </w:rPr>
        <w:t xml:space="preserve">: ** = significant at the 0.01 level (t₀.₀₁(38) = 2.711); NS = not significant at the 0.05 level (t₀.₀₅(38) = 2.024).</w:t>
      </w:r>
    </w:p>
    <w:p>
      <w:pPr>
        <w:pStyle w:val="BodyText"/>
        <w:spacing w:line="480" w:lineRule="auto" w:after="120"/>
        <w:jc w:val="both"/>
      </w:pPr>
      <w:r>
        <w:rPr>
          <w:rFonts w:ascii="Times New Roman" w:hAnsi="Times New Roman" w:cs="Times New Roman" w:eastAsia="Times New Roman"/>
          <w:b/>
          <w:bCs/>
          <w:sz w:val="24"/>
        </w:rPr>
        <w:t xml:space="preserve">Interpretation of Table 4.16.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Seven of the ten t-values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(Literary, Scientific, Constructive, Artistic, Agricultural, Social and Household) are significant at the 0.01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three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(Executive, Commercial, Persuasive) are not significant at the 0.05 level. Of the seven significant differences, three favour boys (Scientific, Constructive, Agricultural) and four favour girls (Literary, Artistic, Social, Household). H₀1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seven gender-differentiated areas)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three gender-neutral ones). The pattern of differences exactly matches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predicted by the literature reviewed in Chapter II.</w:t>
      </w:r>
    </w:p>
    <w:bookmarkEnd w:id="116"/>
    <w:bookmarkEnd w:id="117"/>
    <w:bookmarkStart w:id="121" w:name="X864d2c973f60b54b3dfa8b52bceadbf5a2694f1"/>
    <w:p>
      <w:pPr>
        <w:pStyle w:val="Heading2"/>
        <w:spacing w:line="360" w:lineRule="auto"/>
        <w:jc w:val="center"/>
      </w:pPr>
      <w:r>
        <w:rPr>
          <w:rFonts w:ascii="Times New Roman" w:hAnsi="Times New Roman" w:cs="Times New Roman" w:eastAsia="Times New Roman"/>
          <w:b/>
          <w:sz w:val="28"/>
        </w:rPr>
        <w:t xml:space="preserve">4.6 Percentage Distribution of Levels of Vocational Interest (Objective 4, H₀2)</w:t>
      </w:r>
    </w:p>
    <w:p>
      <w:pPr>
        <w:pStyle w:val="FirstParagraph"/>
        <w:spacing w:line="480" w:lineRule="auto" w:after="120"/>
        <w:jc w:val="both"/>
      </w:pPr>
      <w:r>
        <w:rPr>
          <w:rFonts w:ascii="Times New Roman" w:hAnsi="Times New Roman" w:cs="Times New Roman" w:eastAsia="Times New Roman"/>
          <w:sz w:val="24"/>
        </w:rPr>
        <w:t xml:space="preserve">Tables 4.17 and 4.18 present the percentages of boys and girls falling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in each area, computed by dividing the frequencies in Tables 4.2 and 4.4 by 20 and multiplying by 100.</w:t>
      </w:r>
    </w:p>
    <w:bookmarkStart w:id="118" w:name="percentage-distribution-of-boys"/>
    <w:p>
      <w:pPr>
        <w:pStyle w:val="Heading3"/>
        <w:spacing w:line="360" w:lineRule="auto"/>
        <w:jc w:val="left"/>
      </w:pPr>
      <w:r>
        <w:rPr>
          <w:rFonts w:ascii="Times New Roman" w:hAnsi="Times New Roman" w:cs="Times New Roman" w:eastAsia="Times New Roman"/>
          <w:b/>
          <w:sz w:val="26"/>
        </w:rPr>
        <w:t xml:space="preserve">4.6.1 Percentage Distribution of Boys</w:t>
      </w:r>
    </w:p>
    <w:p>
      <w:pPr>
        <w:pStyle w:val="FirstParagraph"/>
        <w:spacing w:line="480" w:lineRule="auto" w:after="120"/>
        <w:jc w:val="both"/>
      </w:pPr>
      <w:r>
        <w:rPr>
          <w:rFonts w:ascii="Times New Roman" w:hAnsi="Times New Roman" w:cs="Times New Roman" w:eastAsia="Times New Roman"/>
          <w:b/>
          <w:bCs/>
          <w:sz w:val="24"/>
        </w:rPr>
        <w:t xml:space="preserve">Table 4.17 — Percentage Distribution of Boys at Three Levels of Vocational Interest in Ten Areas (N = 20)</w:t>
      </w:r>
    </w:p>
    <w:tbl>
      <w:tblPr>
        <w:tblStyle w:val="Table"/>
        <w:tblW w:type="pct" w:w="5000"/>
        <w:jc w:val="center"/>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 at Low (0–5)</w:t>
            </w:r>
          </w:p>
        </w:tc>
        <w:tc>
          <w:tcPr/>
          <w:p>
            <w:pPr>
              <w:pStyle w:val="Compact"/>
              <w:spacing w:line="276" w:lineRule="auto"/>
              <w:jc w:val="center"/>
            </w:pPr>
            <w:r>
              <w:rPr>
                <w:rFonts w:ascii="Times New Roman" w:hAnsi="Times New Roman" w:cs="Times New Roman" w:eastAsia="Times New Roman"/>
                <w:sz w:val="22"/>
              </w:rPr>
              <w:t xml:space="preserve">% at Average (6–11)</w:t>
            </w:r>
          </w:p>
        </w:tc>
        <w:tc>
          <w:tcPr/>
          <w:p>
            <w:pPr>
              <w:pStyle w:val="Compact"/>
              <w:spacing w:line="276" w:lineRule="auto"/>
              <w:jc w:val="center"/>
            </w:pPr>
            <w:r>
              <w:rPr>
                <w:rFonts w:ascii="Times New Roman" w:hAnsi="Times New Roman" w:cs="Times New Roman" w:eastAsia="Times New Roman"/>
                <w:sz w:val="22"/>
              </w:rPr>
              <w:t xml:space="preserve">% at High (12–18)</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40 %</w:t>
            </w:r>
          </w:p>
        </w:tc>
        <w:tc>
          <w:tcPr/>
          <w:p>
            <w:pPr>
              <w:pStyle w:val="Compact"/>
              <w:spacing w:line="276" w:lineRule="auto"/>
              <w:jc w:val="center"/>
            </w:pPr>
            <w:r>
              <w:rPr>
                <w:rFonts w:ascii="Times New Roman" w:hAnsi="Times New Roman" w:cs="Times New Roman" w:eastAsia="Times New Roman"/>
                <w:sz w:val="22"/>
              </w:rPr>
              <w:t xml:space="preserve">55 %</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30 %</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25 %</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60 %</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40 %</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30 %</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45 %</w:t>
            </w:r>
          </w:p>
        </w:tc>
        <w:tc>
          <w:tcPr/>
          <w:p>
            <w:pPr>
              <w:pStyle w:val="Compact"/>
              <w:spacing w:line="276" w:lineRule="auto"/>
              <w:jc w:val="center"/>
            </w:pPr>
            <w:r>
              <w:rPr>
                <w:rFonts w:ascii="Times New Roman" w:hAnsi="Times New Roman" w:cs="Times New Roman" w:eastAsia="Times New Roman"/>
                <w:sz w:val="22"/>
              </w:rPr>
              <w:t xml:space="preserve">5 %</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More than half of the boys (60 %) fall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on Constructive, 55 % on Scientific and 40 % on Agricultural. Only 5 % reach the High level on Household, 10 % on Literary, and 15 % each on Artistic and Social.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row shows the 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concentration — 50 % of boys actively dislike vocations of this area. The boys’ profile is unambiguously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w:t>
      </w:r>
      <w:r>
        <w:rPr>
          <w:rFonts w:ascii="Times New Roman" w:hAnsi="Times New Roman" w:cs="Times New Roman" w:eastAsia="Times New Roman"/>
          <w:sz w:val="24"/>
        </w:rPr>
        <w:t xml:space="preserve">.</w:t>
      </w:r>
    </w:p>
    <w:bookmarkEnd w:id="118"/>
    <w:bookmarkStart w:id="119" w:name="percentage-distribution-of-girls"/>
    <w:p>
      <w:pPr>
        <w:pStyle w:val="Heading3"/>
        <w:spacing w:line="360" w:lineRule="auto"/>
        <w:jc w:val="left"/>
      </w:pPr>
      <w:r>
        <w:rPr>
          <w:rFonts w:ascii="Times New Roman" w:hAnsi="Times New Roman" w:cs="Times New Roman" w:eastAsia="Times New Roman"/>
          <w:b/>
          <w:sz w:val="26"/>
        </w:rPr>
        <w:t xml:space="preserve">4.6.2 Percentage Distribution of Girls</w:t>
      </w:r>
    </w:p>
    <w:p>
      <w:pPr>
        <w:pStyle w:val="FirstParagraph"/>
        <w:spacing w:line="480" w:lineRule="auto" w:after="120"/>
        <w:jc w:val="both"/>
      </w:pPr>
      <w:r>
        <w:rPr>
          <w:rFonts w:ascii="Times New Roman" w:hAnsi="Times New Roman" w:cs="Times New Roman" w:eastAsia="Times New Roman"/>
          <w:b/>
          <w:bCs/>
          <w:sz w:val="24"/>
        </w:rPr>
        <w:t xml:space="preserve">Table 4.18 — Percentage Distribution of Girls at Three Levels of Vocational Interest in Ten Areas (N = 20)</w:t>
      </w:r>
    </w:p>
    <w:tbl>
      <w:tblPr>
        <w:tblStyle w:val="Table"/>
        <w:tblW w:type="pct" w:w="5000"/>
        <w:jc w:val="center"/>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 at Low (0–5)</w:t>
            </w:r>
          </w:p>
        </w:tc>
        <w:tc>
          <w:tcPr/>
          <w:p>
            <w:pPr>
              <w:pStyle w:val="Compact"/>
              <w:spacing w:line="276" w:lineRule="auto"/>
              <w:jc w:val="center"/>
            </w:pPr>
            <w:r>
              <w:rPr>
                <w:rFonts w:ascii="Times New Roman" w:hAnsi="Times New Roman" w:cs="Times New Roman" w:eastAsia="Times New Roman"/>
                <w:sz w:val="22"/>
              </w:rPr>
              <w:t xml:space="preserve">% at Average (6–11)</w:t>
            </w:r>
          </w:p>
        </w:tc>
        <w:tc>
          <w:tcPr/>
          <w:p>
            <w:pPr>
              <w:pStyle w:val="Compact"/>
              <w:spacing w:line="276" w:lineRule="auto"/>
              <w:jc w:val="center"/>
            </w:pPr>
            <w:r>
              <w:rPr>
                <w:rFonts w:ascii="Times New Roman" w:hAnsi="Times New Roman" w:cs="Times New Roman" w:eastAsia="Times New Roman"/>
                <w:sz w:val="22"/>
              </w:rPr>
              <w:t xml:space="preserve">% at High (12–18)</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30 %</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center"/>
            </w:pPr>
            <w:r>
              <w:rPr>
                <w:rFonts w:ascii="Times New Roman" w:hAnsi="Times New Roman" w:cs="Times New Roman" w:eastAsia="Times New Roman"/>
                <w:sz w:val="22"/>
              </w:rPr>
              <w:t xml:space="preserve">70 %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center"/>
            </w:pPr>
            <w:r>
              <w:rPr>
                <w:rFonts w:ascii="Times New Roman" w:hAnsi="Times New Roman" w:cs="Times New Roman" w:eastAsia="Times New Roman"/>
                <w:sz w:val="22"/>
              </w:rPr>
              <w:t xml:space="preserve">70 %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25 %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45 %</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5 %</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70 %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40 %</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60 %</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dominates (60 % at High level, only 5 % at Low);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next (45 % at High),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(30 %). Only 10 % of the girls reach the High level on Scientific, Executive and Constructive, and only 5 % on Agricultural; the Constructive and Agricultural rows show 35 % each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The girls’ profile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complement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boys’: what the boys love, the girls dislike,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vice versa</w:t>
      </w:r>
      <w:r>
        <w:rPr>
          <w:rFonts w:ascii="Times New Roman" w:hAnsi="Times New Roman" w:cs="Times New Roman" w:eastAsia="Times New Roman"/>
          <w:sz w:val="24"/>
        </w:rPr>
        <w:t xml:space="preserve">.</w:t>
      </w:r>
    </w:p>
    <w:bookmarkEnd w:id="119"/>
    <w:bookmarkStart w:id="120" w:name="comparative-percentage-at-the-high-level"/>
    <w:p>
      <w:pPr>
        <w:pStyle w:val="Heading3"/>
        <w:spacing w:line="360" w:lineRule="auto"/>
        <w:jc w:val="left"/>
      </w:pPr>
      <w:r>
        <w:rPr>
          <w:rFonts w:ascii="Times New Roman" w:hAnsi="Times New Roman" w:cs="Times New Roman" w:eastAsia="Times New Roman"/>
          <w:b/>
          <w:sz w:val="26"/>
        </w:rPr>
        <w:t xml:space="preserve">4.6.3 Comparative Percentage at the High Level</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is the most diagnostic of the three since it identifies students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well-formed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preferences. Table 4.19 draws the comparative picture for the High level.</w:t>
      </w:r>
    </w:p>
    <w:p>
      <w:pPr>
        <w:pStyle w:val="BodyText"/>
        <w:spacing w:line="480" w:lineRule="auto" w:after="120"/>
        <w:jc w:val="both"/>
      </w:pPr>
      <w:r>
        <w:rPr>
          <w:rFonts w:ascii="Times New Roman" w:hAnsi="Times New Roman" w:cs="Times New Roman" w:eastAsia="Times New Roman"/>
          <w:b/>
          <w:bCs/>
          <w:sz w:val="24"/>
        </w:rPr>
        <w:t xml:space="preserve">Table 4.19 — Comparative Percentage of Boys and Girls Showing High Vocational Interest in Each Area</w:t>
      </w:r>
    </w:p>
    <w:tbl>
      <w:tblPr>
        <w:tblStyle w:val="Table"/>
        <w:tblW w:type="pct" w:w="5000"/>
        <w:jc w:val="center"/>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 High (Boys)</w:t>
            </w:r>
          </w:p>
        </w:tc>
        <w:tc>
          <w:tcPr/>
          <w:p>
            <w:pPr>
              <w:pStyle w:val="Compact"/>
              <w:spacing w:line="276" w:lineRule="auto"/>
              <w:jc w:val="center"/>
            </w:pPr>
            <w:r>
              <w:rPr>
                <w:rFonts w:ascii="Times New Roman" w:hAnsi="Times New Roman" w:cs="Times New Roman" w:eastAsia="Times New Roman"/>
                <w:sz w:val="22"/>
              </w:rPr>
              <w:t xml:space="preserve">% High (Girls)</w:t>
            </w:r>
          </w:p>
        </w:tc>
        <w:tc>
          <w:tcPr/>
          <w:p>
            <w:pPr>
              <w:pStyle w:val="Compact"/>
              <w:spacing w:line="276" w:lineRule="auto"/>
              <w:jc w:val="center"/>
            </w:pPr>
            <w:r>
              <w:rPr>
                <w:rFonts w:ascii="Times New Roman" w:hAnsi="Times New Roman" w:cs="Times New Roman" w:eastAsia="Times New Roman"/>
                <w:sz w:val="22"/>
              </w:rPr>
              <w:t xml:space="preserve">Gap (Boys − Girls)</w:t>
            </w:r>
          </w:p>
        </w:tc>
        <w:tc>
          <w:tcPr/>
          <w:p>
            <w:pPr>
              <w:pStyle w:val="Compact"/>
              <w:spacing w:line="276" w:lineRule="auto"/>
              <w:jc w:val="left"/>
            </w:pPr>
            <w:r>
              <w:rPr>
                <w:rFonts w:ascii="Times New Roman" w:hAnsi="Times New Roman" w:cs="Times New Roman" w:eastAsia="Times New Roman"/>
                <w:sz w:val="22"/>
              </w:rPr>
              <w:t xml:space="preserve">Direction</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+45 %</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left"/>
            </w:pPr>
            <w:r>
              <w:rPr>
                <w:rFonts w:ascii="Times New Roman" w:hAnsi="Times New Roman" w:cs="Times New Roman" w:eastAsia="Times New Roman"/>
                <w:sz w:val="22"/>
              </w:rPr>
              <w:t xml:space="preserve">(Boys &gt; Girls — moderate)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25 %</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left"/>
            </w:pPr>
            <w:r>
              <w:rPr>
                <w:rFonts w:ascii="Times New Roman" w:hAnsi="Times New Roman" w:cs="Times New Roman" w:eastAsia="Times New Roman"/>
                <w:sz w:val="22"/>
              </w:rPr>
              <w:t xml:space="preserve">(Boys &gt; Girls — small)</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45 %</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40 %</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left"/>
            </w:pPr>
            <w:r>
              <w:rPr>
                <w:rFonts w:ascii="Times New Roman" w:hAnsi="Times New Roman" w:cs="Times New Roman" w:eastAsia="Times New Roman"/>
                <w:sz w:val="22"/>
              </w:rPr>
              <w:t xml:space="preserve">(Boys &gt; Girls — small)</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40 %</w:t>
            </w:r>
          </w:p>
        </w:tc>
        <w:tc>
          <w:tcPr/>
          <w:p>
            <w:pPr>
              <w:pStyle w:val="Compact"/>
              <w:spacing w:line="276" w:lineRule="auto"/>
              <w:jc w:val="center"/>
            </w:pPr>
            <w:r>
              <w:rPr>
                <w:rFonts w:ascii="Times New Roman" w:hAnsi="Times New Roman" w:cs="Times New Roman" w:eastAsia="Times New Roman"/>
                <w:sz w:val="22"/>
              </w:rPr>
              <w:t xml:space="preserve">−25 %</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left"/>
            </w:pPr>
            <w:r>
              <w:rPr>
                <w:rFonts w:ascii="Times New Roman" w:hAnsi="Times New Roman" w:cs="Times New Roman" w:eastAsia="Times New Roman"/>
                <w:sz w:val="22"/>
              </w:rPr>
              <w:t xml:space="preserve">Girls &gt; Boys</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largest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gaps are on Constructive (+50 %), Scientific (+45 %) and Agricultural (+35 %); the largest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gaps are on Household (−55 %), Artistic (−30 %) and Social (−25 %). The Executive, Commercial and Persuasive areas show smaller gaps (+10 % to +20 %), with Literary at a moderate −20 %. H₀2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areas with large gaps (Constructive, Scientific, Agricultural, Household, Artistic, Social, Literary)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those with small gaps (Executive, Commercial, Persuasive). The pattern of percentage gaps closely mirrors the pattern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in Table 4.16 — the two analyses thus provide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converging evidence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gender-typed pattern;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triangulation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two different statistical lenses strengthens our confidence in the overall interpretation.</w:t>
      </w:r>
    </w:p>
    <w:bookmarkEnd w:id="120"/>
    <w:bookmarkEnd w:id="121"/>
    <w:bookmarkStart w:id="122" w:name="X69cab0a4c8b93a4f379ecb3a457feb965bf27d1"/>
    <w:p>
      <w:pPr>
        <w:pStyle w:val="Heading2"/>
        <w:spacing w:line="360" w:lineRule="auto"/>
        <w:jc w:val="center"/>
      </w:pPr>
      <w:r>
        <w:rPr>
          <w:rFonts w:ascii="Times New Roman" w:hAnsi="Times New Roman" w:cs="Times New Roman" w:eastAsia="Times New Roman"/>
          <w:b/>
          <w:sz w:val="28"/>
        </w:rPr>
        <w:t xml:space="preserve">4.7 Rank Order of Areas of Vocational Interest (Objective 5, H₀3)</w:t>
      </w:r>
    </w:p>
    <w:p>
      <w:pPr>
        <w:pStyle w:val="FirstParagraph"/>
        <w:spacing w:line="480" w:lineRule="auto" w:after="120"/>
        <w:jc w:val="both"/>
      </w:pPr>
      <w:r>
        <w:rPr>
          <w:rFonts w:ascii="Times New Roman" w:hAnsi="Times New Roman" w:cs="Times New Roman" w:eastAsia="Times New Roman"/>
          <w:sz w:val="24"/>
        </w:rPr>
        <w:t xml:space="preserve">The ten areas were ranked separately for each group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descending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order of mean scores (highest M = Rank 1, lowest = Rank 10).</w:t>
      </w:r>
    </w:p>
    <w:p>
      <w:pPr>
        <w:pStyle w:val="BodyText"/>
        <w:spacing w:line="480" w:lineRule="auto" w:after="120"/>
        <w:jc w:val="both"/>
      </w:pPr>
      <w:r>
        <w:rPr>
          <w:rFonts w:ascii="Times New Roman" w:hAnsi="Times New Roman" w:cs="Times New Roman" w:eastAsia="Times New Roman"/>
          <w:b/>
          <w:bCs/>
          <w:sz w:val="24"/>
        </w:rPr>
        <w:t xml:space="preserve">Table 4.20 — Rank Order of the Ten Areas of Vocational Interest of Boys and Girls</w:t>
      </w:r>
    </w:p>
    <w:tbl>
      <w:tblPr>
        <w:tblStyle w:val="Table"/>
        <w:tblW w:type="pct" w:w="5000"/>
        <w:jc w:val="center"/>
        <w:tblLayout w:type="fixed"/>
        <w:tblLook w:firstRow="1" w:lastRow="0" w:firstColumn="0" w:lastColumn="0" w:noHBand="0" w:noVBand="0" w:val="0020"/>
      </w:tblPr>
      <w:tblGrid>
        <w:gridCol w:w="1015"/>
        <w:gridCol w:w="812"/>
        <w:gridCol w:w="1015"/>
        <w:gridCol w:w="1015"/>
        <w:gridCol w:w="1015"/>
        <w:gridCol w:w="1015"/>
        <w:gridCol w:w="1015"/>
        <w:gridCol w:w="1015"/>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 (Boys)</w:t>
            </w:r>
          </w:p>
        </w:tc>
        <w:tc>
          <w:tcPr/>
          <w:p>
            <w:pPr>
              <w:pStyle w:val="Compact"/>
              <w:spacing w:line="276" w:lineRule="auto"/>
              <w:jc w:val="center"/>
            </w:pPr>
            <w:r>
              <w:rPr>
                <w:rFonts w:ascii="Times New Roman" w:hAnsi="Times New Roman" w:cs="Times New Roman" w:eastAsia="Times New Roman"/>
                <w:sz w:val="22"/>
              </w:rPr>
              <w:t xml:space="preserve">Rank (Boys)</w:t>
            </w:r>
          </w:p>
        </w:tc>
        <w:tc>
          <w:tcPr/>
          <w:p>
            <w:pPr>
              <w:pStyle w:val="Compact"/>
              <w:spacing w:line="276" w:lineRule="auto"/>
              <w:jc w:val="center"/>
            </w:pPr>
            <w:r>
              <w:rPr>
                <w:rFonts w:ascii="Times New Roman" w:hAnsi="Times New Roman" w:cs="Times New Roman" w:eastAsia="Times New Roman"/>
                <w:sz w:val="22"/>
              </w:rPr>
              <w:t xml:space="preserve">M (Girls)</w:t>
            </w:r>
          </w:p>
        </w:tc>
        <w:tc>
          <w:tcPr/>
          <w:p>
            <w:pPr>
              <w:pStyle w:val="Compact"/>
              <w:spacing w:line="276" w:lineRule="auto"/>
              <w:jc w:val="center"/>
            </w:pPr>
            <w:r>
              <w:rPr>
                <w:rFonts w:ascii="Times New Roman" w:hAnsi="Times New Roman" w:cs="Times New Roman" w:eastAsia="Times New Roman"/>
                <w:sz w:val="22"/>
              </w:rPr>
              <w:t xml:space="preserve">Rank (Girls)</w:t>
            </w:r>
          </w:p>
        </w:tc>
        <w:tc>
          <w:tcPr/>
          <w:p>
            <w:pPr>
              <w:pStyle w:val="Compact"/>
              <w:spacing w:line="276" w:lineRule="auto"/>
              <w:jc w:val="center"/>
            </w:pPr>
            <w:r>
              <w:rPr>
                <w:rFonts w:ascii="Times New Roman" w:hAnsi="Times New Roman" w:cs="Times New Roman" w:eastAsia="Times New Roman"/>
                <w:sz w:val="22"/>
              </w:rPr>
              <w:t xml:space="preserve">d</w:t>
            </w:r>
          </w:p>
        </w:tc>
        <w:tc>
          <w:tcPr/>
          <w:p>
            <w:pPr>
              <w:pStyle w:val="Compact"/>
              <w:spacing w:line="276" w:lineRule="auto"/>
              <w:jc w:val="center"/>
            </w:pPr>
            <w:r>
              <w:rPr>
                <w:rFonts w:ascii="Times New Roman" w:hAnsi="Times New Roman" w:cs="Times New Roman" w:eastAsia="Times New Roman"/>
                <w:sz w:val="22"/>
              </w:rPr>
              <w:t xml:space="preserve">d²</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25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36</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36</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49</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16</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81</w:t>
            </w:r>
          </w:p>
        </w:tc>
      </w:tr>
      <w:tr>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Σd² =</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310</w:t>
            </w:r>
          </w:p>
        </w:tc>
      </w:tr>
    </w:tbl>
    <w:p>
      <w:pPr>
        <w:pStyle w:val="BodyText"/>
        <w:spacing w:line="480" w:lineRule="auto" w:after="120"/>
        <w:jc w:val="both"/>
      </w:pPr>
      <w:r>
        <w:rPr>
          <w:rFonts w:ascii="Times New Roman" w:hAnsi="Times New Roman" w:cs="Times New Roman" w:eastAsia="Times New Roman"/>
          <w:b/>
          <w:bCs/>
          <w:sz w:val="24"/>
        </w:rPr>
        <w:t xml:space="preserve">Spearman’s Rank-Order Correlation Coefficient (ρ).</w:t>
      </w:r>
    </w:p>
    <w:p>
      <w:pPr>
        <w:pStyle w:val="BodyText"/>
        <w:spacing w:line="480" w:lineRule="auto" w:after="120"/>
        <w:jc w:val="both"/>
      </w:pPr>
      <m:oMathPara>
        <m:oMathParaPr>
          <m:jc m:val="center"/>
        </m:oMathParaPr>
        <m:oMath>
          <m:r>
            <m:t>ρ</m:t>
          </m:r>
          <m:r>
            <m:rPr>
              <m:sty m:val="p"/>
            </m:rPr>
            <m:t>=</m:t>
          </m:r>
          <m:r>
            <m:t>1</m:t>
          </m:r>
          <m:r>
            <m:rPr>
              <m:sty m:val="p"/>
            </m:rPr>
            <m:t>−</m:t>
          </m:r>
          <m:f>
            <m:fPr>
              <m:type m:val="bar"/>
            </m:fPr>
            <m:num>
              <m:r>
                <m:t>6</m:t>
              </m:r>
              <m:r>
                <m:rPr>
                  <m:sty m:val="p"/>
                </m:rPr>
                <m:t>∑</m:t>
              </m:r>
              <m:sSup>
                <m:e>
                  <m:r>
                    <m:t>d</m:t>
                  </m:r>
                </m:e>
                <m:sup>
                  <m:r>
                    <m:t>2</m:t>
                  </m:r>
                </m:sup>
              </m:sSup>
            </m:num>
            <m:den>
              <m:r>
                <m:t>n</m:t>
              </m:r>
              <m:r>
                <m:rPr>
                  <m:sty m:val="p"/>
                </m:rPr>
                <m:t>(</m:t>
              </m:r>
              <m:sSup>
                <m:e>
                  <m:r>
                    <m:t>n</m:t>
                  </m:r>
                </m:e>
                <m:sup>
                  <m:r>
                    <m:t>2</m:t>
                  </m:r>
                </m:sup>
              </m:sSup>
              <m:r>
                <m:rPr>
                  <m:sty m:val="p"/>
                </m:rPr>
                <m:t>−</m:t>
              </m:r>
              <m:r>
                <m:t>1</m:t>
              </m:r>
              <m:r>
                <m:rPr>
                  <m:sty m:val="p"/>
                </m:rPr>
                <m:t>)</m:t>
              </m:r>
            </m:den>
          </m:f>
          <m:r>
            <m:rPr>
              <m:sty m:val="p"/>
            </m:rPr>
            <m:t>=</m:t>
          </m:r>
          <m:r>
            <m:t>1</m:t>
          </m:r>
          <m:r>
            <m:rPr>
              <m:sty m:val="p"/>
            </m:rPr>
            <m:t>−</m:t>
          </m:r>
          <m:f>
            <m:fPr>
              <m:type m:val="bar"/>
            </m:fPr>
            <m:num>
              <m:r>
                <m:t>6</m:t>
              </m:r>
              <m:r>
                <m:rPr>
                  <m:sty m:val="p"/>
                </m:rPr>
                <m:t>×</m:t>
              </m:r>
              <m:r>
                <m:t>310</m:t>
              </m:r>
            </m:num>
            <m:den>
              <m:r>
                <m:t>10</m:t>
              </m:r>
              <m:r>
                <m:rPr>
                  <m:sty m:val="p"/>
                </m:rPr>
                <m:t>×</m:t>
              </m:r>
              <m:r>
                <m:t>99</m:t>
              </m:r>
            </m:den>
          </m:f>
          <m:r>
            <m:rPr>
              <m:sty m:val="p"/>
            </m:rPr>
            <m:t>=</m:t>
          </m:r>
          <m:r>
            <m:t>1</m:t>
          </m:r>
          <m:r>
            <m:rPr>
              <m:sty m:val="p"/>
            </m:rPr>
            <m:t>−</m:t>
          </m:r>
          <m:f>
            <m:fPr>
              <m:type m:val="bar"/>
            </m:fPr>
            <m:num>
              <m:r>
                <m:t>1860</m:t>
              </m:r>
            </m:num>
            <m:den>
              <m:r>
                <m:t>990</m:t>
              </m:r>
            </m:den>
          </m:f>
          <m:r>
            <m:rPr>
              <m:sty m:val="p"/>
            </m:rPr>
            <m:t>=</m:t>
          </m:r>
          <m:r>
            <m:t>1</m:t>
          </m:r>
          <m:r>
            <m:rPr>
              <m:sty m:val="p"/>
            </m:rPr>
            <m:t>−</m:t>
          </m:r>
          <m:r>
            <m:t>1.879</m:t>
          </m:r>
          <m:r>
            <m:rPr>
              <m:sty m:val="p"/>
            </m:rPr>
            <m:t>=</m:t>
          </m:r>
          <m:r>
            <m:rPr>
              <m:sty m:val="b"/>
            </m:rPr>
            <m:t>−</m:t>
          </m:r>
          <m:r>
            <m:rPr>
              <m:sty m:val="b"/>
            </m:rPr>
            <m:t>0.879</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Spearman’s correlation between the boys’ and girls’ rank orders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ρ = −0.88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an extreme negative correlation.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10, the critical value of ρ at the 0.01 level (two-tailed) is ±0.794, which the obtained value clearly exceeds. The negative correlation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at the 0.01 level</w:t>
      </w:r>
      <w:r>
        <w:rPr>
          <w:rFonts w:ascii="Times New Roman" w:hAnsi="Times New Roman" w:cs="Times New Roman" w:eastAsia="Times New Roman"/>
          <w:sz w:val="24"/>
        </w:rPr>
        <w:t xml:space="preserve">; H₀3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with the additional finding that the rank orders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systematically reversed</w:t>
      </w:r>
      <w:r>
        <w:rPr>
          <w:rFonts w:ascii="Times New Roman" w:hAnsi="Times New Roman" w:cs="Times New Roman" w:eastAsia="Times New Roman"/>
          <w:sz w:val="24"/>
        </w:rPr>
        <w:t xml:space="preserve">. The boys’ top three (Constructive 1, Scientific 2, Agricultural 3) are nearly the bottom three of the girls’ rank order (Constructive 9, Scientific 8, Agricultural 10); the girls’ top three (Household 1, Artistic 2, Social 3) are nearly the bottom three of the boys’ (Household 10, Artistic 8, Social 7). The Executive, Commercial and Persuasive areas, which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occupy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similar middle ranks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(Executive 5/6, Commercial 6/7, Persuasive 4/5). The internal consistency of the three statistical lenses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percentage analysis and rank-order correlation — reinforces the substantive conclusion: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vocational interests of secondary school boys and girls of Meerut District are sharply, systematically and statistically significantly gender-typed</w:t>
      </w:r>
      <w:r>
        <w:rPr>
          <w:rFonts w:ascii="Times New Roman" w:hAnsi="Times New Roman" w:cs="Times New Roman" w:eastAsia="Times New Roman"/>
          <w:sz w:val="24"/>
        </w:rPr>
        <w:t xml:space="preserve">.</w:t>
      </w:r>
    </w:p>
    <w:bookmarkEnd w:id="122"/>
    <w:bookmarkStart w:id="123" w:name="graphical-presentation-of-the-results"/>
    <w:p>
      <w:pPr>
        <w:pStyle w:val="Heading2"/>
        <w:spacing w:line="360" w:lineRule="auto"/>
        <w:jc w:val="center"/>
      </w:pPr>
      <w:r>
        <w:rPr>
          <w:rFonts w:ascii="Times New Roman" w:hAnsi="Times New Roman" w:cs="Times New Roman" w:eastAsia="Times New Roman"/>
          <w:b/>
          <w:sz w:val="28"/>
        </w:rPr>
        <w:t xml:space="preserve">4.8 Graphical Presentation of the Results</w:t>
      </w:r>
    </w:p>
    <w:p>
      <w:pPr>
        <w:pStyle w:val="FirstParagraph"/>
        <w:spacing w:line="480" w:lineRule="auto" w:after="120"/>
        <w:jc w:val="both"/>
      </w:pPr>
      <w:r>
        <w:rPr>
          <w:rFonts w:ascii="Times New Roman" w:hAnsi="Times New Roman" w:cs="Times New Roman" w:eastAsia="Times New Roman"/>
          <w:sz w:val="24"/>
        </w:rPr>
        <w:t xml:space="preserve">To present the comparative pattern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visually</w:t>
      </w:r>
      <w:r>
        <w:rPr>
          <w:rFonts w:ascii="Times New Roman" w:hAnsi="Times New Roman" w:cs="Times New Roman" w:eastAsia="Times New Roman"/>
          <w:sz w:val="24"/>
        </w:rPr>
        <w:t xml:space="preserve">, three figures have been prepared. (The actual coloured bar diagrams are pasted at the relevant pages of the bound dissertation; the textual descriptions are reproduced below.)</w:t>
      </w:r>
    </w:p>
    <w:p>
      <w:pPr>
        <w:pStyle w:val="BodyText"/>
        <w:spacing w:line="480" w:lineRule="auto" w:after="120"/>
        <w:jc w:val="both"/>
      </w:pPr>
      <w:r>
        <w:rPr>
          <w:rFonts w:ascii="Times New Roman" w:hAnsi="Times New Roman" w:cs="Times New Roman" w:eastAsia="Times New Roman"/>
          <w:b/>
          <w:bCs/>
          <w:sz w:val="24"/>
        </w:rPr>
        <w:t xml:space="preserve">Figure 4.1 — Bar Diagram showing Mean Scores of Boys and Girls on the Ten Areas of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Horizontal axis: the ten interest areas. Vertical axis: mean scores from 0 to 14. Two bars per area — boys (blue) and girls (pink). The diagram shows boys’ bars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dominating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Scientific, Constructive and Agricultural; girls’ bars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dominating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Literary, Artistic, Social and (most strikingly) Household; on Executive, Commercial and Persuasive the two bars are roughly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 in height</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Figure 4.2 — Comparative Profile of Boys and Girls — Percentage of Students at</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“High”</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Same horizontal axis; vertical axis 0–70 %. The figure brings out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 gaps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Constructive (60 % vs 10 %), Household (5 % vs 60 %), Scientific (55 % vs 10 %), Artistic (15 % vs 45 %), Agricultural (40 % vs 5 %) and Social (15 % vs 40 %).</w:t>
      </w:r>
    </w:p>
    <w:p>
      <w:pPr>
        <w:pStyle w:val="BodyText"/>
        <w:spacing w:line="480" w:lineRule="auto" w:after="120"/>
        <w:jc w:val="both"/>
      </w:pPr>
      <w:r>
        <w:rPr>
          <w:rFonts w:ascii="Times New Roman" w:hAnsi="Times New Roman" w:cs="Times New Roman" w:eastAsia="Times New Roman"/>
          <w:b/>
          <w:bCs/>
          <w:sz w:val="24"/>
        </w:rPr>
        <w:t xml:space="preserve">Figure 4.3 — Rank-Order Profile of Boys’ and Girls’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Double-line graph, ten areas on the horizontal axis, rank from 1 (top) to 10 (bottom) on the vertical axis. The boys’ line (solid blue) and the girls’ line (dotted pink)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almost mirror-images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other — the pictorial expression of ρ = −0.88.</w:t>
      </w:r>
    </w:p>
    <w:bookmarkEnd w:id="123"/>
    <w:bookmarkStart w:id="124" w:name="discussion-of-the-results"/>
    <w:p>
      <w:pPr>
        <w:pStyle w:val="Heading2"/>
        <w:spacing w:line="360" w:lineRule="auto"/>
        <w:jc w:val="center"/>
      </w:pPr>
      <w:r>
        <w:rPr>
          <w:rFonts w:ascii="Times New Roman" w:hAnsi="Times New Roman" w:cs="Times New Roman" w:eastAsia="Times New Roman"/>
          <w:b/>
          <w:sz w:val="28"/>
        </w:rPr>
        <w:t xml:space="preserve">4.9 Discussion of the Results</w:t>
      </w:r>
    </w:p>
    <w:p>
      <w:pPr>
        <w:pStyle w:val="FirstParagraph"/>
        <w:spacing w:line="480" w:lineRule="auto" w:after="120"/>
        <w:jc w:val="both"/>
      </w:pPr>
      <w:r>
        <w:rPr>
          <w:rFonts w:ascii="Times New Roman" w:hAnsi="Times New Roman" w:cs="Times New Roman" w:eastAsia="Times New Roman"/>
          <w:sz w:val="24"/>
        </w:rPr>
        <w:t xml:space="preserve">The analyses presented in Sections 4.2 to 4.7 are now drawn together for an interpretative discussion.</w:t>
      </w:r>
    </w:p>
    <w:p>
      <w:pPr>
        <w:pStyle w:val="BodyText"/>
        <w:spacing w:line="480" w:lineRule="auto" w:after="120"/>
        <w:jc w:val="both"/>
      </w:pPr>
      <w:r>
        <w:rPr>
          <w:rFonts w:ascii="Times New Roman" w:hAnsi="Times New Roman" w:cs="Times New Roman" w:eastAsia="Times New Roman"/>
          <w:b/>
          <w:bCs/>
          <w:sz w:val="24"/>
        </w:rPr>
        <w:t xml:space="preserve">(a) The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most important finding of the present study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 systematic and statistically significant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higher on the Scientific, Constructive (Technical) and Agricultural areas;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Literary, Artistic, Social and Household areas; the Executive, Commercial and Persuasive areas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significantly differentiated by gender. This pattern is identical in its broad structure to the pattern reported by virtually every Indian study reviewed in Chapter II (Singh &amp; Verma, 2023; Reddy &amp; Kumar, 2021; Joshi, 2020; Mehta, 2019; Yadav, 2016) and by every major foreign meta-analysis (Su, Rounds &amp; Armstrong, 2009; Williams &amp; O’Connor, 2022). Its replicability across decades, cultures, samples and tools points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deep socialisation roots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differences.</w:t>
      </w:r>
    </w:p>
    <w:p>
      <w:pPr>
        <w:pStyle w:val="BodyText"/>
        <w:spacing w:line="480" w:lineRule="auto" w:after="120"/>
        <w:jc w:val="both"/>
      </w:pPr>
      <w:r>
        <w:rPr>
          <w:rFonts w:ascii="Times New Roman" w:hAnsi="Times New Roman" w:cs="Times New Roman" w:eastAsia="Times New Roman"/>
          <w:b/>
          <w:bCs/>
          <w:sz w:val="24"/>
        </w:rPr>
        <w:t xml:space="preserve">(b) Magnitude of the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differences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much larger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Constructive (Δ = 4.85), Household (Δ = 6.30), Scientific (Δ = 3.70), Agricultural (Δ = 3.65) and Artistic (Δ = 3.45) areas than on Executive (Δ = 1.45), Commercial (Δ = 0.85) and Persuasive (Δ = 0.95). The largest differences fall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strongly gender-typed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of Indian society — building and machine work for boys, home management for girls — while the smallest differences fall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of management, commerce and persuasion, which the modern Indian society has slowly come to share between the two sexes.</w:t>
      </w:r>
    </w:p>
    <w:p>
      <w:pPr>
        <w:pStyle w:val="BodyText"/>
        <w:spacing w:line="480" w:lineRule="auto" w:after="120"/>
        <w:jc w:val="both"/>
      </w:pPr>
      <w:r>
        <w:rPr>
          <w:rFonts w:ascii="Times New Roman" w:hAnsi="Times New Roman" w:cs="Times New Roman" w:eastAsia="Times New Roman"/>
          <w:b/>
          <w:bCs/>
          <w:sz w:val="24"/>
        </w:rPr>
        <w:t xml:space="preserve">(c) Role of the school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schools sampled lie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opposite 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locality and management continua. This contrast intensifies certain effects (Agricultural — boys higher partly because of rural background; Scientific — boys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despite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urban-CBSE advantage of the girls) and dilutes others (Executive, Commercial — boys higher despite urban CBSE girls’ exposure to administrative role-models).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is therefore unmistakable, but, strictly, the present study compares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Government-rural-U.P.-Board boys versus Private-urban-CBSE girls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versus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general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point flagged in the Limitations section of Chapter V.</w:t>
      </w:r>
    </w:p>
    <w:p>
      <w:pPr>
        <w:pStyle w:val="BodyText"/>
        <w:spacing w:line="480" w:lineRule="auto" w:after="120"/>
        <w:jc w:val="both"/>
      </w:pPr>
      <w:r>
        <w:rPr>
          <w:rFonts w:ascii="Times New Roman" w:hAnsi="Times New Roman" w:cs="Times New Roman" w:eastAsia="Times New Roman"/>
          <w:b/>
          <w:bCs/>
          <w:sz w:val="24"/>
        </w:rPr>
        <w:t xml:space="preserve">(d) Hypothesis testing.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rejected for Literary, Scientific, Constructive, Artistic, Agricultural, Social and Household; retained for Executive, Commercial and Persuasive.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rejected wherever the high-level gap exceeds 20 percentage points (Scientific, Constructive, Artistic, Agricultural, Social, Household); retained where the gap is small (Commercial, Persuasive, with Literary at the boundary).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rejected</w:t>
      </w:r>
      <w:r>
        <w:rPr>
          <w:rFonts w:ascii="Times New Roman" w:hAnsi="Times New Roman" w:cs="Times New Roman" w:eastAsia="Times New Roman"/>
          <w:sz w:val="24"/>
        </w:rPr>
        <w:t xml:space="preserve">: ρ = −0.88,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reversal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mere absence of agreement.</w:t>
      </w:r>
    </w:p>
    <w:p>
      <w:pPr>
        <w:pStyle w:val="BodyText"/>
        <w:spacing w:line="480" w:lineRule="auto" w:after="120"/>
        <w:jc w:val="both"/>
      </w:pPr>
      <w:r>
        <w:rPr>
          <w:rFonts w:ascii="Times New Roman" w:hAnsi="Times New Roman" w:cs="Times New Roman" w:eastAsia="Times New Roman"/>
          <w:b/>
          <w:bCs/>
          <w:sz w:val="24"/>
        </w:rPr>
        <w:t xml:space="preserve">(e) Educational message.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three statistical lenses converge on the same picture: in the Indian secondary school of today,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 live in two largely different vocational worlds</w:t>
      </w:r>
      <w:r>
        <w:rPr>
          <w:rFonts w:ascii="Times New Roman" w:hAnsi="Times New Roman" w:cs="Times New Roman" w:eastAsia="Times New Roman"/>
          <w:sz w:val="24"/>
        </w:rPr>
        <w:t xml:space="preserve">. The Constructive–Scientific–Agricultural world of the boys and the Household–Artistic–Social–Literary world of the girls lie almost wholly apart. This separation is partly the natural expression of biological and psychological gender differences but is largely the product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differential socialisation, differential exposure and differential expectations</w:t>
      </w:r>
      <w:r>
        <w:rPr>
          <w:rFonts w:ascii="Times New Roman" w:hAnsi="Times New Roman" w:cs="Times New Roman" w:eastAsia="Times New Roman"/>
          <w:sz w:val="24"/>
        </w:rPr>
        <w:t xml:space="preserve">. The educational system can do something about the second component — and in a country where the National Education Policy 2020 has explicitly pledged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“equity and inclusion in school education”</w:t>
      </w:r>
      <w:r>
        <w:rPr>
          <w:rFonts w:ascii="Times New Roman" w:hAnsi="Times New Roman" w:cs="Times New Roman" w:eastAsia="Times New Roman"/>
          <w:sz w:val="24"/>
        </w:rPr>
        <w:t xml:space="preserve">, the responsibility to do so is real and immediate. Concrete educational implications, suggestions and recommendations are presented in Chapter V.</w:t>
      </w:r>
    </w:p>
    <w:p>
      <w:pPr>
        <w:pStyle w:val="BodyText"/>
        <w:spacing w:line="480" w:lineRule="auto" w:after="120"/>
        <w:jc w:val="both"/>
      </w:pPr>
      <w:r>
        <w:rPr>
          <w:rFonts w:ascii="Times New Roman" w:hAnsi="Times New Roman" w:cs="Times New Roman" w:eastAsia="Times New Roman"/>
          <w:sz w:val="24"/>
        </w:rPr>
        <w:t xml:space="preserve">The next chapter — Chapter V — summarises the entire study, lists the major findings in numbered form, draws conclusions, presents educational implications, and offers detailed suggestions for teachers, parents, school administrators, guidance counsellors and future researchers, along with limitations.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IV ***</w:t>
      </w:r>
    </w:p>
    <w:p>
      <w:pPr>
        <w:spacing w:line="480" w:lineRule="auto" w:after="120"/>
        <w:jc w:val="both"/>
      </w:pPr>
      <w:r>
        <w:rPr>
          <w:rFonts w:ascii="Times New Roman" w:hAnsi="Times New Roman" w:cs="Times New Roman" w:eastAsia="Times New Roman"/>
          <w:sz w:val="24"/>
        </w:rPr>
        <w:br w:type="page"/>
      </w:r>
    </w:p>
    <w:bookmarkEnd w:id="124"/>
    <w:bookmarkEnd w:id="125"/>
    <w:bookmarkStart w:id="126" w:name="chapter-v"/>
    <w:p>
      <w:pPr>
        <w:pStyle w:val="Heading1"/>
        <w:spacing w:line="360" w:lineRule="auto"/>
        <w:jc w:val="center"/>
      </w:pPr>
      <w:r>
        <w:rPr>
          <w:rFonts w:ascii="Times New Roman" w:hAnsi="Times New Roman" w:cs="Times New Roman" w:eastAsia="Times New Roman"/>
          <w:b/>
          <w:sz w:val="32"/>
        </w:rPr>
        <w:t xml:space="preserve">CHAPTER – V</w:t>
      </w:r>
    </w:p>
    <w:bookmarkEnd w:id="126"/>
    <w:bookmarkStart w:id="147" w:name="X5c7f3c1cf324fbe30916581a9e0a9fc3a325d4f"/>
    <w:p>
      <w:pPr>
        <w:pStyle w:val="Heading1"/>
        <w:spacing w:line="360" w:lineRule="auto"/>
        <w:jc w:val="center"/>
      </w:pPr>
      <w:r>
        <w:rPr>
          <w:rFonts w:ascii="Times New Roman" w:hAnsi="Times New Roman" w:cs="Times New Roman" w:eastAsia="Times New Roman"/>
          <w:b/>
          <w:sz w:val="32"/>
        </w:rPr>
        <w:t xml:space="preserve">SUMMARY, FINDINGS, CONCLUSIONS AND SUGGESTIONS</w:t>
      </w:r>
    </w:p>
    <w:bookmarkStart w:id="131" w:name="summary-of-the-study"/>
    <w:p>
      <w:pPr>
        <w:pStyle w:val="Heading2"/>
        <w:spacing w:line="360" w:lineRule="auto"/>
        <w:jc w:val="center"/>
      </w:pPr>
      <w:r>
        <w:rPr>
          <w:rFonts w:ascii="Times New Roman" w:hAnsi="Times New Roman" w:cs="Times New Roman" w:eastAsia="Times New Roman"/>
          <w:b/>
          <w:sz w:val="28"/>
        </w:rPr>
        <w:t xml:space="preserve">5.1 Summary of the Study</w:t>
      </w:r>
    </w:p>
    <w:p>
      <w:pPr>
        <w:pStyle w:val="FirstParagraph"/>
        <w:spacing w:line="480" w:lineRule="auto" w:after="120"/>
        <w:jc w:val="both"/>
      </w:pPr>
      <w:r>
        <w:rPr>
          <w:rFonts w:ascii="Times New Roman" w:hAnsi="Times New Roman" w:cs="Times New Roman" w:eastAsia="Times New Roman"/>
          <w:sz w:val="24"/>
        </w:rPr>
        <w:t xml:space="preserve">The present chapter brings the dissertation to a close by drawing together, in a compact form, the entire argument of the four preceding chapters and indicating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practical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implications of the findings.</w:t>
      </w:r>
    </w:p>
    <w:bookmarkStart w:id="127" w:name="the-problem"/>
    <w:p>
      <w:pPr>
        <w:pStyle w:val="Heading3"/>
        <w:spacing w:line="360" w:lineRule="auto"/>
        <w:jc w:val="left"/>
      </w:pPr>
      <w:r>
        <w:rPr>
          <w:rFonts w:ascii="Times New Roman" w:hAnsi="Times New Roman" w:cs="Times New Roman" w:eastAsia="Times New Roman"/>
          <w:b/>
          <w:sz w:val="26"/>
        </w:rPr>
        <w:t xml:space="preserve">5.1.1 The Problem</w:t>
      </w:r>
    </w:p>
    <w:p>
      <w:pPr>
        <w:pStyle w:val="FirstParagraph"/>
        <w:spacing w:line="480" w:lineRule="auto" w:after="120"/>
        <w:jc w:val="both"/>
      </w:pPr>
      <w:r>
        <w:rPr>
          <w:rFonts w:ascii="Times New Roman" w:hAnsi="Times New Roman" w:cs="Times New Roman" w:eastAsia="Times New Roman"/>
          <w:sz w:val="24"/>
        </w:rPr>
        <w:t xml:space="preserve">The investigation has been entitled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and was conducted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(Uttar Pradesh) under the affiliation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Chaudhary Charan Singh University, Meerut</w:t>
      </w:r>
      <w:r>
        <w:rPr>
          <w:rFonts w:ascii="Times New Roman" w:hAnsi="Times New Roman" w:cs="Times New Roman" w:eastAsia="Times New Roman"/>
          <w:sz w:val="24"/>
        </w:rPr>
        <w:t xml:space="preserve">, during the academic session 2025–2026. The Secondary School stage in India coincides with the developmental period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early adolescence</w:t>
      </w:r>
      <w:r>
        <w:rPr>
          <w:rFonts w:ascii="Times New Roman" w:hAnsi="Times New Roman" w:cs="Times New Roman" w:eastAsia="Times New Roman"/>
          <w:sz w:val="24"/>
        </w:rPr>
        <w:t xml:space="preserve">, in which the individual begins to crystallise his or her vocational choices. The choices made at this stage have far-reaching consequences for the academic future of the learner, his or her later occupational adjustment, life satisfaction and contribution to society. An empirical enquiry into the comparative vocational interests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real Indian setting is therefore both timely and educationally significant.</w:t>
      </w:r>
    </w:p>
    <w:bookmarkEnd w:id="127"/>
    <w:bookmarkStart w:id="128" w:name="objectives"/>
    <w:p>
      <w:pPr>
        <w:pStyle w:val="Heading3"/>
        <w:spacing w:line="360" w:lineRule="auto"/>
        <w:jc w:val="left"/>
      </w:pPr>
      <w:r>
        <w:rPr>
          <w:rFonts w:ascii="Times New Roman" w:hAnsi="Times New Roman" w:cs="Times New Roman" w:eastAsia="Times New Roman"/>
          <w:b/>
          <w:sz w:val="26"/>
        </w:rPr>
        <w:t xml:space="preserve">5.1.2 Objectives</w:t>
      </w:r>
    </w:p>
    <w:p>
      <w:pPr>
        <w:pStyle w:val="FirstParagraph"/>
        <w:spacing w:line="480" w:lineRule="auto" w:after="120"/>
        <w:jc w:val="both"/>
      </w:pPr>
      <w:r>
        <w:rPr>
          <w:rFonts w:ascii="Times New Roman" w:hAnsi="Times New Roman" w:cs="Times New Roman" w:eastAsia="Times New Roman"/>
          <w:sz w:val="24"/>
        </w:rPr>
        <w:t xml:space="preserve">The investigation was designed to fulfil five major objectives:</w:t>
      </w:r>
    </w:p>
    <w:p>
      <w:pPr>
        <w:pStyle w:val="Compact"/>
        <w:numPr>
          <w:ilvl w:val="0"/>
          <w:numId w:val="1011"/>
        </w:numPr>
        <w:spacing w:line="480" w:lineRule="auto" w:after="120"/>
        <w:jc w:val="both"/>
      </w:pPr>
      <w:r>
        <w:rPr>
          <w:rFonts w:ascii="Times New Roman" w:hAnsi="Times New Roman" w:cs="Times New Roman" w:eastAsia="Times New Roman"/>
          <w:sz w:val="24"/>
        </w:rPr>
        <w:t xml:space="preserve">To study the area-wise vocational interest scores (Mean and S.D.)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w:t>
      </w:r>
    </w:p>
    <w:p>
      <w:pPr>
        <w:pStyle w:val="Compact"/>
        <w:numPr>
          <w:ilvl w:val="0"/>
          <w:numId w:val="1011"/>
        </w:numPr>
        <w:spacing w:line="480" w:lineRule="auto" w:after="120"/>
        <w:jc w:val="both"/>
      </w:pPr>
      <w:r>
        <w:rPr>
          <w:rFonts w:ascii="Times New Roman" w:hAnsi="Times New Roman" w:cs="Times New Roman" w:eastAsia="Times New Roman"/>
          <w:sz w:val="24"/>
        </w:rPr>
        <w:t xml:space="preserve">To study the area-wise vocational interest scores (Mean and S.D.)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 the Record.</w:t>
      </w:r>
    </w:p>
    <w:p>
      <w:pPr>
        <w:pStyle w:val="Compact"/>
        <w:numPr>
          <w:ilvl w:val="0"/>
          <w:numId w:val="1011"/>
        </w:numPr>
        <w:spacing w:line="480" w:lineRule="auto" w:after="120"/>
        <w:jc w:val="both"/>
      </w:pPr>
      <w:r>
        <w:rPr>
          <w:rFonts w:ascii="Times New Roman" w:hAnsi="Times New Roman" w:cs="Times New Roman" w:eastAsia="Times New Roman"/>
          <w:sz w:val="24"/>
        </w:rPr>
        <w:t xml:space="preserve">To compare the mean vocational interest scores of boys and girls on each of the ten areas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Compact"/>
        <w:numPr>
          <w:ilvl w:val="0"/>
          <w:numId w:val="1011"/>
        </w:numPr>
        <w:spacing w:line="480" w:lineRule="auto" w:after="120"/>
        <w:jc w:val="both"/>
      </w:pPr>
      <w:r>
        <w:rPr>
          <w:rFonts w:ascii="Times New Roman" w:hAnsi="Times New Roman" w:cs="Times New Roman" w:eastAsia="Times New Roman"/>
          <w:sz w:val="24"/>
        </w:rPr>
        <w:t xml:space="preserve">To compute the percentage of boys and girls falling at the high, average and low levels of vocational interest in each of the ten areas.</w:t>
      </w:r>
    </w:p>
    <w:p>
      <w:pPr>
        <w:pStyle w:val="Compact"/>
        <w:numPr>
          <w:ilvl w:val="0"/>
          <w:numId w:val="1011"/>
        </w:numPr>
        <w:spacing w:line="480" w:lineRule="auto" w:after="120"/>
        <w:jc w:val="both"/>
      </w:pPr>
      <w:r>
        <w:rPr>
          <w:rFonts w:ascii="Times New Roman" w:hAnsi="Times New Roman" w:cs="Times New Roman" w:eastAsia="Times New Roman"/>
          <w:sz w:val="24"/>
        </w:rPr>
        <w:t xml:space="preserve">To determine the rank order of the ten areas of vocational interest for boys and for girls and to examine the agreement between the two rank orders.</w:t>
      </w:r>
    </w:p>
    <w:bookmarkEnd w:id="128"/>
    <w:bookmarkStart w:id="129" w:name="hypotheses"/>
    <w:p>
      <w:pPr>
        <w:pStyle w:val="Heading3"/>
        <w:spacing w:line="360" w:lineRule="auto"/>
        <w:jc w:val="left"/>
      </w:pPr>
      <w:r>
        <w:rPr>
          <w:rFonts w:ascii="Times New Roman" w:hAnsi="Times New Roman" w:cs="Times New Roman" w:eastAsia="Times New Roman"/>
          <w:b/>
          <w:sz w:val="26"/>
        </w:rPr>
        <w:t xml:space="preserve">5.1.3 Hypotheses</w:t>
      </w:r>
    </w:p>
    <w:p>
      <w:pPr>
        <w:pStyle w:val="FirstParagraph"/>
        <w:spacing w:line="480" w:lineRule="auto" w:after="120"/>
        <w:jc w:val="both"/>
      </w:pPr>
      <w:r>
        <w:rPr>
          <w:rFonts w:ascii="Times New Roman" w:hAnsi="Times New Roman" w:cs="Times New Roman" w:eastAsia="Times New Roman"/>
          <w:sz w:val="24"/>
        </w:rPr>
        <w:t xml:space="preserve">In keeping with the above objectives, three null hypotheses were formulated:</w:t>
      </w:r>
    </w:p>
    <w:p>
      <w:pPr>
        <w:pStyle w:val="BodyText"/>
        <w:spacing w:line="48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scores of boys and girls of secondary level on any of the ten areas of vocational interest.</w:t>
      </w:r>
    </w:p>
    <w:p>
      <w:pPr>
        <w:pStyle w:val="BodyText"/>
        <w:spacing w:line="48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do not differ significantly in the percentage distribution of their interest at the high, average and low levels.</w:t>
      </w:r>
    </w:p>
    <w:p>
      <w:pPr>
        <w:pStyle w:val="BodyText"/>
        <w:spacing w:line="48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do not differ significantly in the rank order in which they place the ten areas of vocational interest.</w:t>
      </w:r>
    </w:p>
    <w:bookmarkEnd w:id="129"/>
    <w:bookmarkStart w:id="130" w:name="method-sample-tool-and-statistics"/>
    <w:p>
      <w:pPr>
        <w:pStyle w:val="Heading3"/>
        <w:spacing w:line="360" w:lineRule="auto"/>
        <w:jc w:val="left"/>
      </w:pPr>
      <w:r>
        <w:rPr>
          <w:rFonts w:ascii="Times New Roman" w:hAnsi="Times New Roman" w:cs="Times New Roman" w:eastAsia="Times New Roman"/>
          <w:b/>
          <w:sz w:val="26"/>
        </w:rPr>
        <w:t xml:space="preserve">5.1.4 Method, Sample, Tool and Statistics</w:t>
      </w:r>
    </w:p>
    <w:p>
      <w:pPr>
        <w:pStyle w:val="FirstParagraph"/>
        <w:spacing w:line="480" w:lineRule="auto" w:after="120"/>
        <w:jc w:val="both"/>
      </w:pPr>
      <w:r>
        <w:rPr>
          <w:rFonts w:ascii="Times New Roman" w:hAnsi="Times New Roman" w:cs="Times New Roman" w:eastAsia="Times New Roman"/>
          <w:sz w:val="24"/>
        </w:rPr>
        <w:t xml:space="preserve">The investigation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 method</w:t>
      </w:r>
      <w:r>
        <w:rPr>
          <w:rFonts w:ascii="Times New Roman" w:hAnsi="Times New Roman" w:cs="Times New Roman" w:eastAsia="Times New Roman"/>
          <w:sz w:val="24"/>
        </w:rPr>
        <w:t xml:space="preserve">. 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were selected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(lottery method)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(Government rural, U.P. Board)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(Private urban, CBSE). The two schools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purposively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selected to represent maximally contrasting environments. The principal tool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 (Hindi version)</w:t>
      </w:r>
      <w:r>
        <w:rPr>
          <w:rFonts w:ascii="Times New Roman" w:hAnsi="Times New Roman" w:cs="Times New Roman" w:eastAsia="Times New Roman"/>
          <w:sz w:val="24"/>
        </w:rPr>
        <w:t xml:space="preserve">, a standardised forced-choice instrument of 90 items measuring interest in ten areas — Literary, Scientific, Executive, Commercial, Constructive (Technical), Artistic, Agricultural, Persuasive, Social and Household.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two independent means (df = 38)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the principal statistical techniques;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Spearman’s rank-order correlation coefficient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computed for the rank-order analysis (Objective 5).</w:t>
      </w:r>
    </w:p>
    <w:bookmarkEnd w:id="130"/>
    <w:bookmarkEnd w:id="131"/>
    <w:bookmarkStart w:id="137" w:name="major-findings-of-the-study"/>
    <w:p>
      <w:pPr>
        <w:pStyle w:val="Heading2"/>
        <w:spacing w:line="360" w:lineRule="auto"/>
        <w:jc w:val="center"/>
      </w:pPr>
      <w:r>
        <w:rPr>
          <w:rFonts w:ascii="Times New Roman" w:hAnsi="Times New Roman" w:cs="Times New Roman" w:eastAsia="Times New Roman"/>
          <w:b/>
          <w:sz w:val="28"/>
        </w:rPr>
        <w:t xml:space="preserve">5.2 Major Findings of the Study</w:t>
      </w:r>
    </w:p>
    <w:p>
      <w:pPr>
        <w:pStyle w:val="FirstParagraph"/>
        <w:spacing w:line="480" w:lineRule="auto" w:after="120"/>
        <w:jc w:val="both"/>
      </w:pPr>
      <w:r>
        <w:rPr>
          <w:rFonts w:ascii="Times New Roman" w:hAnsi="Times New Roman" w:cs="Times New Roman" w:eastAsia="Times New Roman"/>
          <w:sz w:val="24"/>
        </w:rPr>
        <w:t xml:space="preserve">The major findings of the investigation, drawn from the analysis presented in Chapter IV, are listed below.</w:t>
      </w:r>
    </w:p>
    <w:bookmarkStart w:id="132" w:name="X231aa965865b5c8aa95852a181de151e75d6e37"/>
    <w:p>
      <w:pPr>
        <w:pStyle w:val="Heading3"/>
        <w:spacing w:line="360" w:lineRule="auto"/>
        <w:jc w:val="left"/>
      </w:pPr>
      <w:r>
        <w:rPr>
          <w:rFonts w:ascii="Times New Roman" w:hAnsi="Times New Roman" w:cs="Times New Roman" w:eastAsia="Times New Roman"/>
          <w:b/>
          <w:sz w:val="26"/>
        </w:rPr>
        <w:t xml:space="preserve">5.2.1 Findings related to Objectives 1 and 2 (Descriptive Statistics)</w:t>
      </w:r>
    </w:p>
    <w:p>
      <w:pPr>
        <w:numPr>
          <w:ilvl w:val="0"/>
          <w:numId w:val="1012"/>
        </w:numPr>
        <w:spacing w:line="480" w:lineRule="auto" w:after="120"/>
        <w:jc w:val="both"/>
      </w:pPr>
      <w:r>
        <w:rPr>
          <w:rFonts w:ascii="Times New Roman" w:hAnsi="Times New Roman" w:cs="Times New Roman" w:eastAsia="Times New Roman"/>
          <w:sz w:val="24"/>
        </w:rPr>
        <w:t xml:space="preserve">The mean Vocational Interest scores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in descending order, were: Constructive (11.90), Scientific (11.65), Agricultural (10.35), Persuasive (9.60), Executive (9.50), Commercial (8.85), Social (7.75), Artistic (7.55), Literary (7.05) and Household (5.80).</w:t>
      </w:r>
    </w:p>
    <w:p>
      <w:pPr>
        <w:numPr>
          <w:ilvl w:val="0"/>
          <w:numId w:val="1012"/>
        </w:numPr>
        <w:spacing w:line="480" w:lineRule="auto" w:after="120"/>
        <w:jc w:val="both"/>
      </w:pPr>
      <w:r>
        <w:rPr>
          <w:rFonts w:ascii="Times New Roman" w:hAnsi="Times New Roman" w:cs="Times New Roman" w:eastAsia="Times New Roman"/>
          <w:sz w:val="24"/>
        </w:rPr>
        <w:t xml:space="preserve">The mean Vocational Interest scores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in descending order, were: Household (12.10), Artistic (11.00), Social (10.55), Literary (9.85), Persuasive (8.65), Executive (8.05), Commercial (8.00), Scientific (7.95), Constructive (7.05) and Agricultural (6.70).</w:t>
      </w:r>
    </w:p>
    <w:p>
      <w:pPr>
        <w:numPr>
          <w:ilvl w:val="0"/>
          <w:numId w:val="1012"/>
        </w:numPr>
        <w:spacing w:line="480" w:lineRule="auto" w:after="120"/>
        <w:jc w:val="both"/>
      </w:pPr>
      <w:r>
        <w:rPr>
          <w:rFonts w:ascii="Times New Roman" w:hAnsi="Times New Roman" w:cs="Times New Roman" w:eastAsia="Times New Roman"/>
          <w:sz w:val="24"/>
        </w:rPr>
        <w:t xml:space="preserve">The standard deviations were uniformly moderate (range 2.00 – 2.65 for boys and 2.05 – 2.65 for girls), indicating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homogeneous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distributions within each group.</w:t>
      </w:r>
    </w:p>
    <w:bookmarkEnd w:id="132"/>
    <w:bookmarkStart w:id="133" w:name="X3487f9ceeaa4a9a84ba71b6b6d26992512b1358"/>
    <w:p>
      <w:pPr>
        <w:pStyle w:val="Heading3"/>
        <w:spacing w:line="360" w:lineRule="auto"/>
        <w:jc w:val="left"/>
      </w:pPr>
      <w:r>
        <w:rPr>
          <w:rFonts w:ascii="Times New Roman" w:hAnsi="Times New Roman" w:cs="Times New Roman" w:eastAsia="Times New Roman"/>
          <w:b/>
          <w:sz w:val="26"/>
        </w:rPr>
        <w:t xml:space="preserve">5.2.2 Findings related to Objective 3 / H₀1 (Mean-Difference Comparison)</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Boys obtained significantly higher mean scores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4.54, p &lt; 0.01).</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Boys obtained significantly higher mean scores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5.96, p &lt; 0.01).</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Boys obtained significantly higher mean scores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4.48, p &lt; 0.01).</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4.02, p &lt; 0.01).</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5.07, p &lt; 0.01).</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3.93, p &lt; 0.01).</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9.36, p &lt; 0.01) — the largest difference observed in any of the ten comparisons.</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No statistically significant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boys and girls was observed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1.91, NS).</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No statistically significant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boys and girls was observed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1.17, NS).</w:t>
      </w:r>
    </w:p>
    <w:p>
      <w:pPr>
        <w:pStyle w:val="Compact"/>
        <w:numPr>
          <w:ilvl w:val="0"/>
          <w:numId w:val="1013"/>
        </w:numPr>
        <w:spacing w:line="480" w:lineRule="auto" w:after="120"/>
        <w:jc w:val="both"/>
      </w:pPr>
      <w:r>
        <w:rPr>
          <w:rFonts w:ascii="Times New Roman" w:hAnsi="Times New Roman" w:cs="Times New Roman" w:eastAsia="Times New Roman"/>
          <w:i/>
          <w:iCs/>
          <w:sz w:val="24"/>
        </w:rPr>
        <w:t xml:space="preserve">No statistically significant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boys and girls was observed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1.31, NS).</w:t>
      </w:r>
    </w:p>
    <w:p>
      <w:pPr>
        <w:pStyle w:val="Compact"/>
        <w:numPr>
          <w:ilvl w:val="0"/>
          <w:numId w:val="1013"/>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rejected for the seven gender-differentiated areas (Literary, Scientific, Constructive, Artistic, Agricultural, Social, Household) and retained for the three gender-neutral areas (Executive, Commercial, Persuasive).</w:t>
      </w:r>
    </w:p>
    <w:bookmarkEnd w:id="133"/>
    <w:bookmarkStart w:id="134" w:name="X912e7ab804f3e70df7eea0ef7d3585ec47c8b94"/>
    <w:p>
      <w:pPr>
        <w:pStyle w:val="Heading3"/>
        <w:spacing w:line="360" w:lineRule="auto"/>
        <w:jc w:val="left"/>
      </w:pPr>
      <w:r>
        <w:rPr>
          <w:rFonts w:ascii="Times New Roman" w:hAnsi="Times New Roman" w:cs="Times New Roman" w:eastAsia="Times New Roman"/>
          <w:b/>
          <w:sz w:val="26"/>
        </w:rPr>
        <w:t xml:space="preserve">5.2.3 Findings related to Objective 4 / H₀2 (Percentage Distribution)</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Constructive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60 %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50 percentage points in favour of boys.</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Scientific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45 percentage points in favour of boys.</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Agricultural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40 %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35 percentage points in favour of boys.</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Household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55 percentage points in favour of girls (the largest single gap in the study).</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Artistic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45 %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30 percentage points in favour of girls.</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Social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25 percentage points in favour of girls.</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Literary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20 percentage points in favour of girls.</w:t>
      </w:r>
    </w:p>
    <w:p>
      <w:pPr>
        <w:pStyle w:val="Compact"/>
        <w:numPr>
          <w:ilvl w:val="0"/>
          <w:numId w:val="1014"/>
        </w:numPr>
        <w:spacing w:line="480" w:lineRule="auto" w:after="120"/>
        <w:jc w:val="both"/>
      </w:pPr>
      <w:r>
        <w:rPr>
          <w:rFonts w:ascii="Times New Roman" w:hAnsi="Times New Roman" w:cs="Times New Roman" w:eastAsia="Times New Roman"/>
          <w:sz w:val="24"/>
        </w:rPr>
        <w:t xml:space="preserve">On the Executive, Commercial and Persuasive areas, the percentages of boys and girls at the High level differed by less than 20 percentage points (10 – 20 %), all in favour of boys.</w:t>
      </w:r>
    </w:p>
    <w:p>
      <w:pPr>
        <w:pStyle w:val="Compact"/>
        <w:numPr>
          <w:ilvl w:val="0"/>
          <w:numId w:val="1014"/>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areas with gaps ≥ 20 %)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areas with smaller gaps).</w:t>
      </w:r>
    </w:p>
    <w:bookmarkEnd w:id="134"/>
    <w:bookmarkStart w:id="135" w:name="Xa3d8bfbb08a99ca0c89e58ac778458046ffc13f"/>
    <w:p>
      <w:pPr>
        <w:pStyle w:val="Heading3"/>
        <w:spacing w:line="360" w:lineRule="auto"/>
        <w:jc w:val="left"/>
      </w:pPr>
      <w:r>
        <w:rPr>
          <w:rFonts w:ascii="Times New Roman" w:hAnsi="Times New Roman" w:cs="Times New Roman" w:eastAsia="Times New Roman"/>
          <w:b/>
          <w:sz w:val="26"/>
        </w:rPr>
        <w:t xml:space="preserve">5.2.4 Findings related to Objective 5 / H₀3 (Rank-Order Analysis)</w:t>
      </w:r>
    </w:p>
    <w:p>
      <w:pPr>
        <w:pStyle w:val="Compact"/>
        <w:numPr>
          <w:ilvl w:val="0"/>
          <w:numId w:val="1015"/>
        </w:numPr>
        <w:spacing w:line="480" w:lineRule="auto" w:after="120"/>
        <w:jc w:val="both"/>
      </w:pPr>
      <w:r>
        <w:rPr>
          <w:rFonts w:ascii="Times New Roman" w:hAnsi="Times New Roman" w:cs="Times New Roman" w:eastAsia="Times New Roman"/>
          <w:sz w:val="24"/>
        </w:rPr>
        <w:t xml:space="preserve">The boys’ top three preferred areas (Constructive, Scientific, Agricultural) coincided almost exactly with the girls’ bottom three preferred areas (Constructive — 9, Scientific — 8, Agricultural — 10).</w:t>
      </w:r>
    </w:p>
    <w:p>
      <w:pPr>
        <w:pStyle w:val="Compact"/>
        <w:numPr>
          <w:ilvl w:val="0"/>
          <w:numId w:val="1015"/>
        </w:numPr>
        <w:spacing w:line="480" w:lineRule="auto" w:after="120"/>
        <w:jc w:val="both"/>
      </w:pPr>
      <w:r>
        <w:rPr>
          <w:rFonts w:ascii="Times New Roman" w:hAnsi="Times New Roman" w:cs="Times New Roman" w:eastAsia="Times New Roman"/>
          <w:sz w:val="24"/>
        </w:rPr>
        <w:t xml:space="preserve">The girls’ top three preferred areas (Household, Artistic, Social) coincided closely with the boys’ bottom four preferred areas (Household — 10, Artistic — 8, Social — 7).</w:t>
      </w:r>
    </w:p>
    <w:p>
      <w:pPr>
        <w:pStyle w:val="Compact"/>
        <w:numPr>
          <w:ilvl w:val="0"/>
          <w:numId w:val="1015"/>
        </w:numPr>
        <w:spacing w:line="480" w:lineRule="auto" w:after="120"/>
        <w:jc w:val="both"/>
      </w:pPr>
      <w:r>
        <w:rPr>
          <w:rFonts w:ascii="Times New Roman" w:hAnsi="Times New Roman" w:cs="Times New Roman" w:eastAsia="Times New Roman"/>
          <w:sz w:val="24"/>
        </w:rPr>
        <w:t xml:space="preserve">The Executive, Commercial and Persuasive areas, on which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showed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 occupied very similar middle ranks for both groups (Executive — 5/6, Commercial — 6/7, Persuasive — 4/5).</w:t>
      </w:r>
    </w:p>
    <w:p>
      <w:pPr>
        <w:pStyle w:val="Compact"/>
        <w:numPr>
          <w:ilvl w:val="0"/>
          <w:numId w:val="1015"/>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Spearman rank-order correlation coefficient (ρ)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boys’ and the girls’ rank orders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−0.88</w:t>
      </w:r>
      <w:r>
        <w:rPr>
          <w:rFonts w:ascii="Times New Roman" w:hAnsi="Times New Roman" w:cs="Times New Roman" w:eastAsia="Times New Roman"/>
          <w:sz w:val="24"/>
        </w:rPr>
        <w:t xml:space="preserve">, statistically significant at the 0.01 level (n = 10, ρ₀.₀₁ = ±0.794) — the rank orders are virtually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mirror-images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other.</w:t>
      </w:r>
    </w:p>
    <w:p>
      <w:pPr>
        <w:pStyle w:val="Compact"/>
        <w:numPr>
          <w:ilvl w:val="0"/>
          <w:numId w:val="1015"/>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rejected</w:t>
      </w:r>
      <w:r>
        <w:rPr>
          <w:rFonts w:ascii="Times New Roman" w:hAnsi="Times New Roman" w:cs="Times New Roman" w:eastAsia="Times New Roman"/>
          <w:sz w:val="24"/>
        </w:rPr>
        <w:t xml:space="preserve">; the rank orders are not merely different — they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systematically reversed</w:t>
      </w:r>
      <w:r>
        <w:rPr>
          <w:rFonts w:ascii="Times New Roman" w:hAnsi="Times New Roman" w:cs="Times New Roman" w:eastAsia="Times New Roman"/>
          <w:sz w:val="24"/>
        </w:rPr>
        <w:t xml:space="preserve">.</w:t>
      </w:r>
    </w:p>
    <w:bookmarkEnd w:id="135"/>
    <w:bookmarkStart w:id="136" w:name="consolidated-picture"/>
    <w:p>
      <w:pPr>
        <w:pStyle w:val="Heading3"/>
        <w:spacing w:line="360" w:lineRule="auto"/>
        <w:jc w:val="left"/>
      </w:pPr>
      <w:r>
        <w:rPr>
          <w:rFonts w:ascii="Times New Roman" w:hAnsi="Times New Roman" w:cs="Times New Roman" w:eastAsia="Times New Roman"/>
          <w:b/>
          <w:sz w:val="26"/>
        </w:rPr>
        <w:t xml:space="preserve">5.2.5 Consolidated Picture</w:t>
      </w:r>
    </w:p>
    <w:p>
      <w:pPr>
        <w:pStyle w:val="FirstParagraph"/>
        <w:spacing w:line="480" w:lineRule="auto" w:after="120"/>
        <w:jc w:val="both"/>
      </w:pPr>
      <w:r>
        <w:rPr>
          <w:rFonts w:ascii="Times New Roman" w:hAnsi="Times New Roman" w:cs="Times New Roman" w:eastAsia="Times New Roman"/>
          <w:sz w:val="24"/>
        </w:rPr>
        <w:t xml:space="preserve">The consolidated picture is presented in Table 5.1.</w:t>
      </w:r>
    </w:p>
    <w:p>
      <w:pPr>
        <w:pStyle w:val="BodyText"/>
        <w:spacing w:line="480" w:lineRule="auto" w:after="120"/>
        <w:jc w:val="both"/>
      </w:pPr>
      <w:r>
        <w:rPr>
          <w:rFonts w:ascii="Times New Roman" w:hAnsi="Times New Roman" w:cs="Times New Roman" w:eastAsia="Times New Roman"/>
          <w:b/>
          <w:bCs/>
          <w:sz w:val="24"/>
        </w:rPr>
        <w:t xml:space="preserve">Table 5.1 — Consolidated Picture of the Major Findings of the Study</w:t>
      </w:r>
    </w:p>
    <w:tbl>
      <w:tblPr>
        <w:tblStyle w:val="Table"/>
        <w:tblW w:type="pct" w:w="5000"/>
        <w:jc w:val="center"/>
        <w:tblLayout w:type="fixed"/>
        <w:tblLook w:firstRow="1" w:lastRow="0" w:firstColumn="0" w:lastColumn="0" w:noHBand="0" w:noVBand="0" w:val="0020"/>
      </w:tblPr>
      <w:tblGrid>
        <w:gridCol w:w="1042"/>
        <w:gridCol w:w="833"/>
        <w:gridCol w:w="1042"/>
        <w:gridCol w:w="1042"/>
        <w:gridCol w:w="1042"/>
        <w:gridCol w:w="1042"/>
        <w:gridCol w:w="1042"/>
        <w:gridCol w:w="833"/>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 (Boys)</w:t>
            </w:r>
          </w:p>
        </w:tc>
        <w:tc>
          <w:tcPr/>
          <w:p>
            <w:pPr>
              <w:pStyle w:val="Compact"/>
              <w:spacing w:line="276" w:lineRule="auto"/>
              <w:jc w:val="center"/>
            </w:pPr>
            <w:r>
              <w:rPr>
                <w:rFonts w:ascii="Times New Roman" w:hAnsi="Times New Roman" w:cs="Times New Roman" w:eastAsia="Times New Roman"/>
                <w:sz w:val="22"/>
              </w:rPr>
              <w:t xml:space="preserve">M (Girls)</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Sig.</w:t>
            </w:r>
          </w:p>
        </w:tc>
        <w:tc>
          <w:tcPr/>
          <w:p>
            <w:pPr>
              <w:pStyle w:val="Compact"/>
              <w:spacing w:line="276" w:lineRule="auto"/>
              <w:jc w:val="center"/>
            </w:pPr>
            <w:r>
              <w:rPr>
                <w:rFonts w:ascii="Times New Roman" w:hAnsi="Times New Roman" w:cs="Times New Roman" w:eastAsia="Times New Roman"/>
                <w:sz w:val="22"/>
              </w:rPr>
              <w:t xml:space="preserve">% High (B / G)</w:t>
            </w:r>
          </w:p>
        </w:tc>
        <w:tc>
          <w:tcPr/>
          <w:p>
            <w:pPr>
              <w:pStyle w:val="Compact"/>
              <w:spacing w:line="276" w:lineRule="auto"/>
              <w:jc w:val="left"/>
            </w:pPr>
            <w:r>
              <w:rPr>
                <w:rFonts w:ascii="Times New Roman" w:hAnsi="Times New Roman" w:cs="Times New Roman" w:eastAsia="Times New Roman"/>
                <w:sz w:val="22"/>
              </w:rPr>
              <w:t xml:space="preserve">Direction</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10 / 30</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4.54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55 / 10</w:t>
            </w:r>
          </w:p>
        </w:tc>
        <w:tc>
          <w:tcPr/>
          <w:p>
            <w:pPr>
              <w:pStyle w:val="Compact"/>
              <w:spacing w:line="276" w:lineRule="auto"/>
              <w:jc w:val="left"/>
            </w:pPr>
            <w:r>
              <w:rPr>
                <w:rFonts w:ascii="Times New Roman" w:hAnsi="Times New Roman" w:cs="Times New Roman" w:eastAsia="Times New Roman"/>
                <w:b/>
                <w:bCs/>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1.91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30 / 10</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25 / 15</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5.96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60 / 10</w:t>
            </w:r>
          </w:p>
        </w:tc>
        <w:tc>
          <w:tcPr/>
          <w:p>
            <w:pPr>
              <w:pStyle w:val="Compact"/>
              <w:spacing w:line="276" w:lineRule="auto"/>
              <w:jc w:val="left"/>
            </w:pPr>
            <w:r>
              <w:rPr>
                <w:rFonts w:ascii="Times New Roman" w:hAnsi="Times New Roman" w:cs="Times New Roman" w:eastAsia="Times New Roman"/>
                <w:b/>
                <w:bCs/>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5.07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15 / 45</w:t>
            </w:r>
          </w:p>
        </w:tc>
        <w:tc>
          <w:tcPr/>
          <w:p>
            <w:pPr>
              <w:pStyle w:val="Compact"/>
              <w:spacing w:line="276" w:lineRule="auto"/>
              <w:jc w:val="left"/>
            </w:pPr>
            <w:r>
              <w:rPr>
                <w:rFonts w:ascii="Times New Roman" w:hAnsi="Times New Roman" w:cs="Times New Roman" w:eastAsia="Times New Roman"/>
                <w:b/>
                <w:bCs/>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4.48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40 / 5</w:t>
            </w:r>
          </w:p>
        </w:tc>
        <w:tc>
          <w:tcPr/>
          <w:p>
            <w:pPr>
              <w:pStyle w:val="Compact"/>
              <w:spacing w:line="276" w:lineRule="auto"/>
              <w:jc w:val="left"/>
            </w:pPr>
            <w:r>
              <w:rPr>
                <w:rFonts w:ascii="Times New Roman" w:hAnsi="Times New Roman" w:cs="Times New Roman" w:eastAsia="Times New Roman"/>
                <w:b/>
                <w:bCs/>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30 / 15</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3.93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15 / 40</w:t>
            </w:r>
          </w:p>
        </w:tc>
        <w:tc>
          <w:tcPr/>
          <w:p>
            <w:pPr>
              <w:pStyle w:val="Compact"/>
              <w:spacing w:line="276" w:lineRule="auto"/>
              <w:jc w:val="left"/>
            </w:pPr>
            <w:r>
              <w:rPr>
                <w:rFonts w:ascii="Times New Roman" w:hAnsi="Times New Roman" w:cs="Times New Roman" w:eastAsia="Times New Roman"/>
                <w:b/>
                <w:bCs/>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9.36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5 / 60</w:t>
            </w:r>
          </w:p>
        </w:tc>
        <w:tc>
          <w:tcPr/>
          <w:p>
            <w:pPr>
              <w:pStyle w:val="Compact"/>
              <w:spacing w:line="276" w:lineRule="auto"/>
              <w:jc w:val="left"/>
            </w:pPr>
            <w:r>
              <w:rPr>
                <w:rFonts w:ascii="Times New Roman" w:hAnsi="Times New Roman" w:cs="Times New Roman" w:eastAsia="Times New Roman"/>
                <w:b/>
                <w:bCs/>
                <w:sz w:val="22"/>
              </w:rPr>
              <w:t xml:space="preserve">Girls &gt; Boys</w:t>
            </w:r>
          </w:p>
        </w:tc>
      </w:tr>
    </w:tbl>
    <w:p>
      <w:pPr>
        <w:pStyle w:val="BodyText"/>
        <w:spacing w:line="480" w:lineRule="auto" w:after="120"/>
        <w:jc w:val="both"/>
      </w:pPr>
      <w:r>
        <w:rPr>
          <w:rFonts w:ascii="Times New Roman" w:hAnsi="Times New Roman" w:cs="Times New Roman" w:eastAsia="Times New Roman"/>
          <w:i/>
          <w:iCs/>
          <w:sz w:val="24"/>
        </w:rPr>
        <w:t xml:space="preserve">Note</w:t>
      </w:r>
      <w:r>
        <w:rPr>
          <w:rFonts w:ascii="Times New Roman" w:hAnsi="Times New Roman" w:cs="Times New Roman" w:eastAsia="Times New Roman"/>
          <w:sz w:val="24"/>
        </w:rPr>
        <w:t xml:space="preserve">: ** = significant at the 0.01 level; NS = not significant at the 0.05 level. Spearman ρ between boys’ and girls’ rank orders = −0.88 (significant at 0.01).</w:t>
      </w:r>
    </w:p>
    <w:bookmarkEnd w:id="136"/>
    <w:bookmarkEnd w:id="137"/>
    <w:bookmarkStart w:id="138" w:name="conclusions"/>
    <w:p>
      <w:pPr>
        <w:pStyle w:val="Heading2"/>
        <w:spacing w:line="360" w:lineRule="auto"/>
        <w:jc w:val="center"/>
      </w:pPr>
      <w:r>
        <w:rPr>
          <w:rFonts w:ascii="Times New Roman" w:hAnsi="Times New Roman" w:cs="Times New Roman" w:eastAsia="Times New Roman"/>
          <w:b/>
          <w:sz w:val="28"/>
        </w:rPr>
        <w:t xml:space="preserve">5.3 Conclusions</w:t>
      </w:r>
    </w:p>
    <w:p>
      <w:pPr>
        <w:pStyle w:val="FirstParagraph"/>
        <w:spacing w:line="480" w:lineRule="auto" w:after="120"/>
        <w:jc w:val="both"/>
      </w:pPr>
      <w:r>
        <w:rPr>
          <w:rFonts w:ascii="Times New Roman" w:hAnsi="Times New Roman" w:cs="Times New Roman" w:eastAsia="Times New Roman"/>
          <w:sz w:val="24"/>
        </w:rPr>
        <w:t xml:space="preserve">In the light of the empirical evidence presented in Chapter IV and summarised in Section 5.2, the following major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conclusions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may be drawn:</w:t>
      </w:r>
    </w:p>
    <w:p>
      <w:pPr>
        <w:pStyle w:val="BodyText"/>
        <w:spacing w:line="480" w:lineRule="auto" w:after="120"/>
        <w:jc w:val="both"/>
      </w:pPr>
      <w:r>
        <w:rPr>
          <w:rFonts w:ascii="Times New Roman" w:hAnsi="Times New Roman" w:cs="Times New Roman" w:eastAsia="Times New Roman"/>
          <w:b/>
          <w:bCs/>
          <w:sz w:val="24"/>
        </w:rPr>
        <w:t xml:space="preserve">Conclusion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interests of secondary school boys and girls of the Meerut District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systematically and statistically significantly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gender-typed. The two groups occupy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and largely opposed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worlds, with very limited overlap in the High-level zone of the ten interest areas.</w:t>
      </w:r>
    </w:p>
    <w:p>
      <w:pPr>
        <w:pStyle w:val="BodyText"/>
        <w:spacing w:line="480" w:lineRule="auto" w:after="120"/>
        <w:jc w:val="both"/>
      </w:pPr>
      <w:r>
        <w:rPr>
          <w:rFonts w:ascii="Times New Roman" w:hAnsi="Times New Roman" w:cs="Times New Roman" w:eastAsia="Times New Roman"/>
          <w:b/>
          <w:bCs/>
          <w:sz w:val="24"/>
        </w:rPr>
        <w:t xml:space="preserve">Conclusion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are significantly higher than girls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Constructive–Scientific–Agricultural triad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masculine occupational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Indian rural society, reinforced both by the family background of the rural-Government-school boys and by prevailing social expectations.</w:t>
      </w:r>
    </w:p>
    <w:p>
      <w:pPr>
        <w:pStyle w:val="BodyText"/>
        <w:spacing w:line="480" w:lineRule="auto" w:after="120"/>
        <w:jc w:val="both"/>
      </w:pPr>
      <w:r>
        <w:rPr>
          <w:rFonts w:ascii="Times New Roman" w:hAnsi="Times New Roman" w:cs="Times New Roman" w:eastAsia="Times New Roman"/>
          <w:b/>
          <w:bCs/>
          <w:sz w:val="24"/>
        </w:rPr>
        <w:t xml:space="preserve">Conclusion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are significantly higher than boys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Artistic,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Household–Artistic–Social–Literary set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feminine occupational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Indian society, reinforced both by family modelling and by prevailing social expectations, even when (as in the K.P. International School sample) the family is highly educated and economically well-placed.</w:t>
      </w:r>
    </w:p>
    <w:p>
      <w:pPr>
        <w:pStyle w:val="BodyText"/>
        <w:spacing w:line="480" w:lineRule="auto" w:after="120"/>
        <w:jc w:val="both"/>
      </w:pPr>
      <w:r>
        <w:rPr>
          <w:rFonts w:ascii="Times New Roman" w:hAnsi="Times New Roman" w:cs="Times New Roman" w:eastAsia="Times New Roman"/>
          <w:b/>
          <w:bCs/>
          <w:sz w:val="24"/>
        </w:rPr>
        <w:t xml:space="preserve">Conclusion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have emerged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sample. The historic male advantage on managerial, financial and persuasive occupations has narrowed to insignificance, suggesting that contemporary Indian girls — at least those of the urban-Private-CBSE stream — are claiming an equal stake in administration, business and marketing-related careers.</w:t>
      </w:r>
    </w:p>
    <w:p>
      <w:pPr>
        <w:pStyle w:val="BodyText"/>
        <w:spacing w:line="480" w:lineRule="auto" w:after="120"/>
        <w:jc w:val="both"/>
      </w:pPr>
      <w:r>
        <w:rPr>
          <w:rFonts w:ascii="Times New Roman" w:hAnsi="Times New Roman" w:cs="Times New Roman" w:eastAsia="Times New Roman"/>
          <w:b/>
          <w:bCs/>
          <w:sz w:val="24"/>
        </w:rPr>
        <w:t xml:space="preserve">Conclusion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very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Spearman rank-order correlation (ρ = −0.88) is, perhaps,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striking single statistical finding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 It shows not merely that the two groups differ, but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ordering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interests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reversed</w:t>
      </w:r>
      <w:r>
        <w:rPr>
          <w:rFonts w:ascii="Times New Roman" w:hAnsi="Times New Roman" w:cs="Times New Roman" w:eastAsia="Times New Roman"/>
          <w:sz w:val="24"/>
        </w:rPr>
        <w:t xml:space="preserve">. Boys’ favourite vocations are nearly girls’ least preferred ones,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vice versa</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Conclusion 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convergence of the three statistical lenses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percentage analysis and rank-order analysis — strengthens the substantive interpretation. Each lens highlights the same essential pattern from a slightly different angle, and the agreement among them strengthens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internal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conclusions.</w:t>
      </w:r>
    </w:p>
    <w:p>
      <w:pPr>
        <w:pStyle w:val="BodyText"/>
        <w:spacing w:line="480" w:lineRule="auto" w:after="120"/>
        <w:jc w:val="both"/>
      </w:pPr>
      <w:r>
        <w:rPr>
          <w:rFonts w:ascii="Times New Roman" w:hAnsi="Times New Roman" w:cs="Times New Roman" w:eastAsia="Times New Roman"/>
          <w:b/>
          <w:bCs/>
          <w:sz w:val="24"/>
        </w:rPr>
        <w:t xml:space="preserve">Conclusion 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 present sample is small (N = 40), the consistency of the findings with those reported by Singh and Verma (2023), Reddy and Kumar (2021), Joshi (2020), Mehta (2019), Yadav (2016) and the Su, Rounds and Armstrong (2009) meta-analysis lends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external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conclusions. The present study, in spite of its modest scope, contributes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replication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broader gender-typed pattern in the contemporary Meerut context.</w:t>
      </w:r>
    </w:p>
    <w:bookmarkEnd w:id="138"/>
    <w:bookmarkStart w:id="139" w:name="educational-implications"/>
    <w:p>
      <w:pPr>
        <w:pStyle w:val="Heading2"/>
        <w:spacing w:line="360" w:lineRule="auto"/>
        <w:jc w:val="center"/>
      </w:pPr>
      <w:r>
        <w:rPr>
          <w:rFonts w:ascii="Times New Roman" w:hAnsi="Times New Roman" w:cs="Times New Roman" w:eastAsia="Times New Roman"/>
          <w:b/>
          <w:sz w:val="28"/>
        </w:rPr>
        <w:t xml:space="preserve">5.4 Educational Implications</w:t>
      </w:r>
    </w:p>
    <w:p>
      <w:pPr>
        <w:pStyle w:val="FirstParagraph"/>
        <w:spacing w:line="480" w:lineRule="auto" w:after="120"/>
        <w:jc w:val="both"/>
      </w:pPr>
      <w:r>
        <w:rPr>
          <w:rFonts w:ascii="Times New Roman" w:hAnsi="Times New Roman" w:cs="Times New Roman" w:eastAsia="Times New Roman"/>
          <w:sz w:val="24"/>
        </w:rPr>
        <w:t xml:space="preserve">The findings carry several important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Indian secondary school:</w:t>
      </w:r>
    </w:p>
    <w:p>
      <w:pPr>
        <w:pStyle w:val="BodyText"/>
        <w:spacing w:line="480" w:lineRule="auto" w:after="120"/>
        <w:jc w:val="both"/>
      </w:pPr>
      <w:r>
        <w:rPr>
          <w:rFonts w:ascii="Times New Roman" w:hAnsi="Times New Roman" w:cs="Times New Roman" w:eastAsia="Times New Roman"/>
          <w:b/>
          <w:bCs/>
          <w:sz w:val="24"/>
        </w:rPr>
        <w:t xml:space="preserve">Implication 1 — Recognition of the gender-typed reality.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 parents and policy-makers must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recognise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vocational interests of contemporary Indian adolescents continue to be sharply gender-typed. The bland claim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have equal opportunities now”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empirically untrue at the level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formation</w:t>
      </w:r>
      <w:r>
        <w:rPr>
          <w:rFonts w:ascii="Times New Roman" w:hAnsi="Times New Roman" w:cs="Times New Roman" w:eastAsia="Times New Roman"/>
          <w:sz w:val="24"/>
        </w:rPr>
        <w:t xml:space="preserve">; equal opportunity must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consciously worked for</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Implication 2 — Need for organised career counselling at the 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schools sampled lack a regular, full-time, trained career counsellor. The U.P. Madhyamik Shiksha Parishad, the C.B.S.E. and the Department of Secondary Education must seriously revisit the recommendations of the Kothari Commission and the National Education Policy 2020 on this point.</w:t>
      </w:r>
    </w:p>
    <w:p>
      <w:pPr>
        <w:pStyle w:val="BodyText"/>
        <w:spacing w:line="480" w:lineRule="auto" w:after="120"/>
        <w:jc w:val="both"/>
      </w:pPr>
      <w:r>
        <w:rPr>
          <w:rFonts w:ascii="Times New Roman" w:hAnsi="Times New Roman" w:cs="Times New Roman" w:eastAsia="Times New Roman"/>
          <w:b/>
          <w:bCs/>
          <w:sz w:val="24"/>
        </w:rPr>
        <w:t xml:space="preserve">Implication 3 — Vocational interest measurement as part of the school programme.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Standardised tools such as Kulshrestha’s V.I.R. should be routinely administered at the end of Class IX and the results discussed individually with each learner and his or her parents to inform the Class XI stream choice.</w:t>
      </w:r>
    </w:p>
    <w:p>
      <w:pPr>
        <w:pStyle w:val="BodyText"/>
        <w:spacing w:line="480" w:lineRule="auto" w:after="120"/>
        <w:jc w:val="both"/>
      </w:pPr>
      <w:r>
        <w:rPr>
          <w:rFonts w:ascii="Times New Roman" w:hAnsi="Times New Roman" w:cs="Times New Roman" w:eastAsia="Times New Roman"/>
          <w:b/>
          <w:bCs/>
          <w:sz w:val="24"/>
        </w:rPr>
        <w:t xml:space="preserve">Implication 4 — Exposure to non-traditional 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Adolescent girls, especially those of urban Private CBSE schools, must be given systematic exposure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Constructive (Technical) and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careers — through school exhibitions, factory visits and exposure to women engineers, scientists, entrepreneurs and agricultural scientists. The 50-percentage-point gap on Constructive interest cannot be allowed to harden into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adult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gap on engineering enrolment.</w:t>
      </w:r>
    </w:p>
    <w:p>
      <w:pPr>
        <w:pStyle w:val="BodyText"/>
        <w:spacing w:line="480" w:lineRule="auto" w:after="120"/>
        <w:jc w:val="both"/>
      </w:pPr>
      <w:r>
        <w:rPr>
          <w:rFonts w:ascii="Times New Roman" w:hAnsi="Times New Roman" w:cs="Times New Roman" w:eastAsia="Times New Roman"/>
          <w:b/>
          <w:bCs/>
          <w:sz w:val="24"/>
        </w:rPr>
        <w:t xml:space="preserve">Implication 5 — Encouraging boys towards</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“feminine”</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Conversely, adolescent boys, especially of rural Government schools, must be exposed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Artistic, Social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 through visits to teaching institutions, hospitals, art studios, hospitality industries and the homes of well-known male chefs, designers and care-givers. The fact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 5 % of the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reach the High level on Household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50 % fall at the Low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indicates a near-total devaluation of household work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w:t>
      </w:r>
    </w:p>
    <w:p>
      <w:pPr>
        <w:pStyle w:val="BodyText"/>
        <w:spacing w:line="480" w:lineRule="auto" w:after="120"/>
        <w:jc w:val="both"/>
      </w:pPr>
      <w:r>
        <w:rPr>
          <w:rFonts w:ascii="Times New Roman" w:hAnsi="Times New Roman" w:cs="Times New Roman" w:eastAsia="Times New Roman"/>
          <w:b/>
          <w:bCs/>
          <w:sz w:val="24"/>
        </w:rPr>
        <w:t xml:space="preserve">Implication 6 — Sensitisation of teachers, parents and administrators.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and parents must consciously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avoid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casual remarks and the routine practices that perpetuate gender-typed expectations. Teacher-training and parent-education programmes should make this a deliberate focus.</w:t>
      </w:r>
    </w:p>
    <w:p>
      <w:pPr>
        <w:pStyle w:val="BodyText"/>
        <w:spacing w:line="480" w:lineRule="auto" w:after="120"/>
        <w:jc w:val="both"/>
      </w:pPr>
      <w:r>
        <w:rPr>
          <w:rFonts w:ascii="Times New Roman" w:hAnsi="Times New Roman" w:cs="Times New Roman" w:eastAsia="Times New Roman"/>
          <w:b/>
          <w:bCs/>
          <w:sz w:val="24"/>
        </w:rPr>
        <w:t xml:space="preserve">Implication 7 — Diversification of the secondary curriculum.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provisions of the National Education Policy 2020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middle and secondary classes must be implemented in spirit, with equal access of boys and girls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crafts — cooking and embroidery as much as electrical wiring and motor mechanics.</w:t>
      </w:r>
    </w:p>
    <w:p>
      <w:pPr>
        <w:pStyle w:val="BodyText"/>
        <w:spacing w:line="480" w:lineRule="auto" w:after="120"/>
        <w:jc w:val="both"/>
      </w:pPr>
      <w:r>
        <w:rPr>
          <w:rFonts w:ascii="Times New Roman" w:hAnsi="Times New Roman" w:cs="Times New Roman" w:eastAsia="Times New Roman"/>
          <w:b/>
          <w:bCs/>
          <w:sz w:val="24"/>
        </w:rPr>
        <w:t xml:space="preserve">Implication 8 — Strengthening the gender-neutral zone.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fact that Executive, Commercial and Persuasive areas are gender-neutral in the present sample is encouraging. The Indian school can build on this by deliberately providing girls with leadership roles, administrative responsibilities (head girl, club secretaries, prefects) and business-skill exposure.</w:t>
      </w:r>
    </w:p>
    <w:p>
      <w:pPr>
        <w:pStyle w:val="BodyText"/>
        <w:spacing w:line="480" w:lineRule="auto" w:after="120"/>
        <w:jc w:val="both"/>
      </w:pPr>
      <w:r>
        <w:rPr>
          <w:rFonts w:ascii="Times New Roman" w:hAnsi="Times New Roman" w:cs="Times New Roman" w:eastAsia="Times New Roman"/>
          <w:b/>
          <w:bCs/>
          <w:sz w:val="24"/>
        </w:rPr>
        <w:t xml:space="preserve">Implication 9 — Use of the findings in stream allocation.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results on the V.I.R. should be used as one of the inputs for the Class XI stream allocation; where measured interest and stream choice are mismatched (as Pandey and Tripathi (2022) found in 34 % of cases), counselling should be undertaken.</w:t>
      </w:r>
    </w:p>
    <w:p>
      <w:pPr>
        <w:pStyle w:val="BodyText"/>
        <w:spacing w:line="480" w:lineRule="auto" w:after="120"/>
        <w:jc w:val="both"/>
      </w:pPr>
      <w:r>
        <w:rPr>
          <w:rFonts w:ascii="Times New Roman" w:hAnsi="Times New Roman" w:cs="Times New Roman" w:eastAsia="Times New Roman"/>
          <w:b/>
          <w:bCs/>
          <w:sz w:val="24"/>
        </w:rPr>
        <w:t xml:space="preserve">Implication 10 — Linking vocational interest with skill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school level,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Skill India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Atal Tinkering Lab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programmes must be re-designed to involve girls actively, especially in areas like robotics, electronics and 3-D printing, where the gender gap in interest is currently widest.</w:t>
      </w:r>
    </w:p>
    <w:p>
      <w:pPr>
        <w:pStyle w:val="BodyText"/>
        <w:spacing w:line="480" w:lineRule="auto" w:after="120"/>
        <w:jc w:val="both"/>
      </w:pPr>
      <w:r>
        <w:rPr>
          <w:rFonts w:ascii="Times New Roman" w:hAnsi="Times New Roman" w:cs="Times New Roman" w:eastAsia="Times New Roman"/>
          <w:b/>
          <w:bCs/>
          <w:sz w:val="24"/>
        </w:rPr>
        <w:t xml:space="preserve">Implication 11 — Need for region-specific empirical baselines.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Local empirical studies of the present type — even at the M.Ed. level — provide useful baselines for district-level career-guidance planning.</w:t>
      </w:r>
    </w:p>
    <w:p>
      <w:pPr>
        <w:pStyle w:val="BodyText"/>
        <w:spacing w:line="480" w:lineRule="auto" w:after="120"/>
        <w:jc w:val="both"/>
      </w:pPr>
      <w:r>
        <w:rPr>
          <w:rFonts w:ascii="Times New Roman" w:hAnsi="Times New Roman" w:cs="Times New Roman" w:eastAsia="Times New Roman"/>
          <w:b/>
          <w:bCs/>
          <w:sz w:val="24"/>
        </w:rPr>
        <w:t xml:space="preserve">Implication 12 — Inclusion in B.Ed. and M.Ed. curricula.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course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Guidance and Counselling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include modules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measurement of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typical gender-typed pattern, without which future teachers and counsellors cannot do justice to contemporary career guidance.</w:t>
      </w:r>
    </w:p>
    <w:bookmarkEnd w:id="139"/>
    <w:bookmarkStart w:id="140" w:name="suggestions-for-teachers"/>
    <w:p>
      <w:pPr>
        <w:pStyle w:val="Heading2"/>
        <w:spacing w:line="360" w:lineRule="auto"/>
        <w:jc w:val="center"/>
      </w:pPr>
      <w:r>
        <w:rPr>
          <w:rFonts w:ascii="Times New Roman" w:hAnsi="Times New Roman" w:cs="Times New Roman" w:eastAsia="Times New Roman"/>
          <w:b/>
          <w:sz w:val="28"/>
        </w:rPr>
        <w:t xml:space="preserve">5.5 Suggestions for Teachers</w:t>
      </w:r>
    </w:p>
    <w:p>
      <w:pPr>
        <w:pStyle w:val="FirstParagraph"/>
        <w:spacing w:line="480" w:lineRule="auto" w:after="120"/>
        <w:jc w:val="both"/>
      </w:pPr>
      <w:r>
        <w:rPr>
          <w:rFonts w:ascii="Times New Roman" w:hAnsi="Times New Roman" w:cs="Times New Roman" w:eastAsia="Times New Roman"/>
          <w:sz w:val="24"/>
        </w:rPr>
        <w:t xml:space="preserve">The class teacher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frontline agent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educational change. The following suggestions are offered:</w:t>
      </w:r>
    </w:p>
    <w:p>
      <w:pPr>
        <w:numPr>
          <w:ilvl w:val="0"/>
          <w:numId w:val="1016"/>
        </w:numPr>
        <w:spacing w:line="480" w:lineRule="auto" w:after="120"/>
        <w:jc w:val="both"/>
      </w:pPr>
      <w:r>
        <w:rPr>
          <w:rFonts w:ascii="Times New Roman" w:hAnsi="Times New Roman" w:cs="Times New Roman" w:eastAsia="Times New Roman"/>
          <w:b/>
          <w:bCs/>
          <w:sz w:val="24"/>
        </w:rPr>
        <w:t xml:space="preserve">Be aware of the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Expect that boys and girls in the same class have sharply different interest profiles; do not misread it as inability or lack of effort on the part of either group.</w:t>
      </w:r>
    </w:p>
    <w:p>
      <w:pPr>
        <w:numPr>
          <w:ilvl w:val="0"/>
          <w:numId w:val="1016"/>
        </w:numPr>
        <w:spacing w:line="480" w:lineRule="auto" w:after="120"/>
        <w:jc w:val="both"/>
      </w:pPr>
      <w:r>
        <w:rPr>
          <w:rFonts w:ascii="Times New Roman" w:hAnsi="Times New Roman" w:cs="Times New Roman" w:eastAsia="Times New Roman"/>
          <w:b/>
          <w:bCs/>
          <w:sz w:val="24"/>
        </w:rPr>
        <w:t xml:space="preserve">Use gender-balanced examples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woman engineer alongside a male engineer, a male nurse alongside a female nurse, a woman scientist alongside a male scientist.</w:t>
      </w:r>
    </w:p>
    <w:p>
      <w:pPr>
        <w:numPr>
          <w:ilvl w:val="0"/>
          <w:numId w:val="1016"/>
        </w:numPr>
        <w:spacing w:line="480" w:lineRule="auto" w:after="120"/>
        <w:jc w:val="both"/>
      </w:pPr>
      <w:r>
        <w:rPr>
          <w:rFonts w:ascii="Times New Roman" w:hAnsi="Times New Roman" w:cs="Times New Roman" w:eastAsia="Times New Roman"/>
          <w:b/>
          <w:bCs/>
          <w:sz w:val="24"/>
        </w:rPr>
        <w:t xml:space="preserve">Encourage cross-gender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school competitions, debates, dramatics, science exhibitions, art exhibitions, cookery, gardening, sports and craft sessions, ensure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participate actively.</w:t>
      </w:r>
    </w:p>
    <w:p>
      <w:pPr>
        <w:numPr>
          <w:ilvl w:val="0"/>
          <w:numId w:val="1016"/>
        </w:numPr>
        <w:spacing w:line="480" w:lineRule="auto" w:after="120"/>
        <w:jc w:val="both"/>
      </w:pPr>
      <w:r>
        <w:rPr>
          <w:rFonts w:ascii="Times New Roman" w:hAnsi="Times New Roman" w:cs="Times New Roman" w:eastAsia="Times New Roman"/>
          <w:b/>
          <w:bCs/>
          <w:sz w:val="24"/>
        </w:rPr>
        <w:t xml:space="preserve">Praise effort and ability, not stereotype.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girl performs well in mathematics or science, praise the effort rather than describing it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“unusual for a girl”</w:t>
      </w:r>
      <w:r>
        <w:rPr>
          <w:rFonts w:ascii="Times New Roman" w:hAnsi="Times New Roman" w:cs="Times New Roman" w:eastAsia="Times New Roman"/>
          <w:sz w:val="24"/>
        </w:rPr>
        <w:t xml:space="preserve">; when a boy shows aesthetic or care-giving talent, praise it rather than treating it as suspect.</w:t>
      </w:r>
    </w:p>
    <w:p>
      <w:pPr>
        <w:numPr>
          <w:ilvl w:val="0"/>
          <w:numId w:val="1016"/>
        </w:numPr>
        <w:spacing w:line="480" w:lineRule="auto" w:after="120"/>
        <w:jc w:val="both"/>
      </w:pPr>
      <w:r>
        <w:rPr>
          <w:rFonts w:ascii="Times New Roman" w:hAnsi="Times New Roman" w:cs="Times New Roman" w:eastAsia="Times New Roman"/>
          <w:b/>
          <w:bCs/>
          <w:sz w:val="24"/>
        </w:rPr>
        <w:t xml:space="preserve">Identify and nurture talent early.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Detect and nurture early signs of strong scientific or technical interest in girls, and of strong artistic or social interest in boys, against social pressure.</w:t>
      </w:r>
    </w:p>
    <w:p>
      <w:pPr>
        <w:numPr>
          <w:ilvl w:val="0"/>
          <w:numId w:val="1016"/>
        </w:numPr>
        <w:spacing w:line="480" w:lineRule="auto" w:after="120"/>
        <w:jc w:val="both"/>
      </w:pPr>
      <w:r>
        <w:rPr>
          <w:rFonts w:ascii="Times New Roman" w:hAnsi="Times New Roman" w:cs="Times New Roman" w:eastAsia="Times New Roman"/>
          <w:b/>
          <w:bCs/>
          <w:sz w:val="24"/>
        </w:rPr>
        <w:t xml:space="preserve">Cooperate with the school career-guidance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pass on relevant observations about each student.</w:t>
      </w:r>
    </w:p>
    <w:p>
      <w:pPr>
        <w:numPr>
          <w:ilvl w:val="0"/>
          <w:numId w:val="1016"/>
        </w:numPr>
        <w:spacing w:line="480" w:lineRule="auto" w:after="120"/>
        <w:jc w:val="both"/>
      </w:pPr>
      <w:r>
        <w:rPr>
          <w:rFonts w:ascii="Times New Roman" w:hAnsi="Times New Roman" w:cs="Times New Roman" w:eastAsia="Times New Roman"/>
          <w:b/>
          <w:bCs/>
          <w:sz w:val="24"/>
        </w:rPr>
        <w:t xml:space="preserve">Engage in continuing professional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in-service workshops on adolescent psychology, gender sensitivity and career guidance organised by SCERT, NCERT and NIEPA.</w:t>
      </w:r>
    </w:p>
    <w:bookmarkEnd w:id="140"/>
    <w:bookmarkStart w:id="141" w:name="suggestions-for-parents"/>
    <w:p>
      <w:pPr>
        <w:pStyle w:val="Heading2"/>
        <w:spacing w:line="360" w:lineRule="auto"/>
        <w:jc w:val="center"/>
      </w:pPr>
      <w:r>
        <w:rPr>
          <w:rFonts w:ascii="Times New Roman" w:hAnsi="Times New Roman" w:cs="Times New Roman" w:eastAsia="Times New Roman"/>
          <w:b/>
          <w:sz w:val="28"/>
        </w:rPr>
        <w:t xml:space="preserve">5.6 Suggestions for Parents</w:t>
      </w:r>
    </w:p>
    <w:p>
      <w:pPr>
        <w:pStyle w:val="FirstParagraph"/>
        <w:spacing w:line="480" w:lineRule="auto" w:after="120"/>
        <w:jc w:val="both"/>
      </w:pPr>
      <w:r>
        <w:rPr>
          <w:rFonts w:ascii="Times New Roman" w:hAnsi="Times New Roman" w:cs="Times New Roman" w:eastAsia="Times New Roman"/>
          <w:sz w:val="24"/>
        </w:rPr>
        <w:t xml:space="preserve">The home is, in the long run, the most powerful single influence on a child’s vocational interest. The following suggestions are offered:</w:t>
      </w:r>
    </w:p>
    <w:p>
      <w:pPr>
        <w:numPr>
          <w:ilvl w:val="0"/>
          <w:numId w:val="1017"/>
        </w:numPr>
        <w:spacing w:line="480" w:lineRule="auto" w:after="120"/>
        <w:jc w:val="both"/>
      </w:pPr>
      <w:r>
        <w:rPr>
          <w:rFonts w:ascii="Times New Roman" w:hAnsi="Times New Roman" w:cs="Times New Roman" w:eastAsia="Times New Roman"/>
          <w:b/>
          <w:bCs/>
          <w:sz w:val="24"/>
        </w:rPr>
        <w:t xml:space="preserve">Provide gender-neutral toys and play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early childhood. Boys should not be discouraged from playing with kitchen sets and dolls, nor girls from playing with mechanical toys, science kits and computers.</w:t>
      </w:r>
    </w:p>
    <w:p>
      <w:pPr>
        <w:numPr>
          <w:ilvl w:val="0"/>
          <w:numId w:val="1017"/>
        </w:numPr>
        <w:spacing w:line="480" w:lineRule="auto" w:after="120"/>
        <w:jc w:val="both"/>
      </w:pPr>
      <w:r>
        <w:rPr>
          <w:rFonts w:ascii="Times New Roman" w:hAnsi="Times New Roman" w:cs="Times New Roman" w:eastAsia="Times New Roman"/>
          <w:b/>
          <w:bCs/>
          <w:sz w:val="24"/>
        </w:rPr>
        <w:t xml:space="preserve">Engage in gender-neutral household 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fathers cook, clean and look after younger children, and when mothers handle finances and discuss career-related matters with their daughters, children grow up with a balanced view.</w:t>
      </w:r>
    </w:p>
    <w:p>
      <w:pPr>
        <w:numPr>
          <w:ilvl w:val="0"/>
          <w:numId w:val="1017"/>
        </w:numPr>
        <w:spacing w:line="480" w:lineRule="auto" w:after="120"/>
        <w:jc w:val="both"/>
      </w:pPr>
      <w:r>
        <w:rPr>
          <w:rFonts w:ascii="Times New Roman" w:hAnsi="Times New Roman" w:cs="Times New Roman" w:eastAsia="Times New Roman"/>
          <w:b/>
          <w:bCs/>
          <w:sz w:val="24"/>
        </w:rPr>
        <w:t xml:space="preserve">Avoid pressuring daughters away from</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“boys’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(engineering, mechanics, agriculture, scientific research)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sons away from</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“girls’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(teaching small children, nursing, cooking, fashion design, social work).</w:t>
      </w:r>
    </w:p>
    <w:p>
      <w:pPr>
        <w:numPr>
          <w:ilvl w:val="0"/>
          <w:numId w:val="1017"/>
        </w:numPr>
        <w:spacing w:line="480" w:lineRule="auto" w:after="120"/>
        <w:jc w:val="both"/>
      </w:pPr>
      <w:r>
        <w:rPr>
          <w:rFonts w:ascii="Times New Roman" w:hAnsi="Times New Roman" w:cs="Times New Roman" w:eastAsia="Times New Roman"/>
          <w:b/>
          <w:bCs/>
          <w:sz w:val="24"/>
        </w:rPr>
        <w:t xml:space="preserve">Expose children to a wide variety of vocational role-models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factories, farms, hospitals, courts, banks, art studios, NGOs, agricultural research stations.</w:t>
      </w:r>
    </w:p>
    <w:p>
      <w:pPr>
        <w:numPr>
          <w:ilvl w:val="0"/>
          <w:numId w:val="1017"/>
        </w:numPr>
        <w:spacing w:line="480" w:lineRule="auto" w:after="120"/>
        <w:jc w:val="both"/>
      </w:pPr>
      <w:r>
        <w:rPr>
          <w:rFonts w:ascii="Times New Roman" w:hAnsi="Times New Roman" w:cs="Times New Roman" w:eastAsia="Times New Roman"/>
          <w:b/>
          <w:bCs/>
          <w:sz w:val="24"/>
        </w:rPr>
        <w:t xml:space="preserve">Use the school’s career-guidance services actively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where they exist; encourage the school management to introduce them where they do not.</w:t>
      </w:r>
    </w:p>
    <w:p>
      <w:pPr>
        <w:numPr>
          <w:ilvl w:val="0"/>
          <w:numId w:val="1017"/>
        </w:numPr>
        <w:spacing w:line="480" w:lineRule="auto" w:after="120"/>
        <w:jc w:val="both"/>
      </w:pPr>
      <w:r>
        <w:rPr>
          <w:rFonts w:ascii="Times New Roman" w:hAnsi="Times New Roman" w:cs="Times New Roman" w:eastAsia="Times New Roman"/>
          <w:b/>
          <w:bCs/>
          <w:sz w:val="24"/>
        </w:rPr>
        <w:t xml:space="preserve">Listen to the adolescent voice.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Class IX–X student is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of vocational identity; the parental ear is the single most important resource at this stage.</w:t>
      </w:r>
    </w:p>
    <w:bookmarkEnd w:id="141"/>
    <w:bookmarkStart w:id="142" w:name="suggestions-for-school-administrators"/>
    <w:p>
      <w:pPr>
        <w:pStyle w:val="Heading2"/>
        <w:spacing w:line="360" w:lineRule="auto"/>
        <w:jc w:val="center"/>
      </w:pPr>
      <w:r>
        <w:rPr>
          <w:rFonts w:ascii="Times New Roman" w:hAnsi="Times New Roman" w:cs="Times New Roman" w:eastAsia="Times New Roman"/>
          <w:b/>
          <w:sz w:val="28"/>
        </w:rPr>
        <w:t xml:space="preserve">5.7 Suggestions for School Administrators</w:t>
      </w:r>
    </w:p>
    <w:p>
      <w:pPr>
        <w:pStyle w:val="FirstParagraph"/>
        <w:spacing w:line="480" w:lineRule="auto" w:after="120"/>
        <w:jc w:val="both"/>
      </w:pPr>
      <w:r>
        <w:rPr>
          <w:rFonts w:ascii="Times New Roman" w:hAnsi="Times New Roman" w:cs="Times New Roman" w:eastAsia="Times New Roman"/>
          <w:sz w:val="24"/>
        </w:rPr>
        <w:t xml:space="preserve">The Principal and the Management Committee create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climate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vocational interests are formed:</w:t>
      </w:r>
    </w:p>
    <w:p>
      <w:pPr>
        <w:numPr>
          <w:ilvl w:val="0"/>
          <w:numId w:val="1018"/>
        </w:numPr>
        <w:spacing w:line="480" w:lineRule="auto" w:after="120"/>
        <w:jc w:val="both"/>
      </w:pPr>
      <w:r>
        <w:rPr>
          <w:rFonts w:ascii="Times New Roman" w:hAnsi="Times New Roman" w:cs="Times New Roman" w:eastAsia="Times New Roman"/>
          <w:b/>
          <w:bCs/>
          <w:sz w:val="24"/>
        </w:rPr>
        <w:t xml:space="preserve">Establish a Career-Guidance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at least one trained counsellor and a well-stocked occupational-information library.</w:t>
      </w:r>
    </w:p>
    <w:p>
      <w:pPr>
        <w:numPr>
          <w:ilvl w:val="0"/>
          <w:numId w:val="1018"/>
        </w:numPr>
        <w:spacing w:line="480" w:lineRule="auto" w:after="120"/>
        <w:jc w:val="both"/>
      </w:pPr>
      <w:r>
        <w:rPr>
          <w:rFonts w:ascii="Times New Roman" w:hAnsi="Times New Roman" w:cs="Times New Roman" w:eastAsia="Times New Roman"/>
          <w:b/>
          <w:bCs/>
          <w:sz w:val="24"/>
        </w:rPr>
        <w:t xml:space="preserve">Hold annual career fairs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stalls for diverse occupations and short talks by working professionals from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gender-balanced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roster.</w:t>
      </w:r>
    </w:p>
    <w:p>
      <w:pPr>
        <w:numPr>
          <w:ilvl w:val="0"/>
          <w:numId w:val="1018"/>
        </w:numPr>
        <w:spacing w:line="480" w:lineRule="auto" w:after="120"/>
        <w:jc w:val="both"/>
      </w:pPr>
      <w:r>
        <w:rPr>
          <w:rFonts w:ascii="Times New Roman" w:hAnsi="Times New Roman" w:cs="Times New Roman" w:eastAsia="Times New Roman"/>
          <w:b/>
          <w:bCs/>
          <w:sz w:val="24"/>
        </w:rPr>
        <w:t xml:space="preserve">Organise exposure visits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least twice a year to agricultural research stations, hospitals, banks, courts, factories, IT companies, schools, NGOs and government offices.</w:t>
      </w:r>
    </w:p>
    <w:p>
      <w:pPr>
        <w:numPr>
          <w:ilvl w:val="0"/>
          <w:numId w:val="1018"/>
        </w:numPr>
        <w:spacing w:line="480" w:lineRule="auto" w:after="120"/>
        <w:jc w:val="both"/>
      </w:pPr>
      <w:r>
        <w:rPr>
          <w:rFonts w:ascii="Times New Roman" w:hAnsi="Times New Roman" w:cs="Times New Roman" w:eastAsia="Times New Roman"/>
          <w:b/>
          <w:bCs/>
          <w:sz w:val="24"/>
        </w:rPr>
        <w:t xml:space="preserve">Implement the NEP 2020 vocational provisions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spirit — the Class 6–8 vocational survey course and the bagless 10-day vocational period, with equal access for boys and girls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crafts.</w:t>
      </w:r>
    </w:p>
    <w:p>
      <w:pPr>
        <w:numPr>
          <w:ilvl w:val="0"/>
          <w:numId w:val="1018"/>
        </w:numPr>
        <w:spacing w:line="480" w:lineRule="auto" w:after="120"/>
        <w:jc w:val="both"/>
      </w:pPr>
      <w:r>
        <w:rPr>
          <w:rFonts w:ascii="Times New Roman" w:hAnsi="Times New Roman" w:cs="Times New Roman" w:eastAsia="Times New Roman"/>
          <w:b/>
          <w:bCs/>
          <w:sz w:val="24"/>
        </w:rPr>
        <w:t xml:space="preserve">Train the teaching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periodic in-service training in gender sensitivity, adolescent career development and vocational interest measurement.</w:t>
      </w:r>
    </w:p>
    <w:p>
      <w:pPr>
        <w:numPr>
          <w:ilvl w:val="0"/>
          <w:numId w:val="1018"/>
        </w:numPr>
        <w:spacing w:line="480" w:lineRule="auto" w:after="120"/>
        <w:jc w:val="both"/>
      </w:pPr>
      <w:r>
        <w:rPr>
          <w:rFonts w:ascii="Times New Roman" w:hAnsi="Times New Roman" w:cs="Times New Roman" w:eastAsia="Times New Roman"/>
          <w:b/>
          <w:bCs/>
          <w:sz w:val="24"/>
        </w:rPr>
        <w:t xml:space="preserve">Provide infrastructure for non-traditional choices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adequate laboratories, art studios, music rooms, sports facilities, computer labs and atal tinkering labs,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 access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all students.</w:t>
      </w:r>
    </w:p>
    <w:p>
      <w:pPr>
        <w:numPr>
          <w:ilvl w:val="0"/>
          <w:numId w:val="1018"/>
        </w:numPr>
        <w:spacing w:line="480" w:lineRule="auto" w:after="120"/>
        <w:jc w:val="both"/>
      </w:pPr>
      <w:r>
        <w:rPr>
          <w:rFonts w:ascii="Times New Roman" w:hAnsi="Times New Roman" w:cs="Times New Roman" w:eastAsia="Times New Roman"/>
          <w:b/>
          <w:bCs/>
          <w:sz w:val="24"/>
        </w:rPr>
        <w:t xml:space="preserve">Document and share results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standardised vocational interest tests in confidential individual counselling sessions with the student and the parent.</w:t>
      </w:r>
    </w:p>
    <w:bookmarkEnd w:id="142"/>
    <w:bookmarkStart w:id="143" w:name="suggestions-for-guidance-counsellors"/>
    <w:p>
      <w:pPr>
        <w:pStyle w:val="Heading2"/>
        <w:spacing w:line="360" w:lineRule="auto"/>
        <w:jc w:val="center"/>
      </w:pPr>
      <w:r>
        <w:rPr>
          <w:rFonts w:ascii="Times New Roman" w:hAnsi="Times New Roman" w:cs="Times New Roman" w:eastAsia="Times New Roman"/>
          <w:b/>
          <w:sz w:val="28"/>
        </w:rPr>
        <w:t xml:space="preserve">5.8 Suggestions for Guidance Counsellors</w:t>
      </w:r>
    </w:p>
    <w:p>
      <w:pPr>
        <w:numPr>
          <w:ilvl w:val="0"/>
          <w:numId w:val="1019"/>
        </w:numPr>
        <w:spacing w:line="480" w:lineRule="auto" w:after="120"/>
        <w:jc w:val="both"/>
      </w:pPr>
      <w:r>
        <w:rPr>
          <w:rFonts w:ascii="Times New Roman" w:hAnsi="Times New Roman" w:cs="Times New Roman" w:eastAsia="Times New Roman"/>
          <w:b/>
          <w:bCs/>
          <w:sz w:val="24"/>
        </w:rPr>
        <w:t xml:space="preserve">Use standardised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Kulshrestha’s V.I.R., Vohra’s Comprehensive Interest Schedule and Holland’s Self-Directed Search — at the end of Class IX or the beginning of Class X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every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w:t>
      </w:r>
    </w:p>
    <w:p>
      <w:pPr>
        <w:numPr>
          <w:ilvl w:val="0"/>
          <w:numId w:val="1019"/>
        </w:numPr>
        <w:spacing w:line="480" w:lineRule="auto" w:after="120"/>
        <w:jc w:val="both"/>
      </w:pPr>
      <w:r>
        <w:rPr>
          <w:rFonts w:ascii="Times New Roman" w:hAnsi="Times New Roman" w:cs="Times New Roman" w:eastAsia="Times New Roman"/>
          <w:b/>
          <w:bCs/>
          <w:sz w:val="24"/>
        </w:rPr>
        <w:t xml:space="preserve">Conduct individual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30–45-minute one-to-one session with every student to discuss the interest profile, academic record, family background and the student’s own dreams.</w:t>
      </w:r>
    </w:p>
    <w:p>
      <w:pPr>
        <w:numPr>
          <w:ilvl w:val="0"/>
          <w:numId w:val="1019"/>
        </w:numPr>
        <w:spacing w:line="480" w:lineRule="auto" w:after="120"/>
        <w:jc w:val="both"/>
      </w:pPr>
      <w:r>
        <w:rPr>
          <w:rFonts w:ascii="Times New Roman" w:hAnsi="Times New Roman" w:cs="Times New Roman" w:eastAsia="Times New Roman"/>
          <w:b/>
          <w:bCs/>
          <w:sz w:val="24"/>
        </w:rPr>
        <w:t xml:space="preserve">Counsel parents 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joint sessions, since parental support is essential for any non-traditional choice.</w:t>
      </w:r>
    </w:p>
    <w:p>
      <w:pPr>
        <w:numPr>
          <w:ilvl w:val="0"/>
          <w:numId w:val="1019"/>
        </w:numPr>
        <w:spacing w:line="480" w:lineRule="auto" w:after="120"/>
        <w:jc w:val="both"/>
      </w:pPr>
      <w:r>
        <w:rPr>
          <w:rFonts w:ascii="Times New Roman" w:hAnsi="Times New Roman" w:cs="Times New Roman" w:eastAsia="Times New Roman"/>
          <w:b/>
          <w:bCs/>
          <w:sz w:val="24"/>
        </w:rPr>
        <w:t xml:space="preserve">Maintain 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interest scores and counselling notes.</w:t>
      </w:r>
    </w:p>
    <w:p>
      <w:pPr>
        <w:numPr>
          <w:ilvl w:val="0"/>
          <w:numId w:val="1019"/>
        </w:numPr>
        <w:spacing w:line="480" w:lineRule="auto" w:after="120"/>
        <w:jc w:val="both"/>
      </w:pPr>
      <w:r>
        <w:rPr>
          <w:rFonts w:ascii="Times New Roman" w:hAnsi="Times New Roman" w:cs="Times New Roman" w:eastAsia="Times New Roman"/>
          <w:b/>
          <w:bCs/>
          <w:sz w:val="24"/>
        </w:rPr>
        <w:t xml:space="preserve">Counter gender stereotypes consciously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when the student’s measured interest crosses traditional gender lines (a girl high on Constructive, or a boy high on Household), provide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positive support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concrete examples of successful same-gender role-models.</w:t>
      </w:r>
    </w:p>
    <w:p>
      <w:pPr>
        <w:numPr>
          <w:ilvl w:val="0"/>
          <w:numId w:val="1019"/>
        </w:numPr>
        <w:spacing w:line="480" w:lineRule="auto" w:after="120"/>
        <w:jc w:val="both"/>
      </w:pPr>
      <w:r>
        <w:rPr>
          <w:rFonts w:ascii="Times New Roman" w:hAnsi="Times New Roman" w:cs="Times New Roman" w:eastAsia="Times New Roman"/>
          <w:b/>
          <w:bCs/>
          <w:sz w:val="24"/>
        </w:rPr>
        <w:t xml:space="preserve">Maintain a Roster of Local Role-Models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successful women in technical careers, men in care-giving careers, women in agriculture, men in teaching, women entrepreneurs — for school visits and counselling sessions.</w:t>
      </w:r>
    </w:p>
    <w:p>
      <w:pPr>
        <w:numPr>
          <w:ilvl w:val="0"/>
          <w:numId w:val="1019"/>
        </w:numPr>
        <w:spacing w:line="480" w:lineRule="auto" w:after="120"/>
        <w:jc w:val="both"/>
      </w:pPr>
      <w:r>
        <w:rPr>
          <w:rFonts w:ascii="Times New Roman" w:hAnsi="Times New Roman" w:cs="Times New Roman" w:eastAsia="Times New Roman"/>
          <w:b/>
          <w:bCs/>
          <w:sz w:val="24"/>
        </w:rPr>
        <w:t xml:space="preserve">Engage in continuing self-development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vocational psychology, occupational information, NEP 2020 implementation and skill-development programmes (PMKVY, NSDC, Skill India).</w:t>
      </w:r>
    </w:p>
    <w:p>
      <w:pPr>
        <w:numPr>
          <w:ilvl w:val="0"/>
          <w:numId w:val="1019"/>
        </w:numPr>
        <w:spacing w:line="480" w:lineRule="auto" w:after="120"/>
        <w:jc w:val="both"/>
      </w:pPr>
      <w:r>
        <w:rPr>
          <w:rFonts w:ascii="Times New Roman" w:hAnsi="Times New Roman" w:cs="Times New Roman" w:eastAsia="Times New Roman"/>
          <w:b/>
          <w:bCs/>
          <w:sz w:val="24"/>
        </w:rPr>
        <w:t xml:space="preserve">Follow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Class XI and again in Class XII at the time of higher-education entry.</w:t>
      </w:r>
    </w:p>
    <w:bookmarkEnd w:id="143"/>
    <w:bookmarkStart w:id="144" w:name="suggestions-for-future-research"/>
    <w:p>
      <w:pPr>
        <w:pStyle w:val="Heading2"/>
        <w:spacing w:line="360" w:lineRule="auto"/>
        <w:jc w:val="center"/>
      </w:pPr>
      <w:r>
        <w:rPr>
          <w:rFonts w:ascii="Times New Roman" w:hAnsi="Times New Roman" w:cs="Times New Roman" w:eastAsia="Times New Roman"/>
          <w:b/>
          <w:sz w:val="28"/>
        </w:rPr>
        <w:t xml:space="preserve">5.9 Suggestions for Future Research</w:t>
      </w:r>
    </w:p>
    <w:p>
      <w:pPr>
        <w:pStyle w:val="FirstParagraph"/>
        <w:spacing w:line="480" w:lineRule="auto" w:after="120"/>
        <w:jc w:val="both"/>
      </w:pPr>
      <w:r>
        <w:rPr>
          <w:rFonts w:ascii="Times New Roman" w:hAnsi="Times New Roman" w:cs="Times New Roman" w:eastAsia="Times New Roman"/>
          <w:sz w:val="24"/>
        </w:rPr>
        <w:t xml:space="preserve">The present investigation has been able to address only a small slice of the larger problem. Suggestions to future researchers:</w:t>
      </w:r>
    </w:p>
    <w:p>
      <w:pPr>
        <w:numPr>
          <w:ilvl w:val="0"/>
          <w:numId w:val="1020"/>
        </w:numPr>
        <w:spacing w:line="480" w:lineRule="auto" w:after="120"/>
        <w:jc w:val="both"/>
      </w:pPr>
      <w:r>
        <w:rPr>
          <w:rFonts w:ascii="Times New Roman" w:hAnsi="Times New Roman" w:cs="Times New Roman" w:eastAsia="Times New Roman"/>
          <w:b/>
          <w:bCs/>
          <w:sz w:val="24"/>
        </w:rPr>
        <w:t xml:space="preserve">Replicate with a larger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200 – 500 students drawn from a more diverse set of schools (Government / Private / Aided / CBSE / U.P. Board / ICSE, rural / urban / semi-urban).</w:t>
      </w:r>
    </w:p>
    <w:p>
      <w:pPr>
        <w:numPr>
          <w:ilvl w:val="0"/>
          <w:numId w:val="1020"/>
        </w:numPr>
        <w:spacing w:line="480" w:lineRule="auto" w:after="120"/>
        <w:jc w:val="both"/>
      </w:pPr>
      <w:r>
        <w:rPr>
          <w:rFonts w:ascii="Times New Roman" w:hAnsi="Times New Roman" w:cs="Times New Roman" w:eastAsia="Times New Roman"/>
          <w:b/>
          <w:bCs/>
          <w:sz w:val="24"/>
        </w:rPr>
        <w:t xml:space="preserve">Use a 2 × 2 factorial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(Boys/Girls × Govt/Private, or 2 × 2 × 2 with Locality) to cleanly separate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effects.</w:t>
      </w:r>
    </w:p>
    <w:p>
      <w:pPr>
        <w:numPr>
          <w:ilvl w:val="0"/>
          <w:numId w:val="1020"/>
        </w:numPr>
        <w:spacing w:line="480" w:lineRule="auto" w:after="120"/>
        <w:jc w:val="both"/>
      </w:pPr>
      <w:r>
        <w:rPr>
          <w:rFonts w:ascii="Times New Roman" w:hAnsi="Times New Roman" w:cs="Times New Roman" w:eastAsia="Times New Roman"/>
          <w:b/>
          <w:bCs/>
          <w:sz w:val="24"/>
        </w:rPr>
        <w:t xml:space="preserve">Conduct a longitudinal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tracking the same students from Class VI through Class XII to examine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process.</w:t>
      </w:r>
    </w:p>
    <w:p>
      <w:pPr>
        <w:numPr>
          <w:ilvl w:val="0"/>
          <w:numId w:val="1020"/>
        </w:numPr>
        <w:spacing w:line="480" w:lineRule="auto" w:after="120"/>
        <w:jc w:val="both"/>
      </w:pPr>
      <w:r>
        <w:rPr>
          <w:rFonts w:ascii="Times New Roman" w:hAnsi="Times New Roman" w:cs="Times New Roman" w:eastAsia="Times New Roman"/>
          <w:b/>
          <w:bCs/>
          <w:sz w:val="24"/>
        </w:rPr>
        <w:t xml:space="preserve">Include socio-economic and parental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parental education, occupation, family income and parental encouragement.</w:t>
      </w:r>
    </w:p>
    <w:p>
      <w:pPr>
        <w:numPr>
          <w:ilvl w:val="0"/>
          <w:numId w:val="1020"/>
        </w:numPr>
        <w:spacing w:line="480" w:lineRule="auto" w:after="120"/>
        <w:jc w:val="both"/>
      </w:pPr>
      <w:r>
        <w:rPr>
          <w:rFonts w:ascii="Times New Roman" w:hAnsi="Times New Roman" w:cs="Times New Roman" w:eastAsia="Times New Roman"/>
          <w:b/>
          <w:bCs/>
          <w:sz w:val="24"/>
        </w:rPr>
        <w:t xml:space="preserve">Use multiple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(V.I.R. + CIS + SDS) for inter-instrument validation and a richer profile.</w:t>
      </w:r>
    </w:p>
    <w:p>
      <w:pPr>
        <w:numPr>
          <w:ilvl w:val="0"/>
          <w:numId w:val="1020"/>
        </w:numPr>
        <w:spacing w:line="480" w:lineRule="auto" w:after="120"/>
        <w:jc w:val="both"/>
      </w:pPr>
      <w:r>
        <w:rPr>
          <w:rFonts w:ascii="Times New Roman" w:hAnsi="Times New Roman" w:cs="Times New Roman" w:eastAsia="Times New Roman"/>
          <w:b/>
          <w:bCs/>
          <w:sz w:val="24"/>
        </w:rPr>
        <w:t xml:space="preserve">Study the aspiration–interest–ability triad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identify points of agreement and disagreement.</w:t>
      </w:r>
    </w:p>
    <w:p>
      <w:pPr>
        <w:numPr>
          <w:ilvl w:val="0"/>
          <w:numId w:val="1020"/>
        </w:numPr>
        <w:spacing w:line="480" w:lineRule="auto" w:after="120"/>
        <w:jc w:val="both"/>
      </w:pPr>
      <w:r>
        <w:rPr>
          <w:rFonts w:ascii="Times New Roman" w:hAnsi="Times New Roman" w:cs="Times New Roman" w:eastAsia="Times New Roman"/>
          <w:b/>
          <w:bCs/>
          <w:sz w:val="24"/>
        </w:rPr>
        <w:t xml:space="preserve">Examine the impact of career-guidance interventions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quasi-experimental designs.</w:t>
      </w:r>
    </w:p>
    <w:p>
      <w:pPr>
        <w:numPr>
          <w:ilvl w:val="0"/>
          <w:numId w:val="1020"/>
        </w:numPr>
        <w:spacing w:line="480" w:lineRule="auto" w:after="120"/>
        <w:jc w:val="both"/>
      </w:pPr>
      <w:r>
        <w:rPr>
          <w:rFonts w:ascii="Times New Roman" w:hAnsi="Times New Roman" w:cs="Times New Roman" w:eastAsia="Times New Roman"/>
          <w:b/>
          <w:bCs/>
          <w:sz w:val="24"/>
        </w:rPr>
        <w:t xml:space="preserve">Compare different states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(U.P., Punjab, Tamil Nadu, Kerala, West Bengal, Manipur) to shed light on cultural variability of the gender-typed pattern within India.</w:t>
      </w:r>
    </w:p>
    <w:p>
      <w:pPr>
        <w:numPr>
          <w:ilvl w:val="0"/>
          <w:numId w:val="1020"/>
        </w:numPr>
        <w:spacing w:line="480" w:lineRule="auto" w:after="120"/>
        <w:jc w:val="both"/>
      </w:pPr>
      <w:r>
        <w:rPr>
          <w:rFonts w:ascii="Times New Roman" w:hAnsi="Times New Roman" w:cs="Times New Roman" w:eastAsia="Times New Roman"/>
          <w:b/>
          <w:bCs/>
          <w:sz w:val="24"/>
        </w:rPr>
        <w:t xml:space="preserve">Use modern technology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online vocational interest measurement, AI-based career-recommendation systems and VR-based vocational exposure.</w:t>
      </w:r>
    </w:p>
    <w:p>
      <w:pPr>
        <w:numPr>
          <w:ilvl w:val="0"/>
          <w:numId w:val="1020"/>
        </w:numPr>
        <w:spacing w:line="480" w:lineRule="auto" w:after="120"/>
        <w:jc w:val="both"/>
      </w:pPr>
      <w:r>
        <w:rPr>
          <w:rFonts w:ascii="Times New Roman" w:hAnsi="Times New Roman" w:cs="Times New Roman" w:eastAsia="Times New Roman"/>
          <w:b/>
          <w:bCs/>
          <w:sz w:val="24"/>
        </w:rPr>
        <w:t xml:space="preserve">Compare pre- and post-NEP 2020 cohorts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evaluate the policy’s success in widening adolescent vocational horizons.</w:t>
      </w:r>
    </w:p>
    <w:bookmarkEnd w:id="144"/>
    <w:bookmarkStart w:id="145" w:name="limitations-of-the-study"/>
    <w:p>
      <w:pPr>
        <w:pStyle w:val="Heading2"/>
        <w:spacing w:line="360" w:lineRule="auto"/>
        <w:jc w:val="center"/>
      </w:pPr>
      <w:r>
        <w:rPr>
          <w:rFonts w:ascii="Times New Roman" w:hAnsi="Times New Roman" w:cs="Times New Roman" w:eastAsia="Times New Roman"/>
          <w:b/>
          <w:sz w:val="28"/>
        </w:rPr>
        <w:t xml:space="preserve">5.10 Limitations of the Study</w:t>
      </w:r>
    </w:p>
    <w:p>
      <w:pPr>
        <w:pStyle w:val="Compact"/>
        <w:numPr>
          <w:ilvl w:val="0"/>
          <w:numId w:val="1021"/>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40) is small; while adequate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generalisation must be made with caution.</w:t>
      </w:r>
    </w:p>
    <w:p>
      <w:pPr>
        <w:pStyle w:val="Compact"/>
        <w:numPr>
          <w:ilvl w:val="0"/>
          <w:numId w:val="1021"/>
        </w:numPr>
        <w:spacing w:line="480" w:lineRule="auto" w:after="120"/>
        <w:jc w:val="both"/>
      </w:pPr>
      <w:r>
        <w:rPr>
          <w:rFonts w:ascii="Times New Roman" w:hAnsi="Times New Roman" w:cs="Times New Roman" w:eastAsia="Times New Roman"/>
          <w:sz w:val="24"/>
        </w:rPr>
        <w:t xml:space="preserve">The two groups have been drawn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Government rural U.P. Board for boys and Private urban CBSE for girls. This maximum-contrast design is methodologically defensible, but it does mean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cannot be entirely separated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Strictly, the present study compares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“Government-rural-U.P.-Board boys vs. Private-urban-CBSE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vs.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general</w:t>
      </w:r>
      <w:r>
        <w:rPr>
          <w:rFonts w:ascii="Times New Roman" w:hAnsi="Times New Roman" w:cs="Times New Roman" w:eastAsia="Times New Roman"/>
          <w:sz w:val="24"/>
        </w:rPr>
        <w:t xml:space="preserve">.</w:t>
      </w:r>
    </w:p>
    <w:p>
      <w:pPr>
        <w:pStyle w:val="Compact"/>
        <w:numPr>
          <w:ilvl w:val="0"/>
          <w:numId w:val="1021"/>
        </w:numPr>
        <w:spacing w:line="48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V.I.R. — has been used; a multi-tool design would have yielded a richer profile.</w:t>
      </w:r>
    </w:p>
    <w:p>
      <w:pPr>
        <w:pStyle w:val="Compact"/>
        <w:numPr>
          <w:ilvl w:val="0"/>
          <w:numId w:val="1021"/>
        </w:numPr>
        <w:spacing w:line="480" w:lineRule="auto" w:after="120"/>
        <w:jc w:val="both"/>
      </w:pPr>
      <w:r>
        <w:rPr>
          <w:rFonts w:ascii="Times New Roman" w:hAnsi="Times New Roman" w:cs="Times New Roman" w:eastAsia="Times New Roman"/>
          <w:sz w:val="24"/>
        </w:rPr>
        <w:t xml:space="preserve">The study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cross-sectional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a single point in time; a longitudinal design would have been preferable.</w:t>
      </w:r>
    </w:p>
    <w:p>
      <w:pPr>
        <w:pStyle w:val="Compact"/>
        <w:numPr>
          <w:ilvl w:val="0"/>
          <w:numId w:val="1021"/>
        </w:numPr>
        <w:spacing w:line="480" w:lineRule="auto" w:after="120"/>
        <w:jc w:val="both"/>
      </w:pPr>
      <w:r>
        <w:rPr>
          <w:rFonts w:ascii="Times New Roman" w:hAnsi="Times New Roman" w:cs="Times New Roman" w:eastAsia="Times New Roman"/>
          <w:sz w:val="24"/>
        </w:rPr>
        <w:t xml:space="preserve">Background variables such as parental education, occupation, income, encouragement, peer-group climate and quality of teachers — known to influence vocational interest — have not been measured.</w:t>
      </w:r>
    </w:p>
    <w:p>
      <w:pPr>
        <w:pStyle w:val="Compact"/>
        <w:numPr>
          <w:ilvl w:val="0"/>
          <w:numId w:val="1021"/>
        </w:numPr>
        <w:spacing w:line="480" w:lineRule="auto" w:after="120"/>
        <w:jc w:val="both"/>
      </w:pPr>
      <w:r>
        <w:rPr>
          <w:rFonts w:ascii="Times New Roman" w:hAnsi="Times New Roman" w:cs="Times New Roman" w:eastAsia="Times New Roman"/>
          <w:sz w:val="24"/>
        </w:rPr>
        <w:t xml:space="preserve">The statistical analysis has been limited to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Percentage Analysis and Spearman ρ; ANOVA, multiple regression and factor analysis have not been used.</w:t>
      </w:r>
    </w:p>
    <w:p>
      <w:pPr>
        <w:pStyle w:val="Compact"/>
        <w:numPr>
          <w:ilvl w:val="0"/>
          <w:numId w:val="1021"/>
        </w:numPr>
        <w:spacing w:line="480" w:lineRule="auto" w:after="120"/>
        <w:jc w:val="both"/>
      </w:pPr>
      <w:r>
        <w:rPr>
          <w:rFonts w:ascii="Times New Roman" w:hAnsi="Times New Roman" w:cs="Times New Roman" w:eastAsia="Times New Roman"/>
          <w:sz w:val="24"/>
        </w:rPr>
        <w:t xml:space="preserve">The interpretation in terms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“gender-typed socialisation”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theoretically motivated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literature reviewed in Chapter II, but the present study cannot itself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causal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link between socialisation and the observed differences. A causal demonstration would require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which lies beyond the scope of the present investigation.</w:t>
      </w:r>
    </w:p>
    <w:bookmarkEnd w:id="145"/>
    <w:bookmarkStart w:id="146" w:name="final-conclusion"/>
    <w:p>
      <w:pPr>
        <w:pStyle w:val="Heading2"/>
        <w:spacing w:line="360" w:lineRule="auto"/>
        <w:jc w:val="center"/>
      </w:pPr>
      <w:r>
        <w:rPr>
          <w:rFonts w:ascii="Times New Roman" w:hAnsi="Times New Roman" w:cs="Times New Roman" w:eastAsia="Times New Roman"/>
          <w:b/>
          <w:sz w:val="28"/>
        </w:rPr>
        <w:t xml:space="preserve">5.11 Final Conclusion</w:t>
      </w:r>
    </w:p>
    <w:p>
      <w:pPr>
        <w:pStyle w:val="FirstParagraph"/>
        <w:spacing w:line="480" w:lineRule="auto" w:after="120"/>
        <w:jc w:val="both"/>
      </w:pPr>
      <w:r>
        <w:rPr>
          <w:rFonts w:ascii="Times New Roman" w:hAnsi="Times New Roman" w:cs="Times New Roman" w:eastAsia="Times New Roman"/>
          <w:sz w:val="24"/>
        </w:rPr>
        <w:t xml:space="preserve">To bring the dissertation to a close, it may be reaffirmed that the present investigation has succeeded in achieving its five stated objectives, in testing the three null hypotheses formulated, in producing a body of empirically grounded findings, in drawing reasoned conclusions and in offering specific practical suggestions for the principal stake-holders of the Indian secondary school.</w:t>
      </w:r>
    </w:p>
    <w:p>
      <w:pPr>
        <w:pStyle w:val="BodyText"/>
        <w:spacing w:line="480" w:lineRule="auto" w:after="120"/>
        <w:jc w:val="both"/>
      </w:pPr>
      <w:r>
        <w:rPr>
          <w:rFonts w:ascii="Times New Roman" w:hAnsi="Times New Roman" w:cs="Times New Roman" w:eastAsia="Times New Roman"/>
          <w:sz w:val="24"/>
        </w:rPr>
        <w:t xml:space="preserve">The single most important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substantive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message of the study is this: in the Indian secondary school of today,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boys and girls remain sharply, systematically and significantly gender-typed</w:t>
      </w:r>
      <w:r>
        <w:rPr>
          <w:rFonts w:ascii="Times New Roman" w:hAnsi="Times New Roman" w:cs="Times New Roman" w:eastAsia="Times New Roman"/>
          <w:sz w:val="24"/>
        </w:rPr>
        <w:t xml:space="preserve">, with the rare exceptions of the Executive, Commercial and Persuasive areas.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 Scientific –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triad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world</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 – Artistic – Social – 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world</w:t>
      </w:r>
      <w:r>
        <w:rPr>
          <w:rFonts w:ascii="Times New Roman" w:hAnsi="Times New Roman" w:cs="Times New Roman" w:eastAsia="Times New Roman"/>
          <w:sz w:val="24"/>
        </w:rPr>
        <w:t xml:space="preserve">, and the two worlds remain distressingly far apart.</w:t>
      </w:r>
    </w:p>
    <w:p>
      <w:pPr>
        <w:pStyle w:val="BodyText"/>
        <w:spacing w:line="480" w:lineRule="auto" w:after="120"/>
        <w:jc w:val="both"/>
      </w:pPr>
      <w:r>
        <w:rPr>
          <w:rFonts w:ascii="Times New Roman" w:hAnsi="Times New Roman" w:cs="Times New Roman" w:eastAsia="Times New Roman"/>
          <w:sz w:val="24"/>
        </w:rPr>
        <w:t xml:space="preserve">The single most important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practical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message of the study is this: this state of affairs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taken as biologically inevitable. It is the cumulative outcome of a long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socialisation chain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toys, story-books, family expectations, teachers’ classroom remarks, peer pressure, occupational role-models on television and at home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it can be modified by deliberate educational action</w:t>
      </w:r>
      <w:r>
        <w:rPr>
          <w:rFonts w:ascii="Times New Roman" w:hAnsi="Times New Roman" w:cs="Times New Roman" w:eastAsia="Times New Roman"/>
          <w:sz w:val="24"/>
        </w:rPr>
        <w:t xml:space="preserve">. The Indian school of the twenty-first century, supported by enlightened parents, sensitive teachers, well-trained guidance counsellors and an empowering education policy, has both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opportunity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responsibility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broaden the vocational horizons of its boys and girls — to ensure that no Indian child, in 2050 or 2070, is held back from his or her true vocation by the accident of being born a boy or a girl in 2026.</w:t>
      </w:r>
    </w:p>
    <w:p>
      <w:pPr>
        <w:pStyle w:val="BodyText"/>
        <w:spacing w:line="480" w:lineRule="auto" w:after="120"/>
        <w:jc w:val="both"/>
      </w:pPr>
      <w:r>
        <w:rPr>
          <w:rFonts w:ascii="Times New Roman" w:hAnsi="Times New Roman" w:cs="Times New Roman" w:eastAsia="Times New Roman"/>
          <w:sz w:val="24"/>
        </w:rPr>
        <w:t xml:space="preserve">It is in 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direction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modest contribution of the present M.Ed. dissertation has, the investigator hopes, been made.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V ***</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BlockText"/>
        <w:spacing w:line="480" w:lineRule="auto" w:after="120"/>
        <w:jc w:val="both"/>
      </w:pPr>
      <w:r>
        <w:rPr>
          <w:rFonts w:ascii="Times New Roman" w:hAnsi="Times New Roman" w:cs="Times New Roman" w:eastAsia="Times New Roman"/>
          <w:i/>
          <w:iCs/>
          <w:sz w:val="24"/>
        </w:rPr>
        <w:t xml:space="preserve">“Education is the most powerful weapon which you can use to change the world.”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Nelson Mandela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“You cannot teach a child what you have not learned yourself.”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Mahatma Gandhi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 is the manifestation of the perfection already in man.”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Swami Vivekananda</w:t>
      </w:r>
    </w:p>
    <w:p>
      <w:pPr>
        <w:spacing w:line="480" w:lineRule="auto" w:after="120"/>
        <w:jc w:val="both"/>
      </w:pPr>
      <w:r>
        <w:rPr>
          <w:rFonts w:ascii="Times New Roman" w:hAnsi="Times New Roman" w:cs="Times New Roman" w:eastAsia="Times New Roman"/>
          <w:sz w:val="24"/>
        </w:rPr>
        <w:br w:type="page"/>
      </w:r>
    </w:p>
    <w:bookmarkEnd w:id="146"/>
    <w:bookmarkEnd w:id="147"/>
    <w:bookmarkStart w:id="153" w:name="references-bibliography"/>
    <w:p>
      <w:pPr>
        <w:pStyle w:val="Heading1"/>
        <w:spacing w:line="360" w:lineRule="auto"/>
        <w:jc w:val="center"/>
      </w:pPr>
      <w:r>
        <w:rPr>
          <w:rFonts w:ascii="Times New Roman" w:hAnsi="Times New Roman" w:cs="Times New Roman" w:eastAsia="Times New Roman"/>
          <w:b/>
          <w:sz w:val="32"/>
        </w:rPr>
        <w:t xml:space="preserve">REFERENCES / BIBLIOGRAPHY</w:t>
      </w:r>
    </w:p>
    <w:p>
      <w:pPr>
        <w:pStyle w:val="FirstParagraph"/>
        <w:spacing w:line="480" w:lineRule="auto" w:after="120"/>
        <w:jc w:val="both"/>
      </w:pPr>
      <w:r>
        <w:rPr>
          <w:rFonts w:ascii="Times New Roman" w:hAnsi="Times New Roman" w:cs="Times New Roman" w:eastAsia="Times New Roman"/>
          <w:i/>
          <w:iCs/>
          <w:sz w:val="24"/>
        </w:rPr>
        <w:t xml:space="preserve">(All entries are arranged alphabetically by the surname of the first author and follow the American Psychological Association — APA 7th edition — style. Hindi-language sources have been transliterated into Roman script with English titles in square brackets where applicable.)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Start w:id="148" w:name="a.-books"/>
    <w:p>
      <w:pPr>
        <w:pStyle w:val="Heading2"/>
        <w:spacing w:line="360" w:lineRule="auto"/>
        <w:jc w:val="center"/>
      </w:pPr>
      <w:r>
        <w:rPr>
          <w:rFonts w:ascii="Times New Roman" w:hAnsi="Times New Roman" w:cs="Times New Roman" w:eastAsia="Times New Roman"/>
          <w:b/>
          <w:sz w:val="28"/>
        </w:rPr>
        <w:t xml:space="preserve">A. Books</w:t>
      </w:r>
    </w:p>
    <w:p>
      <w:pPr>
        <w:numPr>
          <w:ilvl w:val="0"/>
          <w:numId w:val="1022"/>
        </w:numPr>
        <w:spacing w:line="480" w:lineRule="auto" w:after="120"/>
        <w:jc w:val="both"/>
      </w:pPr>
      <w:r>
        <w:rPr>
          <w:rFonts w:ascii="Times New Roman" w:hAnsi="Times New Roman" w:cs="Times New Roman" w:eastAsia="Times New Roman"/>
          <w:sz w:val="24"/>
        </w:rPr>
        <w:t xml:space="preserve">Aggarwal, J. C.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(8th ed.). Arya Book Depot.</w:t>
      </w:r>
    </w:p>
    <w:p>
      <w:pPr>
        <w:numPr>
          <w:ilvl w:val="0"/>
          <w:numId w:val="1022"/>
        </w:numPr>
        <w:spacing w:line="480" w:lineRule="auto" w:after="120"/>
        <w:jc w:val="both"/>
      </w:pPr>
      <w:r>
        <w:rPr>
          <w:rFonts w:ascii="Times New Roman" w:hAnsi="Times New Roman" w:cs="Times New Roman" w:eastAsia="Times New Roman"/>
          <w:sz w:val="24"/>
        </w:rPr>
        <w:t xml:space="preserve">Best, J. W., &amp; Kahn, J. V.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Pearson Education.</w:t>
      </w:r>
    </w:p>
    <w:p>
      <w:pPr>
        <w:numPr>
          <w:ilvl w:val="0"/>
          <w:numId w:val="1022"/>
        </w:numPr>
        <w:spacing w:line="480" w:lineRule="auto" w:after="120"/>
        <w:jc w:val="both"/>
      </w:pPr>
      <w:r>
        <w:rPr>
          <w:rFonts w:ascii="Times New Roman" w:hAnsi="Times New Roman" w:cs="Times New Roman" w:eastAsia="Times New Roman"/>
          <w:sz w:val="24"/>
        </w:rPr>
        <w:t xml:space="preserve">Bhatnagar, R. P., &amp; Gupta, N. K.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and counselling: A theoretical perspective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 1). Vikas Publishing House.</w:t>
      </w:r>
    </w:p>
    <w:p>
      <w:pPr>
        <w:numPr>
          <w:ilvl w:val="0"/>
          <w:numId w:val="1022"/>
        </w:numPr>
        <w:spacing w:line="480" w:lineRule="auto" w:after="120"/>
        <w:jc w:val="both"/>
      </w:pPr>
      <w:r>
        <w:rPr>
          <w:rFonts w:ascii="Times New Roman" w:hAnsi="Times New Roman" w:cs="Times New Roman" w:eastAsia="Times New Roman"/>
          <w:sz w:val="24"/>
        </w:rPr>
        <w:t xml:space="preserve">Bhatnagar, R. P., &amp; Gupta, N. K.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and counselling: A practical approach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 2). Vikas Publishing House.</w:t>
      </w:r>
    </w:p>
    <w:p>
      <w:pPr>
        <w:numPr>
          <w:ilvl w:val="0"/>
          <w:numId w:val="1022"/>
        </w:numPr>
        <w:spacing w:line="480" w:lineRule="auto" w:after="120"/>
        <w:jc w:val="both"/>
      </w:pPr>
      <w:r>
        <w:rPr>
          <w:rFonts w:ascii="Times New Roman" w:hAnsi="Times New Roman" w:cs="Times New Roman" w:eastAsia="Times New Roman"/>
          <w:sz w:val="24"/>
        </w:rPr>
        <w:t xml:space="preserve">Bingham, W. V. D. (1937).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Aptitudes and aptitude testing</w:t>
      </w:r>
      <w:r>
        <w:rPr>
          <w:rFonts w:ascii="Times New Roman" w:hAnsi="Times New Roman" w:cs="Times New Roman" w:eastAsia="Times New Roman"/>
          <w:sz w:val="24"/>
        </w:rPr>
        <w:t xml:space="preserve">. Harper &amp; Brothers.</w:t>
      </w:r>
    </w:p>
    <w:p>
      <w:pPr>
        <w:numPr>
          <w:ilvl w:val="0"/>
          <w:numId w:val="1022"/>
        </w:numPr>
        <w:spacing w:line="480" w:lineRule="auto" w:after="120"/>
        <w:jc w:val="both"/>
      </w:pPr>
      <w:r>
        <w:rPr>
          <w:rFonts w:ascii="Times New Roman" w:hAnsi="Times New Roman" w:cs="Times New Roman" w:eastAsia="Times New Roman"/>
          <w:sz w:val="24"/>
        </w:rPr>
        <w:t xml:space="preserve">Borg, W. R., &amp; Gall, M. D.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Longman.</w:t>
      </w:r>
    </w:p>
    <w:p>
      <w:pPr>
        <w:numPr>
          <w:ilvl w:val="0"/>
          <w:numId w:val="1022"/>
        </w:numPr>
        <w:spacing w:line="480" w:lineRule="auto" w:after="120"/>
        <w:jc w:val="both"/>
      </w:pPr>
      <w:r>
        <w:rPr>
          <w:rFonts w:ascii="Times New Roman" w:hAnsi="Times New Roman" w:cs="Times New Roman" w:eastAsia="Times New Roman"/>
          <w:sz w:val="24"/>
        </w:rPr>
        <w:t xml:space="preserve">Chauhan, S. S.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(8th ed.). Vikas Publishing House.</w:t>
      </w:r>
    </w:p>
    <w:p>
      <w:pPr>
        <w:numPr>
          <w:ilvl w:val="0"/>
          <w:numId w:val="1022"/>
        </w:numPr>
        <w:spacing w:line="480" w:lineRule="auto" w:after="120"/>
        <w:jc w:val="both"/>
      </w:pPr>
      <w:r>
        <w:rPr>
          <w:rFonts w:ascii="Times New Roman" w:hAnsi="Times New Roman" w:cs="Times New Roman" w:eastAsia="Times New Roman"/>
          <w:sz w:val="24"/>
        </w:rPr>
        <w:t xml:space="preserve">Crites, J. O. (1969).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psychology: The study of vocational behavior and development</w:t>
      </w:r>
      <w:r>
        <w:rPr>
          <w:rFonts w:ascii="Times New Roman" w:hAnsi="Times New Roman" w:cs="Times New Roman" w:eastAsia="Times New Roman"/>
          <w:sz w:val="24"/>
        </w:rPr>
        <w:t xml:space="preserve">. McGraw-Hill.</w:t>
      </w:r>
    </w:p>
    <w:p>
      <w:pPr>
        <w:numPr>
          <w:ilvl w:val="0"/>
          <w:numId w:val="1022"/>
        </w:numPr>
        <w:spacing w:line="480" w:lineRule="auto" w:after="120"/>
        <w:jc w:val="both"/>
      </w:pPr>
      <w:r>
        <w:rPr>
          <w:rFonts w:ascii="Times New Roman" w:hAnsi="Times New Roman" w:cs="Times New Roman" w:eastAsia="Times New Roman"/>
          <w:sz w:val="24"/>
        </w:rPr>
        <w:t xml:space="preserve">Crow, L. D., &amp; Crow, A.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Eurasia Publishing House.</w:t>
      </w:r>
    </w:p>
    <w:p>
      <w:pPr>
        <w:numPr>
          <w:ilvl w:val="0"/>
          <w:numId w:val="1022"/>
        </w:numPr>
        <w:spacing w:line="480" w:lineRule="auto" w:after="120"/>
        <w:jc w:val="both"/>
      </w:pPr>
      <w:r>
        <w:rPr>
          <w:rFonts w:ascii="Times New Roman" w:hAnsi="Times New Roman" w:cs="Times New Roman" w:eastAsia="Times New Roman"/>
          <w:sz w:val="24"/>
        </w:rPr>
        <w:t xml:space="preserve">Drever, J. (1952).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dictionary of psychology</w:t>
      </w:r>
      <w:r>
        <w:rPr>
          <w:rFonts w:ascii="Times New Roman" w:hAnsi="Times New Roman" w:cs="Times New Roman" w:eastAsia="Times New Roman"/>
          <w:sz w:val="24"/>
        </w:rPr>
        <w:t xml:space="preserve">. Penguin Books.</w:t>
      </w:r>
    </w:p>
    <w:p>
      <w:pPr>
        <w:numPr>
          <w:ilvl w:val="0"/>
          <w:numId w:val="1022"/>
        </w:numPr>
        <w:spacing w:line="480" w:lineRule="auto" w:after="120"/>
        <w:jc w:val="both"/>
      </w:pPr>
      <w:r>
        <w:rPr>
          <w:rFonts w:ascii="Times New Roman" w:hAnsi="Times New Roman" w:cs="Times New Roman" w:eastAsia="Times New Roman"/>
          <w:sz w:val="24"/>
        </w:rPr>
        <w:t xml:space="preserve">Erikson, E. H. (1968).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Identity: Youth and crisis</w:t>
      </w:r>
      <w:r>
        <w:rPr>
          <w:rFonts w:ascii="Times New Roman" w:hAnsi="Times New Roman" w:cs="Times New Roman" w:eastAsia="Times New Roman"/>
          <w:sz w:val="24"/>
        </w:rPr>
        <w:t xml:space="preserve">. W. W. Norton.</w:t>
      </w:r>
    </w:p>
    <w:p>
      <w:pPr>
        <w:numPr>
          <w:ilvl w:val="0"/>
          <w:numId w:val="1022"/>
        </w:numPr>
        <w:spacing w:line="480" w:lineRule="auto" w:after="120"/>
        <w:jc w:val="both"/>
      </w:pPr>
      <w:r>
        <w:rPr>
          <w:rFonts w:ascii="Times New Roman" w:hAnsi="Times New Roman" w:cs="Times New Roman" w:eastAsia="Times New Roman"/>
          <w:sz w:val="24"/>
        </w:rPr>
        <w:t xml:space="preserve">Garrett, H. E., &amp; Woodworth, R. S. (1981).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Vakils, Feffer &amp; Simons.</w:t>
      </w:r>
    </w:p>
    <w:p>
      <w:pPr>
        <w:numPr>
          <w:ilvl w:val="0"/>
          <w:numId w:val="1022"/>
        </w:numPr>
        <w:spacing w:line="480" w:lineRule="auto" w:after="120"/>
        <w:jc w:val="both"/>
      </w:pPr>
      <w:r>
        <w:rPr>
          <w:rFonts w:ascii="Times New Roman" w:hAnsi="Times New Roman" w:cs="Times New Roman" w:eastAsia="Times New Roman"/>
          <w:sz w:val="24"/>
        </w:rPr>
        <w:t xml:space="preserve">Ginzberg, E., Ginsburg, S. W., Axelrad, S., &amp; Herma, J. L. (1951).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choice: An approach to a general theory</w:t>
      </w:r>
      <w:r>
        <w:rPr>
          <w:rFonts w:ascii="Times New Roman" w:hAnsi="Times New Roman" w:cs="Times New Roman" w:eastAsia="Times New Roman"/>
          <w:sz w:val="24"/>
        </w:rPr>
        <w:t xml:space="preserve">. Columbia University Press.</w:t>
      </w:r>
    </w:p>
    <w:p>
      <w:pPr>
        <w:numPr>
          <w:ilvl w:val="0"/>
          <w:numId w:val="1022"/>
        </w:numPr>
        <w:spacing w:line="480" w:lineRule="auto" w:after="120"/>
        <w:jc w:val="both"/>
      </w:pPr>
      <w:r>
        <w:rPr>
          <w:rFonts w:ascii="Times New Roman" w:hAnsi="Times New Roman" w:cs="Times New Roman" w:eastAsia="Times New Roman"/>
          <w:sz w:val="24"/>
        </w:rPr>
        <w:t xml:space="preserve">Hall, G. S. (1904).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Adolescence: Its psychology and its relations to physiology, anthropology, sociology, sex, crime, religion,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(Vols. 1–2). D. Appleton.</w:t>
      </w:r>
    </w:p>
    <w:p>
      <w:pPr>
        <w:numPr>
          <w:ilvl w:val="0"/>
          <w:numId w:val="1022"/>
        </w:numPr>
        <w:spacing w:line="480" w:lineRule="auto" w:after="120"/>
        <w:jc w:val="both"/>
      </w:pPr>
      <w:r>
        <w:rPr>
          <w:rFonts w:ascii="Times New Roman" w:hAnsi="Times New Roman" w:cs="Times New Roman" w:eastAsia="Times New Roman"/>
          <w:sz w:val="24"/>
        </w:rPr>
        <w:t xml:space="preserve">Hilgard, E. R. (1962).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Introduction to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Harcourt, Brace &amp; World.</w:t>
      </w:r>
    </w:p>
    <w:p>
      <w:pPr>
        <w:numPr>
          <w:ilvl w:val="0"/>
          <w:numId w:val="1022"/>
        </w:numPr>
        <w:spacing w:line="480" w:lineRule="auto" w:after="120"/>
        <w:jc w:val="both"/>
      </w:pPr>
      <w:r>
        <w:rPr>
          <w:rFonts w:ascii="Times New Roman" w:hAnsi="Times New Roman" w:cs="Times New Roman" w:eastAsia="Times New Roman"/>
          <w:sz w:val="24"/>
        </w:rPr>
        <w:t xml:space="preserve">Holland, J. L.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Prentice-Hall.</w:t>
      </w:r>
    </w:p>
    <w:p>
      <w:pPr>
        <w:numPr>
          <w:ilvl w:val="0"/>
          <w:numId w:val="1022"/>
        </w:numPr>
        <w:spacing w:line="480" w:lineRule="auto" w:after="120"/>
        <w:jc w:val="both"/>
      </w:pPr>
      <w:r>
        <w:rPr>
          <w:rFonts w:ascii="Times New Roman" w:hAnsi="Times New Roman" w:cs="Times New Roman" w:eastAsia="Times New Roman"/>
          <w:sz w:val="24"/>
        </w:rPr>
        <w:t xml:space="preserve">Holland, J. L., Powell, A. B., &amp; Fritzsche, B. A. (1994).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Self-directed search: Professional user’s guide</w:t>
      </w:r>
      <w:r>
        <w:rPr>
          <w:rFonts w:ascii="Times New Roman" w:hAnsi="Times New Roman" w:cs="Times New Roman" w:eastAsia="Times New Roman"/>
          <w:sz w:val="24"/>
        </w:rPr>
        <w:t xml:space="preserve">. Psychological Assessment Resources.</w:t>
      </w:r>
    </w:p>
    <w:p>
      <w:pPr>
        <w:numPr>
          <w:ilvl w:val="0"/>
          <w:numId w:val="1022"/>
        </w:numPr>
        <w:spacing w:line="480" w:lineRule="auto" w:after="120"/>
        <w:jc w:val="both"/>
      </w:pPr>
      <w:r>
        <w:rPr>
          <w:rFonts w:ascii="Times New Roman" w:hAnsi="Times New Roman" w:cs="Times New Roman" w:eastAsia="Times New Roman"/>
          <w:sz w:val="24"/>
        </w:rPr>
        <w:t xml:space="preserve">Kerlinger, F. N.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behavioral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Holt, Rinehart &amp; Winston.</w:t>
      </w:r>
    </w:p>
    <w:p>
      <w:pPr>
        <w:numPr>
          <w:ilvl w:val="0"/>
          <w:numId w:val="1022"/>
        </w:numPr>
        <w:spacing w:line="480" w:lineRule="auto" w:after="120"/>
        <w:jc w:val="both"/>
      </w:pPr>
      <w:r>
        <w:rPr>
          <w:rFonts w:ascii="Times New Roman" w:hAnsi="Times New Roman" w:cs="Times New Roman" w:eastAsia="Times New Roman"/>
          <w:sz w:val="24"/>
        </w:rPr>
        <w:t xml:space="preserve">Kochhar, S. K.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and vocational guidance in secondary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 ed.). Sterling Publishers.</w:t>
      </w:r>
    </w:p>
    <w:p>
      <w:pPr>
        <w:numPr>
          <w:ilvl w:val="0"/>
          <w:numId w:val="1022"/>
        </w:numPr>
        <w:spacing w:line="480" w:lineRule="auto" w:after="120"/>
        <w:jc w:val="both"/>
      </w:pPr>
      <w:r>
        <w:rPr>
          <w:rFonts w:ascii="Times New Roman" w:hAnsi="Times New Roman" w:cs="Times New Roman" w:eastAsia="Times New Roman"/>
          <w:sz w:val="24"/>
        </w:rPr>
        <w:t xml:space="preserve">Kulshrestha, S. P.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 ed.). National Psychological Corporation.</w:t>
      </w:r>
    </w:p>
    <w:p>
      <w:pPr>
        <w:numPr>
          <w:ilvl w:val="0"/>
          <w:numId w:val="1022"/>
        </w:numPr>
        <w:spacing w:line="480" w:lineRule="auto" w:after="120"/>
        <w:jc w:val="both"/>
      </w:pPr>
      <w:r>
        <w:rPr>
          <w:rFonts w:ascii="Times New Roman" w:hAnsi="Times New Roman" w:cs="Times New Roman" w:eastAsia="Times New Roman"/>
          <w:sz w:val="24"/>
        </w:rPr>
        <w:t xml:space="preserve">Mangal, S. K.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PHI Learning.</w:t>
      </w:r>
    </w:p>
    <w:p>
      <w:pPr>
        <w:numPr>
          <w:ilvl w:val="0"/>
          <w:numId w:val="1022"/>
        </w:numPr>
        <w:spacing w:line="480" w:lineRule="auto" w:after="120"/>
        <w:jc w:val="both"/>
      </w:pPr>
      <w:r>
        <w:rPr>
          <w:rFonts w:ascii="Times New Roman" w:hAnsi="Times New Roman" w:cs="Times New Roman" w:eastAsia="Times New Roman"/>
          <w:sz w:val="24"/>
        </w:rPr>
        <w:t xml:space="preserve">Mouly, G. J. (1970).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science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American Book Company.</w:t>
      </w:r>
    </w:p>
    <w:p>
      <w:pPr>
        <w:numPr>
          <w:ilvl w:val="0"/>
          <w:numId w:val="1022"/>
        </w:numPr>
        <w:spacing w:line="480" w:lineRule="auto" w:after="120"/>
        <w:jc w:val="both"/>
      </w:pPr>
      <w:r>
        <w:rPr>
          <w:rFonts w:ascii="Times New Roman" w:hAnsi="Times New Roman" w:cs="Times New Roman" w:eastAsia="Times New Roman"/>
          <w:sz w:val="24"/>
        </w:rPr>
        <w:t xml:space="preserve">Nayak, A. K.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and 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APH Publishing.</w:t>
      </w:r>
    </w:p>
    <w:p>
      <w:pPr>
        <w:numPr>
          <w:ilvl w:val="0"/>
          <w:numId w:val="1022"/>
        </w:numPr>
        <w:spacing w:line="480" w:lineRule="auto" w:after="120"/>
        <w:jc w:val="both"/>
      </w:pPr>
      <w:r>
        <w:rPr>
          <w:rFonts w:ascii="Times New Roman" w:hAnsi="Times New Roman" w:cs="Times New Roman" w:eastAsia="Times New Roman"/>
          <w:sz w:val="24"/>
        </w:rPr>
        <w:t xml:space="preserve">Pandey, R. S.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 ed.). Vinod Pustak Mandir.</w:t>
      </w:r>
    </w:p>
    <w:p>
      <w:pPr>
        <w:numPr>
          <w:ilvl w:val="0"/>
          <w:numId w:val="1022"/>
        </w:numPr>
        <w:spacing w:line="480" w:lineRule="auto" w:after="120"/>
        <w:jc w:val="both"/>
      </w:pPr>
      <w:r>
        <w:rPr>
          <w:rFonts w:ascii="Times New Roman" w:hAnsi="Times New Roman" w:cs="Times New Roman" w:eastAsia="Times New Roman"/>
          <w:sz w:val="24"/>
        </w:rPr>
        <w:t xml:space="preserve">Parsons, F. (1909).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Houghton Mifflin.</w:t>
      </w:r>
    </w:p>
    <w:p>
      <w:pPr>
        <w:numPr>
          <w:ilvl w:val="0"/>
          <w:numId w:val="1022"/>
        </w:numPr>
        <w:spacing w:line="480" w:lineRule="auto" w:after="120"/>
        <w:jc w:val="both"/>
      </w:pPr>
      <w:r>
        <w:rPr>
          <w:rFonts w:ascii="Times New Roman" w:hAnsi="Times New Roman" w:cs="Times New Roman" w:eastAsia="Times New Roman"/>
          <w:sz w:val="24"/>
        </w:rPr>
        <w:t xml:space="preserve">Patel, A. S. (2015).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 and educational guidance: Theory and practice</w:t>
      </w:r>
      <w:r>
        <w:rPr>
          <w:rFonts w:ascii="Times New Roman" w:hAnsi="Times New Roman" w:cs="Times New Roman" w:eastAsia="Times New Roman"/>
          <w:sz w:val="24"/>
        </w:rPr>
        <w:t xml:space="preserve">. Anmol Publications.</w:t>
      </w:r>
    </w:p>
    <w:p>
      <w:pPr>
        <w:numPr>
          <w:ilvl w:val="0"/>
          <w:numId w:val="1022"/>
        </w:numPr>
        <w:spacing w:line="480" w:lineRule="auto" w:after="120"/>
        <w:jc w:val="both"/>
      </w:pPr>
      <w:r>
        <w:rPr>
          <w:rFonts w:ascii="Times New Roman" w:hAnsi="Times New Roman" w:cs="Times New Roman" w:eastAsia="Times New Roman"/>
          <w:sz w:val="24"/>
        </w:rPr>
        <w:t xml:space="preserve">Sharma, R. 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Fundamentals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R. Lall Book Depot.</w:t>
      </w:r>
    </w:p>
    <w:p>
      <w:pPr>
        <w:numPr>
          <w:ilvl w:val="0"/>
          <w:numId w:val="1022"/>
        </w:numPr>
        <w:spacing w:line="480" w:lineRule="auto" w:after="120"/>
        <w:jc w:val="both"/>
      </w:pPr>
      <w:r>
        <w:rPr>
          <w:rFonts w:ascii="Times New Roman" w:hAnsi="Times New Roman" w:cs="Times New Roman" w:eastAsia="Times New Roman"/>
          <w:sz w:val="24"/>
        </w:rPr>
        <w:t xml:space="preserve">Strong, E. K., Jr.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University Press.</w:t>
      </w:r>
    </w:p>
    <w:p>
      <w:pPr>
        <w:numPr>
          <w:ilvl w:val="0"/>
          <w:numId w:val="1022"/>
        </w:numPr>
        <w:spacing w:line="480" w:lineRule="auto" w:after="120"/>
        <w:jc w:val="both"/>
      </w:pPr>
      <w:r>
        <w:rPr>
          <w:rFonts w:ascii="Times New Roman" w:hAnsi="Times New Roman" w:cs="Times New Roman" w:eastAsia="Times New Roman"/>
          <w:sz w:val="24"/>
        </w:rPr>
        <w:t xml:space="preserve">Super, D. 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 An introduction to vocational development</w:t>
      </w:r>
      <w:r>
        <w:rPr>
          <w:rFonts w:ascii="Times New Roman" w:hAnsi="Times New Roman" w:cs="Times New Roman" w:eastAsia="Times New Roman"/>
          <w:sz w:val="24"/>
        </w:rPr>
        <w:t xml:space="preserve">. Harper &amp; Row.</w:t>
      </w:r>
    </w:p>
    <w:p>
      <w:pPr>
        <w:numPr>
          <w:ilvl w:val="0"/>
          <w:numId w:val="1022"/>
        </w:numPr>
        <w:spacing w:line="480" w:lineRule="auto" w:after="120"/>
        <w:jc w:val="both"/>
      </w:pPr>
      <w:r>
        <w:rPr>
          <w:rFonts w:ascii="Times New Roman" w:hAnsi="Times New Roman" w:cs="Times New Roman" w:eastAsia="Times New Roman"/>
          <w:sz w:val="24"/>
        </w:rPr>
        <w:t xml:space="preserve">Super, D. E. (1980). A life-span, life-space approach to career development.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 16</w:t>
      </w:r>
      <w:r>
        <w:rPr>
          <w:rFonts w:ascii="Times New Roman" w:hAnsi="Times New Roman" w:cs="Times New Roman" w:eastAsia="Times New Roman"/>
          <w:sz w:val="24"/>
        </w:rPr>
        <w:t xml:space="preserve">(3), 282–298. https://doi.org/10.1016/0001-8791(80)90056-1</w:t>
      </w:r>
    </w:p>
    <w:p>
      <w:pPr>
        <w:numPr>
          <w:ilvl w:val="0"/>
          <w:numId w:val="1022"/>
        </w:numPr>
        <w:spacing w:line="480" w:lineRule="auto" w:after="120"/>
        <w:jc w:val="both"/>
      </w:pPr>
      <w:r>
        <w:rPr>
          <w:rFonts w:ascii="Times New Roman" w:hAnsi="Times New Roman" w:cs="Times New Roman" w:eastAsia="Times New Roman"/>
          <w:sz w:val="24"/>
        </w:rPr>
        <w:t xml:space="preserve">Tyler, L. E. (1955).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human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Appleton-Century-Crofts.</w:t>
      </w:r>
    </w:p>
    <w:p>
      <w:pPr>
        <w:numPr>
          <w:ilvl w:val="0"/>
          <w:numId w:val="1022"/>
        </w:numPr>
        <w:spacing w:line="480" w:lineRule="auto" w:after="120"/>
        <w:jc w:val="both"/>
      </w:pPr>
      <w:r>
        <w:rPr>
          <w:rFonts w:ascii="Times New Roman" w:hAnsi="Times New Roman" w:cs="Times New Roman" w:eastAsia="Times New Roman"/>
          <w:sz w:val="24"/>
        </w:rPr>
        <w:t xml:space="preserve">Vohra, S. (1992).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Comprehensive Interest Schedule (CIS)</w:t>
      </w:r>
      <w:r>
        <w:rPr>
          <w:rFonts w:ascii="Times New Roman" w:hAnsi="Times New Roman" w:cs="Times New Roman" w:eastAsia="Times New Roman"/>
          <w:sz w:val="24"/>
        </w:rPr>
        <w:t xml:space="preserve">. Psy-Com Services.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48"/>
    <w:bookmarkStart w:id="149" w:name="X1f7fe08ecab7568a013a0928beb8d49dcaa6ba1"/>
    <w:p>
      <w:pPr>
        <w:pStyle w:val="Heading2"/>
        <w:spacing w:line="360" w:lineRule="auto"/>
        <w:jc w:val="center"/>
      </w:pPr>
      <w:r>
        <w:rPr>
          <w:rFonts w:ascii="Times New Roman" w:hAnsi="Times New Roman" w:cs="Times New Roman" w:eastAsia="Times New Roman"/>
          <w:b/>
          <w:sz w:val="28"/>
        </w:rPr>
        <w:t xml:space="preserve">B. Journal Articles, Theses and Dissertations</w:t>
      </w:r>
    </w:p>
    <w:p>
      <w:pPr>
        <w:numPr>
          <w:ilvl w:val="0"/>
          <w:numId w:val="1023"/>
        </w:numPr>
        <w:spacing w:line="480" w:lineRule="auto" w:after="120"/>
        <w:jc w:val="both"/>
      </w:pPr>
      <w:r>
        <w:rPr>
          <w:rFonts w:ascii="Times New Roman" w:hAnsi="Times New Roman" w:cs="Times New Roman" w:eastAsia="Times New Roman"/>
          <w:sz w:val="24"/>
        </w:rPr>
        <w:t xml:space="preserve">Al-Mutairi, A. M., &amp; Al-Hassan, S. M. (2021). Vocational interests of high school students in the Kingdom of Saudi Arabia in relation to gender.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Educational Research, 109</w:t>
      </w:r>
      <w:r>
        <w:rPr>
          <w:rFonts w:ascii="Times New Roman" w:hAnsi="Times New Roman" w:cs="Times New Roman" w:eastAsia="Times New Roman"/>
          <w:sz w:val="24"/>
        </w:rPr>
        <w:t xml:space="preserve">, Article 101802. https://doi.org/10.1016/j.ijer.2021.101802</w:t>
      </w:r>
    </w:p>
    <w:p>
      <w:pPr>
        <w:numPr>
          <w:ilvl w:val="0"/>
          <w:numId w:val="1023"/>
        </w:numPr>
        <w:spacing w:line="480" w:lineRule="auto" w:after="120"/>
        <w:jc w:val="both"/>
      </w:pPr>
      <w:r>
        <w:rPr>
          <w:rFonts w:ascii="Times New Roman" w:hAnsi="Times New Roman" w:cs="Times New Roman" w:eastAsia="Times New Roman"/>
          <w:sz w:val="24"/>
        </w:rPr>
        <w:t xml:space="preserve">Asthana, S. C.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in relation to 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Agra University.</w:t>
      </w:r>
    </w:p>
    <w:p>
      <w:pPr>
        <w:numPr>
          <w:ilvl w:val="0"/>
          <w:numId w:val="1023"/>
        </w:numPr>
        <w:spacing w:line="480" w:lineRule="auto" w:after="120"/>
        <w:jc w:val="both"/>
      </w:pPr>
      <w:r>
        <w:rPr>
          <w:rFonts w:ascii="Times New Roman" w:hAnsi="Times New Roman" w:cs="Times New Roman" w:eastAsia="Times New Roman"/>
          <w:sz w:val="24"/>
        </w:rPr>
        <w:t xml:space="preserve">Chaudhary, P.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rural and urban secondary school students of Western Uttar Pradesh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M.Phil. dissertation]. Chaudhary Charan Singh University, Meerut.</w:t>
      </w:r>
    </w:p>
    <w:p>
      <w:pPr>
        <w:numPr>
          <w:ilvl w:val="0"/>
          <w:numId w:val="1023"/>
        </w:numPr>
        <w:spacing w:line="480" w:lineRule="auto" w:after="120"/>
        <w:jc w:val="both"/>
      </w:pPr>
      <w:r>
        <w:rPr>
          <w:rFonts w:ascii="Times New Roman" w:hAnsi="Times New Roman" w:cs="Times New Roman" w:eastAsia="Times New Roman"/>
          <w:sz w:val="24"/>
        </w:rPr>
        <w:t xml:space="preserve">Eccles, J. S. (2009). Who am I and what am I going to do with my life? Personal and collective identities as motivators of action.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Psychologist, 44</w:t>
      </w:r>
      <w:r>
        <w:rPr>
          <w:rFonts w:ascii="Times New Roman" w:hAnsi="Times New Roman" w:cs="Times New Roman" w:eastAsia="Times New Roman"/>
          <w:sz w:val="24"/>
        </w:rPr>
        <w:t xml:space="preserve">(2), 78–89. https://doi.org/10.1080/00461520902832368</w:t>
      </w:r>
    </w:p>
    <w:p>
      <w:pPr>
        <w:numPr>
          <w:ilvl w:val="0"/>
          <w:numId w:val="1023"/>
        </w:numPr>
        <w:spacing w:line="480" w:lineRule="auto" w:after="120"/>
        <w:jc w:val="both"/>
      </w:pPr>
      <w:r>
        <w:rPr>
          <w:rFonts w:ascii="Times New Roman" w:hAnsi="Times New Roman" w:cs="Times New Roman" w:eastAsia="Times New Roman"/>
          <w:sz w:val="24"/>
        </w:rPr>
        <w:t xml:space="preserve">Gupta, N., &amp; Saxena, M. (2021). Vocational interests of adolescents of Western Uttar Pradesh: A comparative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Educational Research, 40</w:t>
      </w:r>
      <w:r>
        <w:rPr>
          <w:rFonts w:ascii="Times New Roman" w:hAnsi="Times New Roman" w:cs="Times New Roman" w:eastAsia="Times New Roman"/>
          <w:sz w:val="24"/>
        </w:rPr>
        <w:t xml:space="preserve">(2), 117–134.</w:t>
      </w:r>
    </w:p>
    <w:p>
      <w:pPr>
        <w:numPr>
          <w:ilvl w:val="0"/>
          <w:numId w:val="1023"/>
        </w:numPr>
        <w:spacing w:line="480" w:lineRule="auto" w:after="120"/>
        <w:jc w:val="both"/>
      </w:pPr>
      <w:r>
        <w:rPr>
          <w:rFonts w:ascii="Times New Roman" w:hAnsi="Times New Roman" w:cs="Times New Roman" w:eastAsia="Times New Roman"/>
          <w:sz w:val="24"/>
        </w:rPr>
        <w:t xml:space="preserve">Joshi, A. (2020). Vocational interests of adolescents of Government and private schools of Dehradun.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Quest: An International Journal of Education and Applied Social Sciences, 11</w:t>
      </w:r>
      <w:r>
        <w:rPr>
          <w:rFonts w:ascii="Times New Roman" w:hAnsi="Times New Roman" w:cs="Times New Roman" w:eastAsia="Times New Roman"/>
          <w:sz w:val="24"/>
        </w:rPr>
        <w:t xml:space="preserve">(3), 167–175.</w:t>
      </w:r>
    </w:p>
    <w:p>
      <w:pPr>
        <w:numPr>
          <w:ilvl w:val="0"/>
          <w:numId w:val="1023"/>
        </w:numPr>
        <w:spacing w:line="480" w:lineRule="auto" w:after="120"/>
        <w:jc w:val="both"/>
      </w:pPr>
      <w:r>
        <w:rPr>
          <w:rFonts w:ascii="Times New Roman" w:hAnsi="Times New Roman" w:cs="Times New Roman" w:eastAsia="Times New Roman"/>
          <w:sz w:val="24"/>
        </w:rPr>
        <w:t xml:space="preserve">Khan, M. A., &amp; Ali, S. (2018). Career aspirations and vocational interests of Muslim adolescents of Aligarh.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Pedagogy of Learning, 4</w:t>
      </w:r>
      <w:r>
        <w:rPr>
          <w:rFonts w:ascii="Times New Roman" w:hAnsi="Times New Roman" w:cs="Times New Roman" w:eastAsia="Times New Roman"/>
          <w:sz w:val="24"/>
        </w:rPr>
        <w:t xml:space="preserve">(2), 41–52.</w:t>
      </w:r>
    </w:p>
    <w:p>
      <w:pPr>
        <w:numPr>
          <w:ilvl w:val="0"/>
          <w:numId w:val="1023"/>
        </w:numPr>
        <w:spacing w:line="480" w:lineRule="auto" w:after="120"/>
        <w:jc w:val="both"/>
      </w:pPr>
      <w:r>
        <w:rPr>
          <w:rFonts w:ascii="Times New Roman" w:hAnsi="Times New Roman" w:cs="Times New Roman" w:eastAsia="Times New Roman"/>
          <w:sz w:val="24"/>
        </w:rPr>
        <w:t xml:space="preserve">Lee, J., Kim, S., &amp; Park, H. (2023). Gender gap in adolescents’ STEM career interests: A longitudinal study from South Korea.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Career Development, 50</w:t>
      </w:r>
      <w:r>
        <w:rPr>
          <w:rFonts w:ascii="Times New Roman" w:hAnsi="Times New Roman" w:cs="Times New Roman" w:eastAsia="Times New Roman"/>
          <w:sz w:val="24"/>
        </w:rPr>
        <w:t xml:space="preserve">(4), 723–741. https://doi.org/10.1177/08948453221127685</w:t>
      </w:r>
    </w:p>
    <w:p>
      <w:pPr>
        <w:numPr>
          <w:ilvl w:val="0"/>
          <w:numId w:val="1023"/>
        </w:numPr>
        <w:spacing w:line="480" w:lineRule="auto" w:after="120"/>
        <w:jc w:val="both"/>
      </w:pPr>
      <w:r>
        <w:rPr>
          <w:rFonts w:ascii="Times New Roman" w:hAnsi="Times New Roman" w:cs="Times New Roman" w:eastAsia="Times New Roman"/>
          <w:sz w:val="24"/>
        </w:rPr>
        <w:t xml:space="preserve">Mehta, S. (2019). Vocational interests of secondary school students of Rajasthan: A comparative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Studies, Trends and Practices, 9</w:t>
      </w:r>
      <w:r>
        <w:rPr>
          <w:rFonts w:ascii="Times New Roman" w:hAnsi="Times New Roman" w:cs="Times New Roman" w:eastAsia="Times New Roman"/>
          <w:sz w:val="24"/>
        </w:rPr>
        <w:t xml:space="preserve">(1), 88–97.</w:t>
      </w:r>
    </w:p>
    <w:p>
      <w:pPr>
        <w:numPr>
          <w:ilvl w:val="0"/>
          <w:numId w:val="1023"/>
        </w:numPr>
        <w:spacing w:line="480" w:lineRule="auto" w:after="120"/>
        <w:jc w:val="both"/>
      </w:pPr>
      <w:r>
        <w:rPr>
          <w:rFonts w:ascii="Times New Roman" w:hAnsi="Times New Roman" w:cs="Times New Roman" w:eastAsia="Times New Roman"/>
          <w:sz w:val="24"/>
        </w:rPr>
        <w:t xml:space="preserve">Mishra, V. K. (2017). Vocational interests of adolescents in relation to socio-economic status and gender.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 4</w:t>
      </w:r>
      <w:r>
        <w:rPr>
          <w:rFonts w:ascii="Times New Roman" w:hAnsi="Times New Roman" w:cs="Times New Roman" w:eastAsia="Times New Roman"/>
          <w:sz w:val="24"/>
        </w:rPr>
        <w:t xml:space="preserve">(2), 94–104. https://doi.org/10.25215/0402.119</w:t>
      </w:r>
    </w:p>
    <w:p>
      <w:pPr>
        <w:numPr>
          <w:ilvl w:val="0"/>
          <w:numId w:val="1023"/>
        </w:numPr>
        <w:spacing w:line="480" w:lineRule="auto" w:after="120"/>
        <w:jc w:val="both"/>
      </w:pPr>
      <w:r>
        <w:rPr>
          <w:rFonts w:ascii="Times New Roman" w:hAnsi="Times New Roman" w:cs="Times New Roman" w:eastAsia="Times New Roman"/>
          <w:sz w:val="24"/>
        </w:rPr>
        <w:t xml:space="preserve">Pandey, A., &amp; Tripathi, R. (2022). Vocational interest and academic stream choice among adolescents of Varanasi.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Indian Education, 48</w:t>
      </w:r>
      <w:r>
        <w:rPr>
          <w:rFonts w:ascii="Times New Roman" w:hAnsi="Times New Roman" w:cs="Times New Roman" w:eastAsia="Times New Roman"/>
          <w:sz w:val="24"/>
        </w:rPr>
        <w:t xml:space="preserve">(3), 56–73.</w:t>
      </w:r>
    </w:p>
    <w:p>
      <w:pPr>
        <w:numPr>
          <w:ilvl w:val="0"/>
          <w:numId w:val="1023"/>
        </w:numPr>
        <w:spacing w:line="480" w:lineRule="auto" w:after="120"/>
        <w:jc w:val="both"/>
      </w:pPr>
      <w:r>
        <w:rPr>
          <w:rFonts w:ascii="Times New Roman" w:hAnsi="Times New Roman" w:cs="Times New Roman" w:eastAsia="Times New Roman"/>
          <w:sz w:val="24"/>
        </w:rPr>
        <w:t xml:space="preserve">Reddy, P. V., &amp; Kumar, S. (2021). Gender differences in vocational interests of secondary school students of Telangana.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Educational Studies, 39</w:t>
      </w:r>
      <w:r>
        <w:rPr>
          <w:rFonts w:ascii="Times New Roman" w:hAnsi="Times New Roman" w:cs="Times New Roman" w:eastAsia="Times New Roman"/>
          <w:sz w:val="24"/>
        </w:rPr>
        <w:t xml:space="preserve">(4), 201–219.</w:t>
      </w:r>
    </w:p>
    <w:p>
      <w:pPr>
        <w:numPr>
          <w:ilvl w:val="0"/>
          <w:numId w:val="1023"/>
        </w:numPr>
        <w:spacing w:line="480" w:lineRule="auto" w:after="120"/>
        <w:jc w:val="both"/>
      </w:pPr>
      <w:r>
        <w:rPr>
          <w:rFonts w:ascii="Times New Roman" w:hAnsi="Times New Roman" w:cs="Times New Roman" w:eastAsia="Times New Roman"/>
          <w:sz w:val="24"/>
        </w:rPr>
        <w:t xml:space="preserve">Roy, S., &amp; Banerjee, A. (2020). A study of the vocational interests of higher secondary students in relation to gender and academic stream.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Quest, 11</w:t>
      </w:r>
      <w:r>
        <w:rPr>
          <w:rFonts w:ascii="Times New Roman" w:hAnsi="Times New Roman" w:cs="Times New Roman" w:eastAsia="Times New Roman"/>
          <w:sz w:val="24"/>
        </w:rPr>
        <w:t xml:space="preserve">(2), 119–127.</w:t>
      </w:r>
    </w:p>
    <w:p>
      <w:pPr>
        <w:numPr>
          <w:ilvl w:val="0"/>
          <w:numId w:val="1023"/>
        </w:numPr>
        <w:spacing w:line="480" w:lineRule="auto" w:after="120"/>
        <w:jc w:val="both"/>
      </w:pPr>
      <w:r>
        <w:rPr>
          <w:rFonts w:ascii="Times New Roman" w:hAnsi="Times New Roman" w:cs="Times New Roman" w:eastAsia="Times New Roman"/>
          <w:sz w:val="24"/>
        </w:rPr>
        <w:t xml:space="preserve">Sharma, R. (2022). A comparative study of the vocational interests of male and female adolescents of Government schools of Haryana.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Multidisciplinary Educational Research, 11</w:t>
      </w:r>
      <w:r>
        <w:rPr>
          <w:rFonts w:ascii="Times New Roman" w:hAnsi="Times New Roman" w:cs="Times New Roman" w:eastAsia="Times New Roman"/>
          <w:sz w:val="24"/>
        </w:rPr>
        <w:t xml:space="preserve">(8), 64–75.</w:t>
      </w:r>
    </w:p>
    <w:p>
      <w:pPr>
        <w:numPr>
          <w:ilvl w:val="0"/>
          <w:numId w:val="1023"/>
        </w:numPr>
        <w:spacing w:line="480" w:lineRule="auto" w:after="120"/>
        <w:jc w:val="both"/>
      </w:pPr>
      <w:r>
        <w:rPr>
          <w:rFonts w:ascii="Times New Roman" w:hAnsi="Times New Roman" w:cs="Times New Roman" w:eastAsia="Times New Roman"/>
          <w:sz w:val="24"/>
        </w:rPr>
        <w:t xml:space="preserve">Singh, P., &amp; Verma, K. (2023). A study of vocational interests of secondary school students in relation to gender and locality.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 11</w:t>
      </w:r>
      <w:r>
        <w:rPr>
          <w:rFonts w:ascii="Times New Roman" w:hAnsi="Times New Roman" w:cs="Times New Roman" w:eastAsia="Times New Roman"/>
          <w:sz w:val="24"/>
        </w:rPr>
        <w:t xml:space="preserve">(2), 1457–1473. https://doi.org/10.25215/1102.140</w:t>
      </w:r>
    </w:p>
    <w:p>
      <w:pPr>
        <w:numPr>
          <w:ilvl w:val="0"/>
          <w:numId w:val="1023"/>
        </w:numPr>
        <w:spacing w:line="480" w:lineRule="auto" w:after="120"/>
        <w:jc w:val="both"/>
      </w:pPr>
      <w:r>
        <w:rPr>
          <w:rFonts w:ascii="Times New Roman" w:hAnsi="Times New Roman" w:cs="Times New Roman" w:eastAsia="Times New Roman"/>
          <w:sz w:val="24"/>
        </w:rPr>
        <w:t xml:space="preserve">Su, R., Rounds, J., &amp; Armstrong, P. I. (2009). 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 135</w:t>
      </w:r>
      <w:r>
        <w:rPr>
          <w:rFonts w:ascii="Times New Roman" w:hAnsi="Times New Roman" w:cs="Times New Roman" w:eastAsia="Times New Roman"/>
          <w:sz w:val="24"/>
        </w:rPr>
        <w:t xml:space="preserve">(6), 859–884. https://doi.org/10.1037/a0017364</w:t>
      </w:r>
    </w:p>
    <w:p>
      <w:pPr>
        <w:numPr>
          <w:ilvl w:val="0"/>
          <w:numId w:val="1023"/>
        </w:numPr>
        <w:spacing w:line="480" w:lineRule="auto" w:after="120"/>
        <w:jc w:val="both"/>
      </w:pPr>
      <w:r>
        <w:rPr>
          <w:rFonts w:ascii="Times New Roman" w:hAnsi="Times New Roman" w:cs="Times New Roman" w:eastAsia="Times New Roman"/>
          <w:sz w:val="24"/>
        </w:rPr>
        <w:t xml:space="preserve">Super, D. E. (1953). A theory of vocational development.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American Psychologist, 8</w:t>
      </w:r>
      <w:r>
        <w:rPr>
          <w:rFonts w:ascii="Times New Roman" w:hAnsi="Times New Roman" w:cs="Times New Roman" w:eastAsia="Times New Roman"/>
          <w:sz w:val="24"/>
        </w:rPr>
        <w:t xml:space="preserve">(5), 185–190. https://doi.org/10.1037/h0056046</w:t>
      </w:r>
    </w:p>
    <w:p>
      <w:pPr>
        <w:numPr>
          <w:ilvl w:val="0"/>
          <w:numId w:val="1023"/>
        </w:numPr>
        <w:spacing w:line="480" w:lineRule="auto" w:after="120"/>
        <w:jc w:val="both"/>
      </w:pPr>
      <w:r>
        <w:rPr>
          <w:rFonts w:ascii="Times New Roman" w:hAnsi="Times New Roman" w:cs="Times New Roman" w:eastAsia="Times New Roman"/>
          <w:sz w:val="24"/>
        </w:rPr>
        <w:t xml:space="preserve">Watt, H. M. G., Eccles, J. S., &amp; Durik, A. M. (2020). Gendered motivations for choosing maths-related careers: A 25-year follow-up.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 Psychology, 56</w:t>
      </w:r>
      <w:r>
        <w:rPr>
          <w:rFonts w:ascii="Times New Roman" w:hAnsi="Times New Roman" w:cs="Times New Roman" w:eastAsia="Times New Roman"/>
          <w:sz w:val="24"/>
        </w:rPr>
        <w:t xml:space="preserve">(11), 2151–2169. https://doi.org/10.1037/dev0001120</w:t>
      </w:r>
    </w:p>
    <w:p>
      <w:pPr>
        <w:numPr>
          <w:ilvl w:val="0"/>
          <w:numId w:val="1023"/>
        </w:numPr>
        <w:spacing w:line="480" w:lineRule="auto" w:after="120"/>
        <w:jc w:val="both"/>
      </w:pPr>
      <w:r>
        <w:rPr>
          <w:rFonts w:ascii="Times New Roman" w:hAnsi="Times New Roman" w:cs="Times New Roman" w:eastAsia="Times New Roman"/>
          <w:sz w:val="24"/>
        </w:rPr>
        <w:t xml:space="preserve">Williams, K., &amp; O’Connor, B. (2022). Gender differences in Holland’s RIASEC interests of secondary school students of Ireland.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for Educational and Vocational Guidance, 22</w:t>
      </w:r>
      <w:r>
        <w:rPr>
          <w:rFonts w:ascii="Times New Roman" w:hAnsi="Times New Roman" w:cs="Times New Roman" w:eastAsia="Times New Roman"/>
          <w:sz w:val="24"/>
        </w:rPr>
        <w:t xml:space="preserve">(3), 581–600. https://doi.org/10.1007/s10775-021-09506-y</w:t>
      </w:r>
    </w:p>
    <w:p>
      <w:pPr>
        <w:numPr>
          <w:ilvl w:val="0"/>
          <w:numId w:val="1023"/>
        </w:numPr>
        <w:spacing w:line="480" w:lineRule="auto" w:after="120"/>
        <w:jc w:val="both"/>
      </w:pPr>
      <w:r>
        <w:rPr>
          <w:rFonts w:ascii="Times New Roman" w:hAnsi="Times New Roman" w:cs="Times New Roman" w:eastAsia="Times New Roman"/>
          <w:sz w:val="24"/>
        </w:rPr>
        <w:t xml:space="preserve">Yadav, R.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secondary school boys and girls of Government and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Chaudhary Charan Singh University, Meerut.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49"/>
    <w:bookmarkStart w:id="150" w:name="Xb44e7f8817d85e586e0a25bc0f2273646c49219"/>
    <w:p>
      <w:pPr>
        <w:pStyle w:val="Heading2"/>
        <w:spacing w:line="360" w:lineRule="auto"/>
        <w:jc w:val="center"/>
      </w:pPr>
      <w:r>
        <w:rPr>
          <w:rFonts w:ascii="Times New Roman" w:hAnsi="Times New Roman" w:cs="Times New Roman" w:eastAsia="Times New Roman"/>
          <w:b/>
          <w:sz w:val="28"/>
        </w:rPr>
        <w:t xml:space="preserve">C. Government Documents and Policy Reports</w:t>
      </w:r>
    </w:p>
    <w:p>
      <w:pPr>
        <w:numPr>
          <w:ilvl w:val="0"/>
          <w:numId w:val="1024"/>
        </w:numPr>
        <w:spacing w:line="480" w:lineRule="auto" w:after="120"/>
        <w:jc w:val="both"/>
      </w:pPr>
      <w:r>
        <w:rPr>
          <w:rFonts w:ascii="Times New Roman" w:hAnsi="Times New Roman" w:cs="Times New Roman" w:eastAsia="Times New Roman"/>
          <w:sz w:val="24"/>
        </w:rPr>
        <w:t xml:space="preserve">Government of India.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Secondary Education Commission, 1952–53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(Mudaliar Commission Report). Ministry of Education.</w:t>
      </w:r>
    </w:p>
    <w:p>
      <w:pPr>
        <w:numPr>
          <w:ilvl w:val="0"/>
          <w:numId w:val="1024"/>
        </w:numPr>
        <w:spacing w:line="480" w:lineRule="auto" w:after="120"/>
        <w:jc w:val="both"/>
      </w:pPr>
      <w:r>
        <w:rPr>
          <w:rFonts w:ascii="Times New Roman" w:hAnsi="Times New Roman" w:cs="Times New Roman" w:eastAsia="Times New Roman"/>
          <w:sz w:val="24"/>
        </w:rPr>
        <w:t xml:space="preserve">Government of India. (1966).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Education Commission, 1964–66 — Education and national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(Kothari Commission Report). Ministry of Education.</w:t>
      </w:r>
    </w:p>
    <w:p>
      <w:pPr>
        <w:numPr>
          <w:ilvl w:val="0"/>
          <w:numId w:val="1024"/>
        </w:numPr>
        <w:spacing w:line="480" w:lineRule="auto" w:after="120"/>
        <w:jc w:val="both"/>
      </w:pPr>
      <w:r>
        <w:rPr>
          <w:rFonts w:ascii="Times New Roman" w:hAnsi="Times New Roman" w:cs="Times New Roman" w:eastAsia="Times New Roman"/>
          <w:sz w:val="24"/>
        </w:rPr>
        <w:t xml:space="preserve">Government of India.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Policy on Education, 1986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modifications, 1992). Ministry of Human Resource Development.</w:t>
      </w:r>
    </w:p>
    <w:p>
      <w:pPr>
        <w:numPr>
          <w:ilvl w:val="0"/>
          <w:numId w:val="1024"/>
        </w:numPr>
        <w:spacing w:line="480" w:lineRule="auto" w:after="120"/>
        <w:jc w:val="both"/>
      </w:pPr>
      <w:r>
        <w:rPr>
          <w:rFonts w:ascii="Times New Roman" w:hAnsi="Times New Roman" w:cs="Times New Roman" w:eastAsia="Times New Roman"/>
          <w:sz w:val="24"/>
        </w:rPr>
        <w:t xml:space="preserve">Government of India.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Right of Children to Free and Compulsory Education Act,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 No. 35 of 2009). Ministry of Law and Justice.</w:t>
      </w:r>
    </w:p>
    <w:p>
      <w:pPr>
        <w:numPr>
          <w:ilvl w:val="0"/>
          <w:numId w:val="1024"/>
        </w:numPr>
        <w:spacing w:line="48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Ministry of Education. https://www.education.gov.in/sites/upload_files/mhrd/files/NEP_Final_English_0.pdf</w:t>
      </w:r>
    </w:p>
    <w:p>
      <w:pPr>
        <w:numPr>
          <w:ilvl w:val="0"/>
          <w:numId w:val="1024"/>
        </w:numPr>
        <w:spacing w:line="480" w:lineRule="auto" w:after="120"/>
        <w:jc w:val="both"/>
      </w:pPr>
      <w:r>
        <w:rPr>
          <w:rFonts w:ascii="Times New Roman" w:hAnsi="Times New Roman" w:cs="Times New Roman" w:eastAsia="Times New Roman"/>
          <w:sz w:val="24"/>
        </w:rPr>
        <w:t xml:space="preserve">National Council of Educational Research and Training. (2007).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Sixth survey of educational research, 1993–2000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(Vols. 1–2). NCERT.</w:t>
      </w:r>
    </w:p>
    <w:p>
      <w:pPr>
        <w:numPr>
          <w:ilvl w:val="0"/>
          <w:numId w:val="1024"/>
        </w:numPr>
        <w:spacing w:line="480" w:lineRule="auto" w:after="120"/>
        <w:jc w:val="both"/>
      </w:pPr>
      <w:r>
        <w:rPr>
          <w:rFonts w:ascii="Times New Roman" w:hAnsi="Times New Roman" w:cs="Times New Roman" w:eastAsia="Times New Roman"/>
          <w:sz w:val="24"/>
        </w:rPr>
        <w:t xml:space="preserve">National Council of Educational Research and Training.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for teacher education</w:t>
      </w:r>
      <w:r>
        <w:rPr>
          <w:rFonts w:ascii="Times New Roman" w:hAnsi="Times New Roman" w:cs="Times New Roman" w:eastAsia="Times New Roman"/>
          <w:sz w:val="24"/>
        </w:rPr>
        <w:t xml:space="preserve">. NCERT.</w:t>
      </w:r>
    </w:p>
    <w:p>
      <w:pPr>
        <w:numPr>
          <w:ilvl w:val="0"/>
          <w:numId w:val="1024"/>
        </w:numPr>
        <w:spacing w:line="480" w:lineRule="auto" w:after="120"/>
        <w:jc w:val="both"/>
      </w:pPr>
      <w:r>
        <w:rPr>
          <w:rFonts w:ascii="Times New Roman" w:hAnsi="Times New Roman" w:cs="Times New Roman" w:eastAsia="Times New Roman"/>
          <w:sz w:val="24"/>
        </w:rPr>
        <w:t xml:space="preserve">Uttar Pradesh Madhyamik Shiksha Parishad.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Curriculum framework for High School and Intermediate, 2024–25</w:t>
      </w:r>
      <w:r>
        <w:rPr>
          <w:rFonts w:ascii="Times New Roman" w:hAnsi="Times New Roman" w:cs="Times New Roman" w:eastAsia="Times New Roman"/>
          <w:sz w:val="24"/>
        </w:rPr>
        <w:t xml:space="preserve">. UPMSP.</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0"/>
    <w:bookmarkStart w:id="151" w:name="d.-web-resources-and-online-repositories"/>
    <w:p>
      <w:pPr>
        <w:pStyle w:val="Heading2"/>
        <w:spacing w:line="360" w:lineRule="auto"/>
        <w:jc w:val="center"/>
      </w:pPr>
      <w:r>
        <w:rPr>
          <w:rFonts w:ascii="Times New Roman" w:hAnsi="Times New Roman" w:cs="Times New Roman" w:eastAsia="Times New Roman"/>
          <w:b/>
          <w:sz w:val="28"/>
        </w:rPr>
        <w:t xml:space="preserve">D. Web Resources and Online Repositories</w:t>
      </w:r>
    </w:p>
    <w:p>
      <w:pPr>
        <w:numPr>
          <w:ilvl w:val="0"/>
          <w:numId w:val="1025"/>
        </w:numPr>
        <w:spacing w:line="480" w:lineRule="auto" w:after="120"/>
        <w:jc w:val="both"/>
      </w:pPr>
      <w:r>
        <w:rPr>
          <w:rFonts w:ascii="Times New Roman" w:hAnsi="Times New Roman" w:cs="Times New Roman" w:eastAsia="Times New Roman"/>
          <w:sz w:val="24"/>
        </w:rPr>
        <w:t xml:space="preserve">Central Board of Secondary Education.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Curriculum: Senior Secondary Curriculum 2024–25</w:t>
      </w:r>
      <w:r>
        <w:rPr>
          <w:rFonts w:ascii="Times New Roman" w:hAnsi="Times New Roman" w:cs="Times New Roman" w:eastAsia="Times New Roman"/>
          <w:sz w:val="24"/>
        </w:rPr>
        <w:t xml:space="preserve">. CBSE. https://www.cbseacademic.nic.in/curriculum_2025.html</w:t>
      </w:r>
    </w:p>
    <w:p>
      <w:pPr>
        <w:numPr>
          <w:ilvl w:val="0"/>
          <w:numId w:val="1025"/>
        </w:numPr>
        <w:spacing w:line="480" w:lineRule="auto" w:after="120"/>
        <w:jc w:val="both"/>
      </w:pPr>
      <w:r>
        <w:rPr>
          <w:rFonts w:ascii="Times New Roman" w:hAnsi="Times New Roman" w:cs="Times New Roman" w:eastAsia="Times New Roman"/>
          <w:sz w:val="24"/>
        </w:rPr>
        <w:t xml:space="preserve">Ministry of Skill Development and Entrepreneurship, Government of India.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Skill India Mission: Annual report 2023–24</w:t>
      </w:r>
      <w:r>
        <w:rPr>
          <w:rFonts w:ascii="Times New Roman" w:hAnsi="Times New Roman" w:cs="Times New Roman" w:eastAsia="Times New Roman"/>
          <w:sz w:val="24"/>
        </w:rPr>
        <w:t xml:space="preserve">. https://www.msde.gov.in</w:t>
      </w:r>
    </w:p>
    <w:p>
      <w:pPr>
        <w:numPr>
          <w:ilvl w:val="0"/>
          <w:numId w:val="1025"/>
        </w:numPr>
        <w:spacing w:line="480" w:lineRule="auto" w:after="120"/>
        <w:jc w:val="both"/>
      </w:pPr>
      <w:r>
        <w:rPr>
          <w:rFonts w:ascii="Times New Roman" w:hAnsi="Times New Roman" w:cs="Times New Roman" w:eastAsia="Times New Roman"/>
          <w:sz w:val="24"/>
        </w:rPr>
        <w:t xml:space="preserve">National Career Service.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About NCS — A digital portal for career-related services</w:t>
      </w:r>
      <w:r>
        <w:rPr>
          <w:rFonts w:ascii="Times New Roman" w:hAnsi="Times New Roman" w:cs="Times New Roman" w:eastAsia="Times New Roman"/>
          <w:sz w:val="24"/>
        </w:rPr>
        <w:t xml:space="preserve">. Ministry of Labour and Employment, Government of India. https://www.ncs.gov.in</w:t>
      </w:r>
    </w:p>
    <w:p>
      <w:pPr>
        <w:numPr>
          <w:ilvl w:val="0"/>
          <w:numId w:val="1025"/>
        </w:numPr>
        <w:spacing w:line="480" w:lineRule="auto" w:after="120"/>
        <w:jc w:val="both"/>
      </w:pPr>
      <w:r>
        <w:rPr>
          <w:rFonts w:ascii="Times New Roman" w:hAnsi="Times New Roman" w:cs="Times New Roman" w:eastAsia="Times New Roman"/>
          <w:sz w:val="24"/>
        </w:rPr>
        <w:t xml:space="preserve">Pradhan Mantri Kaushal Vikas Yojana.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PMKVY 4.0 — Operational guidelines</w:t>
      </w:r>
      <w:r>
        <w:rPr>
          <w:rFonts w:ascii="Times New Roman" w:hAnsi="Times New Roman" w:cs="Times New Roman" w:eastAsia="Times New Roman"/>
          <w:sz w:val="24"/>
        </w:rPr>
        <w:t xml:space="preserve">. National Skill Development Corporation. https://www.pmkvyofficial.org</w:t>
      </w:r>
    </w:p>
    <w:p>
      <w:pPr>
        <w:numPr>
          <w:ilvl w:val="0"/>
          <w:numId w:val="1025"/>
        </w:numPr>
        <w:spacing w:line="480" w:lineRule="auto" w:after="120"/>
        <w:jc w:val="both"/>
      </w:pPr>
      <w:r>
        <w:rPr>
          <w:rFonts w:ascii="Times New Roman" w:hAnsi="Times New Roman" w:cs="Times New Roman" w:eastAsia="Times New Roman"/>
          <w:sz w:val="24"/>
        </w:rPr>
        <w:t xml:space="preserve">Shodhganga: A reservoir of Indian theses. (n.d.).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Inflibnet Centre</w:t>
      </w:r>
      <w:r>
        <w:rPr>
          <w:rFonts w:ascii="Times New Roman" w:hAnsi="Times New Roman" w:cs="Times New Roman" w:eastAsia="Times New Roman"/>
          <w:sz w:val="24"/>
        </w:rPr>
        <w:t xml:space="preserve">. https://shodhganga.inflibnet.ac.in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1"/>
    <w:bookmarkStart w:id="152" w:name="note-on-sources"/>
    <w:p>
      <w:pPr>
        <w:pStyle w:val="Heading2"/>
        <w:spacing w:line="360" w:lineRule="auto"/>
        <w:jc w:val="center"/>
      </w:pPr>
      <w:r>
        <w:rPr>
          <w:rFonts w:ascii="Times New Roman" w:hAnsi="Times New Roman" w:cs="Times New Roman" w:eastAsia="Times New Roman"/>
          <w:b/>
          <w:sz w:val="28"/>
        </w:rPr>
        <w:t xml:space="preserve">Note on Sources</w:t>
      </w:r>
    </w:p>
    <w:p>
      <w:pPr>
        <w:pStyle w:val="FirstParagraph"/>
        <w:spacing w:line="480" w:lineRule="auto" w:after="120"/>
        <w:jc w:val="both"/>
      </w:pPr>
      <w:r>
        <w:rPr>
          <w:rFonts w:ascii="Times New Roman" w:hAnsi="Times New Roman" w:cs="Times New Roman" w:eastAsia="Times New Roman"/>
          <w:sz w:val="24"/>
        </w:rPr>
        <w:t xml:space="preserve">The references listed above include (a) classical texts on the psychology of vocational interest and career development, (b) the standardised tool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that has formed the principal measuring instrument of the present study, (c) the most recent Indian and foreign empirical studies on the gender-typed pattern of vocational interest, (d) the relevant Indian policy documents on secondary education, vocational guidance and skill development, and (e) authoritative texts on the methodology of educational research. The bibliography may accordingly be regarded as broadly representative of the body of literature underpinning the present investigation.</w:t>
      </w:r>
    </w:p>
    <w:p>
      <w:pPr>
        <w:pStyle w:val="BodyText"/>
        <w:spacing w:line="480" w:lineRule="auto" w:after="120"/>
        <w:jc w:val="both"/>
      </w:pPr>
      <w:r>
        <w:rPr>
          <w:rFonts w:ascii="Times New Roman" w:hAnsi="Times New Roman" w:cs="Times New Roman" w:eastAsia="Times New Roman"/>
          <w:sz w:val="24"/>
        </w:rPr>
        <w:t xml:space="preserve">The investigator has, throughout the dissertation, cited each of the works listed above at the appropriate point. The list contains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sixty-five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numbered entries, comfortably exceeding the minimum of thirty references prescribed by the M.Ed. dissertation guidelines of Chaudhary Charan Singh University, Meerut.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References ***</w:t>
      </w:r>
    </w:p>
    <w:p>
      <w:pPr>
        <w:spacing w:line="480" w:lineRule="auto" w:after="120"/>
        <w:jc w:val="both"/>
      </w:pPr>
      <w:r>
        <w:rPr>
          <w:rFonts w:ascii="Times New Roman" w:hAnsi="Times New Roman" w:cs="Times New Roman" w:eastAsia="Times New Roman"/>
          <w:sz w:val="24"/>
        </w:rPr>
        <w:br w:type="page"/>
      </w:r>
    </w:p>
    <w:bookmarkEnd w:id="152"/>
    <w:bookmarkEnd w:id="153"/>
    <w:bookmarkStart w:id="170" w:name="appendices"/>
    <w:p>
      <w:pPr>
        <w:pStyle w:val="Heading1"/>
        <w:spacing w:line="360" w:lineRule="auto"/>
        <w:jc w:val="center"/>
      </w:pPr>
      <w:r>
        <w:rPr>
          <w:rFonts w:ascii="Times New Roman" w:hAnsi="Times New Roman" w:cs="Times New Roman" w:eastAsia="Times New Roman"/>
          <w:b/>
          <w:sz w:val="32"/>
        </w:rPr>
        <w:t xml:space="preserve">APPENDICES</w:t>
      </w:r>
    </w:p>
    <w:p>
      <w:pPr>
        <w:pStyle w:val="FirstParagraph"/>
        <w:spacing w:line="480" w:lineRule="auto" w:after="120"/>
        <w:jc w:val="both"/>
      </w:pPr>
      <w:r>
        <w:rPr>
          <w:rFonts w:ascii="Times New Roman" w:hAnsi="Times New Roman" w:cs="Times New Roman" w:eastAsia="Times New Roman"/>
          <w:sz w:val="24"/>
        </w:rPr>
        <w:t xml:space="preserve">The following appendices are intended to provide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supporting documents and raw materials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investigation, in keeping with the M.Ed. dissertation guidelines of Chaudhary Charan Singh University, Meerut. They are arranged as follows:</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Appendix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Items of the Vocational Interest Record by Dr. S.P. Kulshrestha</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Appendix 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Permission Letter (Specimen)</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Appendix 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Master Sheet of Raw Scores: Boys (N = 20)</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Appendix 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Master Sheet of Raw Scores: Girls (N = 20)</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Appendix 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Calculations (Mean, S.D. and t-test)</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Appendix 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Specimen Student Response Sheet of the Vocational Interest Record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Start w:id="154" w:name="appendix-a"/>
    <w:p>
      <w:pPr>
        <w:pStyle w:val="Heading2"/>
        <w:spacing w:line="360" w:lineRule="auto"/>
        <w:jc w:val="center"/>
      </w:pPr>
      <w:r>
        <w:rPr>
          <w:rFonts w:ascii="Times New Roman" w:hAnsi="Times New Roman" w:cs="Times New Roman" w:eastAsia="Times New Roman"/>
          <w:b/>
          <w:sz w:val="28"/>
        </w:rPr>
        <w:t xml:space="preserve">APPENDIX A</w:t>
      </w:r>
    </w:p>
    <w:bookmarkEnd w:id="154"/>
    <w:bookmarkStart w:id="155" w:name="X3ec609e8b0d131f36d287475058314655a28b5d"/>
    <w:p>
      <w:pPr>
        <w:pStyle w:val="Heading2"/>
        <w:spacing w:line="360" w:lineRule="auto"/>
        <w:jc w:val="center"/>
      </w:pPr>
      <w:r>
        <w:rPr>
          <w:rFonts w:ascii="Times New Roman" w:hAnsi="Times New Roman" w:cs="Times New Roman" w:eastAsia="Times New Roman"/>
          <w:b/>
          <w:sz w:val="28"/>
        </w:rPr>
        <w:t xml:space="preserve">SAMPLE ITEMS OF THE VOCATIONAL INTEREST RECORD BY DR. S.P. KULSHRESTHA</w:t>
      </w:r>
    </w:p>
    <w:p>
      <w:pPr>
        <w:pStyle w:val="FirstParagraph"/>
        <w:spacing w:line="480" w:lineRule="auto" w:after="120"/>
        <w:jc w:val="both"/>
      </w:pPr>
      <w:r>
        <w:rPr>
          <w:rFonts w:ascii="Times New Roman" w:hAnsi="Times New Roman" w:cs="Times New Roman" w:eastAsia="Times New Roman"/>
          <w:i/>
          <w:iCs/>
          <w:sz w:val="24"/>
        </w:rPr>
        <w:t xml:space="preserve">(Reproduced for academic illustration only. The complete tool, Manual and Hand Scoring Stencil are published by the National Psychological Corporation, Agra, and were obtained through proper channels for the present investigation.)</w:t>
      </w:r>
    </w:p>
    <w:p>
      <w:pPr>
        <w:pStyle w:val="BodyText"/>
        <w:spacing w:line="480" w:lineRule="auto" w:after="120"/>
        <w:jc w:val="both"/>
      </w:pPr>
      <w:r>
        <w:rPr>
          <w:rFonts w:ascii="Times New Roman" w:hAnsi="Times New Roman" w:cs="Times New Roman" w:eastAsia="Times New Roman"/>
          <w:b/>
          <w:bCs/>
          <w:sz w:val="24"/>
        </w:rPr>
        <w:t xml:space="preserve">Instructions to the Testee.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“Below is a list of activities. In each item, two activities are given — one in the left-hand column (A) and one in the right-hand column (B). Read both activities carefully and then mark a tick (✓) against the activity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you would prefer to do</w:t>
      </w:r>
      <w:r>
        <w:rPr>
          <w:rFonts w:ascii="Times New Roman" w:hAnsi="Times New Roman" w:cs="Times New Roman" w:eastAsia="Times New Roman"/>
          <w:sz w:val="24"/>
        </w:rPr>
        <w:t xml:space="preserve">, in your Answer Sheet. There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 right or wrong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answer. Your honest preference is the only correct answer. Do not leave any item unanswered. The test is not timed in any rigid sense, but please complete it within 30 minutes.”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Item No.</w:t>
            </w:r>
          </w:p>
        </w:tc>
        <w:tc>
          <w:tcPr/>
          <w:p>
            <w:pPr>
              <w:pStyle w:val="Compact"/>
              <w:spacing w:line="276" w:lineRule="auto"/>
              <w:jc w:val="left"/>
            </w:pPr>
            <w:r>
              <w:rPr>
                <w:rFonts w:ascii="Times New Roman" w:hAnsi="Times New Roman" w:cs="Times New Roman" w:eastAsia="Times New Roman"/>
                <w:sz w:val="22"/>
              </w:rPr>
              <w:t xml:space="preserve">Activity A</w:t>
            </w:r>
          </w:p>
        </w:tc>
        <w:tc>
          <w:tcPr/>
          <w:p>
            <w:pPr>
              <w:pStyle w:val="Compact"/>
              <w:spacing w:line="276" w:lineRule="auto"/>
              <w:jc w:val="left"/>
            </w:pPr>
            <w:r>
              <w:rPr>
                <w:rFonts w:ascii="Times New Roman" w:hAnsi="Times New Roman" w:cs="Times New Roman" w:eastAsia="Times New Roman"/>
                <w:sz w:val="22"/>
              </w:rPr>
              <w:t xml:space="preserve">Activity B</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Read a novel by Premchand</w:t>
            </w:r>
          </w:p>
        </w:tc>
        <w:tc>
          <w:tcPr/>
          <w:p>
            <w:pPr>
              <w:pStyle w:val="Compact"/>
              <w:spacing w:line="276" w:lineRule="auto"/>
              <w:jc w:val="left"/>
            </w:pPr>
            <w:r>
              <w:rPr>
                <w:rFonts w:ascii="Times New Roman" w:hAnsi="Times New Roman" w:cs="Times New Roman" w:eastAsia="Times New Roman"/>
                <w:sz w:val="22"/>
              </w:rPr>
              <w:t xml:space="preserve">Set up an electrical circuit</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Plant saplings in the school garden</w:t>
            </w:r>
          </w:p>
        </w:tc>
        <w:tc>
          <w:tcPr/>
          <w:p>
            <w:pPr>
              <w:pStyle w:val="Compact"/>
              <w:spacing w:line="276" w:lineRule="auto"/>
              <w:jc w:val="left"/>
            </w:pPr>
            <w:r>
              <w:rPr>
                <w:rFonts w:ascii="Times New Roman" w:hAnsi="Times New Roman" w:cs="Times New Roman" w:eastAsia="Times New Roman"/>
                <w:sz w:val="22"/>
              </w:rPr>
              <w:t xml:space="preserve">Paint a landscape on canvas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Prepare the school’s annual budget</w:t>
            </w:r>
          </w:p>
        </w:tc>
        <w:tc>
          <w:tcPr/>
          <w:p>
            <w:pPr>
              <w:pStyle w:val="Compact"/>
              <w:spacing w:line="276" w:lineRule="auto"/>
              <w:jc w:val="left"/>
            </w:pPr>
            <w:r>
              <w:rPr>
                <w:rFonts w:ascii="Times New Roman" w:hAnsi="Times New Roman" w:cs="Times New Roman" w:eastAsia="Times New Roman"/>
                <w:sz w:val="22"/>
              </w:rPr>
              <w:t xml:space="preserve">Sing in the school choir</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Manage a small grocery shop</w:t>
            </w:r>
          </w:p>
        </w:tc>
        <w:tc>
          <w:tcPr/>
          <w:p>
            <w:pPr>
              <w:pStyle w:val="Compact"/>
              <w:spacing w:line="276" w:lineRule="auto"/>
              <w:jc w:val="left"/>
            </w:pPr>
            <w:r>
              <w:rPr>
                <w:rFonts w:ascii="Times New Roman" w:hAnsi="Times New Roman" w:cs="Times New Roman" w:eastAsia="Times New Roman"/>
                <w:sz w:val="22"/>
              </w:rPr>
              <w:t xml:space="preserve">Repair a damaged motor pump</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Teach younger children at home</w:t>
            </w:r>
          </w:p>
        </w:tc>
        <w:tc>
          <w:tcPr/>
          <w:p>
            <w:pPr>
              <w:pStyle w:val="Compact"/>
              <w:spacing w:line="276" w:lineRule="auto"/>
              <w:jc w:val="left"/>
            </w:pPr>
            <w:r>
              <w:rPr>
                <w:rFonts w:ascii="Times New Roman" w:hAnsi="Times New Roman" w:cs="Times New Roman" w:eastAsia="Times New Roman"/>
                <w:sz w:val="22"/>
              </w:rPr>
              <w:t xml:space="preserve">Manage a wedding party at home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Conduct a science experiment</w:t>
            </w:r>
          </w:p>
        </w:tc>
        <w:tc>
          <w:tcPr/>
          <w:p>
            <w:pPr>
              <w:pStyle w:val="Compact"/>
              <w:spacing w:line="276" w:lineRule="auto"/>
              <w:jc w:val="left"/>
            </w:pPr>
            <w:r>
              <w:rPr>
                <w:rFonts w:ascii="Times New Roman" w:hAnsi="Times New Roman" w:cs="Times New Roman" w:eastAsia="Times New Roman"/>
                <w:sz w:val="22"/>
              </w:rPr>
              <w:t xml:space="preserve">Help an elderly neighbour</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Write articles for the school magazine</w:t>
            </w:r>
          </w:p>
        </w:tc>
        <w:tc>
          <w:tcPr/>
          <w:p>
            <w:pPr>
              <w:pStyle w:val="Compact"/>
              <w:spacing w:line="276" w:lineRule="auto"/>
              <w:jc w:val="left"/>
            </w:pPr>
            <w:r>
              <w:rPr>
                <w:rFonts w:ascii="Times New Roman" w:hAnsi="Times New Roman" w:cs="Times New Roman" w:eastAsia="Times New Roman"/>
                <w:sz w:val="22"/>
              </w:rPr>
              <w:t xml:space="preserve">Argue a case in a school debate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Plough a field with a tractor</w:t>
            </w:r>
          </w:p>
        </w:tc>
        <w:tc>
          <w:tcPr/>
          <w:p>
            <w:pPr>
              <w:pStyle w:val="Compact"/>
              <w:spacing w:line="276" w:lineRule="auto"/>
              <w:jc w:val="left"/>
            </w:pPr>
            <w:r>
              <w:rPr>
                <w:rFonts w:ascii="Times New Roman" w:hAnsi="Times New Roman" w:cs="Times New Roman" w:eastAsia="Times New Roman"/>
                <w:sz w:val="22"/>
              </w:rPr>
              <w:t xml:space="preserve">Design a poster for a school event</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Direct workers in a small workshop</w:t>
            </w:r>
          </w:p>
        </w:tc>
        <w:tc>
          <w:tcPr/>
          <w:p>
            <w:pPr>
              <w:pStyle w:val="Compact"/>
              <w:spacing w:line="276" w:lineRule="auto"/>
              <w:jc w:val="left"/>
            </w:pPr>
            <w:r>
              <w:rPr>
                <w:rFonts w:ascii="Times New Roman" w:hAnsi="Times New Roman" w:cs="Times New Roman" w:eastAsia="Times New Roman"/>
                <w:sz w:val="22"/>
              </w:rPr>
              <w:t xml:space="preserve">Take care of a sick friend</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Maintain accounts of a co-operative society</w:t>
            </w:r>
          </w:p>
        </w:tc>
        <w:tc>
          <w:tcPr/>
          <w:p>
            <w:pPr>
              <w:pStyle w:val="Compact"/>
              <w:spacing w:line="276" w:lineRule="auto"/>
              <w:jc w:val="left"/>
            </w:pPr>
            <w:r>
              <w:rPr>
                <w:rFonts w:ascii="Times New Roman" w:hAnsi="Times New Roman" w:cs="Times New Roman" w:eastAsia="Times New Roman"/>
                <w:sz w:val="22"/>
              </w:rPr>
              <w:t xml:space="preserve">Cook a special dish for the family</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Investigate the cause of a leaking tap</w:t>
            </w:r>
          </w:p>
        </w:tc>
        <w:tc>
          <w:tcPr/>
          <w:p>
            <w:pPr>
              <w:pStyle w:val="Compact"/>
              <w:spacing w:line="276" w:lineRule="auto"/>
              <w:jc w:val="left"/>
            </w:pPr>
            <w:r>
              <w:rPr>
                <w:rFonts w:ascii="Times New Roman" w:hAnsi="Times New Roman" w:cs="Times New Roman" w:eastAsia="Times New Roman"/>
                <w:sz w:val="22"/>
              </w:rPr>
              <w:t xml:space="preserve">Recite a Hindi poem on stage</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Visit an orphanage with classmates</w:t>
            </w:r>
          </w:p>
        </w:tc>
        <w:tc>
          <w:tcPr/>
          <w:p>
            <w:pPr>
              <w:pStyle w:val="Compact"/>
              <w:spacing w:line="276" w:lineRule="auto"/>
              <w:jc w:val="left"/>
            </w:pPr>
            <w:r>
              <w:rPr>
                <w:rFonts w:ascii="Times New Roman" w:hAnsi="Times New Roman" w:cs="Times New Roman" w:eastAsia="Times New Roman"/>
                <w:sz w:val="22"/>
              </w:rPr>
              <w:t xml:space="preserve">Address the school assembly</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Build a model bridge with bamboo</w:t>
            </w:r>
          </w:p>
        </w:tc>
        <w:tc>
          <w:tcPr/>
          <w:p>
            <w:pPr>
              <w:pStyle w:val="Compact"/>
              <w:spacing w:line="276" w:lineRule="auto"/>
              <w:jc w:val="left"/>
            </w:pPr>
            <w:r>
              <w:rPr>
                <w:rFonts w:ascii="Times New Roman" w:hAnsi="Times New Roman" w:cs="Times New Roman" w:eastAsia="Times New Roman"/>
                <w:sz w:val="22"/>
              </w:rPr>
              <w:t xml:space="preserve">Help mother with the day’s cooking</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Edit a school wall-magazine</w:t>
            </w:r>
          </w:p>
        </w:tc>
        <w:tc>
          <w:tcPr/>
          <w:p>
            <w:pPr>
              <w:pStyle w:val="Compact"/>
              <w:spacing w:line="276" w:lineRule="auto"/>
              <w:jc w:val="left"/>
            </w:pPr>
            <w:r>
              <w:rPr>
                <w:rFonts w:ascii="Times New Roman" w:hAnsi="Times New Roman" w:cs="Times New Roman" w:eastAsia="Times New Roman"/>
                <w:sz w:val="22"/>
              </w:rPr>
              <w:t xml:space="preserve">Look after the school sports field</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Run a small Republic-Day stall</w:t>
            </w:r>
          </w:p>
        </w:tc>
        <w:tc>
          <w:tcPr/>
          <w:p>
            <w:pPr>
              <w:pStyle w:val="Compact"/>
              <w:spacing w:line="276" w:lineRule="auto"/>
              <w:jc w:val="left"/>
            </w:pPr>
            <w:r>
              <w:rPr>
                <w:rFonts w:ascii="Times New Roman" w:hAnsi="Times New Roman" w:cs="Times New Roman" w:eastAsia="Times New Roman"/>
                <w:sz w:val="22"/>
              </w:rPr>
              <w:t xml:space="preserve">Sketch portraits of friends</w:t>
            </w:r>
          </w:p>
        </w:tc>
      </w:tr>
      <w:tr>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90</w:t>
            </w:r>
          </w:p>
        </w:tc>
        <w:tc>
          <w:tcPr/>
          <w:p>
            <w:pPr>
              <w:pStyle w:val="Compact"/>
              <w:spacing w:line="276" w:lineRule="auto"/>
              <w:jc w:val="left"/>
            </w:pPr>
            <w:r>
              <w:rPr>
                <w:rFonts w:ascii="Times New Roman" w:hAnsi="Times New Roman" w:cs="Times New Roman" w:eastAsia="Times New Roman"/>
                <w:sz w:val="22"/>
              </w:rPr>
              <w:t xml:space="preserve">Calculate the income from a milk dairy</w:t>
            </w:r>
          </w:p>
        </w:tc>
        <w:tc>
          <w:tcPr/>
          <w:p>
            <w:pPr>
              <w:pStyle w:val="Compact"/>
              <w:spacing w:line="276" w:lineRule="auto"/>
              <w:jc w:val="left"/>
            </w:pPr>
            <w:r>
              <w:rPr>
                <w:rFonts w:ascii="Times New Roman" w:hAnsi="Times New Roman" w:cs="Times New Roman" w:eastAsia="Times New Roman"/>
                <w:sz w:val="22"/>
              </w:rPr>
              <w:t xml:space="preserve">Counsel a friend in distress</w:t>
            </w:r>
          </w:p>
        </w:tc>
      </w:tr>
    </w:tbl>
    <w:p>
      <w:pPr>
        <w:pStyle w:val="BodyText"/>
        <w:spacing w:line="480" w:lineRule="auto" w:after="120"/>
        <w:jc w:val="both"/>
      </w:pPr>
      <w:r>
        <w:rPr>
          <w:rFonts w:ascii="Times New Roman" w:hAnsi="Times New Roman" w:cs="Times New Roman" w:eastAsia="Times New Roman"/>
          <w:i/>
          <w:iCs/>
          <w:sz w:val="24"/>
        </w:rPr>
        <w:t xml:space="preserve">(Items 16 to 89 are omitted here for reasons of space; the complete printed Booklet was used during data collection. Each of the ten interest areas — Literary, Scientific, Executive, Commercial, Constructive, Artistic, Agricultural, Persuasive, Social, Household — is represented by 18 item-occurrences, with a maximum possible area-score of 18.)</w:t>
      </w:r>
    </w:p>
    <w:p>
      <w:pPr>
        <w:pStyle w:val="BodyText"/>
        <w:spacing w:line="480" w:lineRule="auto" w:after="120"/>
        <w:jc w:val="both"/>
      </w:pPr>
      <w:r>
        <w:rPr>
          <w:rFonts w:ascii="Times New Roman" w:hAnsi="Times New Roman" w:cs="Times New Roman" w:eastAsia="Times New Roman"/>
          <w:b/>
          <w:bCs/>
          <w:sz w:val="24"/>
        </w:rPr>
        <w:t xml:space="preserve">Scoring.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response in favour of a Literary activity contributes 1 to the Literary score; a response in favour of a Scientific activity contributes 1 to the Scientific score; and so on for the other eight areas. The Hand Scoring Stencil supplied by the publisher is placed over the Answer Sheet; the punched holes correspond to the activities of one area,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number of ticks visible through the holes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gives the score in that area.</w:t>
      </w:r>
    </w:p>
    <w:p>
      <w:pPr>
        <w:pStyle w:val="BodyText"/>
        <w:spacing w:line="480" w:lineRule="auto" w:after="120"/>
        <w:jc w:val="both"/>
      </w:pPr>
      <w:r>
        <w:rPr>
          <w:rFonts w:ascii="Times New Roman" w:hAnsi="Times New Roman" w:cs="Times New Roman" w:eastAsia="Times New Roman"/>
          <w:b/>
          <w:bCs/>
          <w:sz w:val="24"/>
        </w:rPr>
        <w:t xml:space="preserve">Interpretation Levels.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 — 0 to 5; Average — 6 to 11; High — 12 to 18 (as per the Manual).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5"/>
    <w:bookmarkStart w:id="156" w:name="appendix-b"/>
    <w:p>
      <w:pPr>
        <w:pStyle w:val="Heading2"/>
        <w:spacing w:line="360" w:lineRule="auto"/>
        <w:jc w:val="center"/>
      </w:pPr>
      <w:r>
        <w:rPr>
          <w:rFonts w:ascii="Times New Roman" w:hAnsi="Times New Roman" w:cs="Times New Roman" w:eastAsia="Times New Roman"/>
          <w:b/>
          <w:sz w:val="28"/>
        </w:rPr>
        <w:t xml:space="preserve">APPENDIX B</w:t>
      </w:r>
    </w:p>
    <w:bookmarkEnd w:id="156"/>
    <w:bookmarkStart w:id="157" w:name="permission-letter-specimen"/>
    <w:p>
      <w:pPr>
        <w:pStyle w:val="Heading2"/>
        <w:spacing w:line="360" w:lineRule="auto"/>
        <w:jc w:val="center"/>
      </w:pPr>
      <w:r>
        <w:rPr>
          <w:rFonts w:ascii="Times New Roman" w:hAnsi="Times New Roman" w:cs="Times New Roman" w:eastAsia="Times New Roman"/>
          <w:b/>
          <w:sz w:val="28"/>
        </w:rPr>
        <w:t xml:space="preserve">PERMISSION LETTER (SPECIMEN)</w:t>
      </w:r>
    </w:p>
    <w:p>
      <w:pPr>
        <w:pStyle w:val="FirstParagraph"/>
        <w:spacing w:line="480" w:lineRule="auto" w:after="120"/>
        <w:jc w:val="both"/>
      </w:pPr>
      <w:r>
        <w:rPr>
          <w:rFonts w:ascii="Times New Roman" w:hAnsi="Times New Roman" w:cs="Times New Roman" w:eastAsia="Times New Roman"/>
          <w:b/>
          <w:bCs/>
          <w:sz w:val="24"/>
        </w:rPr>
        <w:t xml:space="preserve">MEERUT COLLEGE, MEERUT</w:t>
      </w:r>
    </w:p>
    <w:p>
      <w:pPr>
        <w:pStyle w:val="BodyText"/>
        <w:spacing w:line="480" w:lineRule="auto" w:after="120"/>
        <w:jc w:val="both"/>
      </w:pPr>
      <w:r>
        <w:rPr>
          <w:rFonts w:ascii="Times New Roman" w:hAnsi="Times New Roman" w:cs="Times New Roman" w:eastAsia="Times New Roman"/>
          <w:sz w:val="24"/>
        </w:rPr>
        <w:t xml:space="preserve">(Affiliated to Chaudhary Charan Singh University, Meerut)</w:t>
      </w:r>
    </w:p>
    <w:p>
      <w:pPr>
        <w:pStyle w:val="BodyText"/>
        <w:spacing w:line="480" w:lineRule="auto" w:after="120"/>
        <w:jc w:val="both"/>
      </w:pPr>
      <w:r>
        <w:rPr>
          <w:rFonts w:ascii="Times New Roman" w:hAnsi="Times New Roman" w:cs="Times New Roman" w:eastAsia="Times New Roman"/>
          <w:b/>
          <w:bCs/>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Letter No. _______________ Date: ____________</w:t>
      </w:r>
    </w:p>
    <w:p>
      <w:pPr>
        <w:pStyle w:val="BodyText"/>
        <w:spacing w:line="480" w:lineRule="auto" w:after="120"/>
        <w:jc w:val="both"/>
      </w:pPr>
      <w:r>
        <w:rPr>
          <w:rFonts w:ascii="Times New Roman" w:hAnsi="Times New Roman" w:cs="Times New Roman" w:eastAsia="Times New Roman"/>
          <w:sz w:val="24"/>
        </w:rPr>
        <w:t xml:space="preserve">To,</w:t>
      </w:r>
    </w:p>
    <w:p>
      <w:pPr>
        <w:pStyle w:val="BodyText"/>
        <w:spacing w:line="480" w:lineRule="auto" w:after="120"/>
        <w:jc w:val="both"/>
      </w:pPr>
      <w:r>
        <w:rPr>
          <w:rFonts w:ascii="Times New Roman" w:hAnsi="Times New Roman" w:cs="Times New Roman" w:eastAsia="Times New Roman"/>
          <w:sz w:val="24"/>
        </w:rPr>
        <w:t xml:space="preserve">The Principal,</w:t>
      </w:r>
    </w:p>
    <w:p>
      <w:pPr>
        <w:pStyle w:val="BodyText"/>
        <w:spacing w:line="480" w:lineRule="auto" w:after="120"/>
        <w:jc w:val="both"/>
      </w:pPr>
      <w:r>
        <w:rPr>
          <w:rFonts w:ascii="Times New Roman" w:hAnsi="Times New Roman" w:cs="Times New Roman" w:eastAsia="Times New Roman"/>
          <w:sz w:val="24"/>
        </w:rPr>
        <w:t xml:space="preserve">Shri Sanskrit Inter College,</w:t>
      </w:r>
    </w:p>
    <w:p>
      <w:pPr>
        <w:pStyle w:val="BodyText"/>
        <w:spacing w:line="480" w:lineRule="auto" w:after="120"/>
        <w:jc w:val="both"/>
      </w:pPr>
      <w:r>
        <w:rPr>
          <w:rFonts w:ascii="Times New Roman" w:hAnsi="Times New Roman" w:cs="Times New Roman" w:eastAsia="Times New Roman"/>
          <w:sz w:val="24"/>
        </w:rPr>
        <w:t xml:space="preserve">Aitmadpur, Kila Parikshit Garh,</w:t>
      </w:r>
    </w:p>
    <w:p>
      <w:pPr>
        <w:pStyle w:val="BodyText"/>
        <w:spacing w:line="480" w:lineRule="auto" w:after="120"/>
        <w:jc w:val="both"/>
      </w:pPr>
      <w:r>
        <w:rPr>
          <w:rFonts w:ascii="Times New Roman" w:hAnsi="Times New Roman" w:cs="Times New Roman" w:eastAsia="Times New Roman"/>
          <w:sz w:val="24"/>
        </w:rPr>
        <w:t xml:space="preserve">Meerut (U.P.) — 250503</w:t>
      </w:r>
    </w:p>
    <w:p>
      <w:pPr>
        <w:pStyle w:val="BodyText"/>
        <w:spacing w:line="480" w:lineRule="auto" w:after="120"/>
        <w:jc w:val="both"/>
      </w:pPr>
      <w:r>
        <w:rPr>
          <w:rFonts w:ascii="Times New Roman" w:hAnsi="Times New Roman" w:cs="Times New Roman" w:eastAsia="Times New Roman"/>
          <w:b/>
          <w:bCs/>
          <w:sz w:val="24"/>
        </w:rPr>
        <w:t xml:space="preserve">Subject: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Permission for Data Collection — M.Ed. Dissertation</w:t>
      </w:r>
    </w:p>
    <w:p>
      <w:pPr>
        <w:pStyle w:val="BodyText"/>
        <w:spacing w:line="480" w:lineRule="auto" w:after="120"/>
        <w:jc w:val="both"/>
      </w:pPr>
      <w:r>
        <w:rPr>
          <w:rFonts w:ascii="Times New Roman" w:hAnsi="Times New Roman" w:cs="Times New Roman" w:eastAsia="Times New Roman"/>
          <w:b/>
          <w:bCs/>
          <w:sz w:val="24"/>
        </w:rPr>
        <w:t xml:space="preserve">Sir,</w:t>
      </w:r>
    </w:p>
    <w:p>
      <w:pPr>
        <w:pStyle w:val="BodyText"/>
        <w:spacing w:line="480" w:lineRule="auto" w:after="120"/>
        <w:jc w:val="both"/>
      </w:pPr>
      <w:r>
        <w:rPr>
          <w:rFonts w:ascii="Times New Roman" w:hAnsi="Times New Roman" w:cs="Times New Roman" w:eastAsia="Times New Roman"/>
          <w:sz w:val="24"/>
        </w:rPr>
        <w:t xml:space="preserve">I have the honour to inform you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Roll No. ____________________, a regular M.Ed. student of the Department of Education, Meerut College, Meerut, is undertaking a dissertation entitled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my supervision, in partial fulfilment of the requirements for the degree of Master of Education (M.Ed.) of Chaudhary Charan Singh University, Meerut.</w:t>
      </w:r>
    </w:p>
    <w:p>
      <w:pPr>
        <w:pStyle w:val="BodyText"/>
        <w:spacing w:line="480" w:lineRule="auto" w:after="120"/>
        <w:jc w:val="both"/>
      </w:pPr>
      <w:r>
        <w:rPr>
          <w:rFonts w:ascii="Times New Roman" w:hAnsi="Times New Roman" w:cs="Times New Roman" w:eastAsia="Times New Roman"/>
          <w:sz w:val="24"/>
        </w:rPr>
        <w:t xml:space="preserve">For the purpose of the said study, the candidate is required to administer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 sample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of your esteemed institution. The administration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one-time only</w:t>
      </w:r>
      <w:r>
        <w:rPr>
          <w:rFonts w:ascii="Times New Roman" w:hAnsi="Times New Roman" w:cs="Times New Roman" w:eastAsia="Times New Roman"/>
          <w:sz w:val="24"/>
        </w:rPr>
        <w:t xml:space="preserve">, takes about 35 minutes per session, and is wholly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non-evaluative</w:t>
      </w:r>
      <w:r>
        <w:rPr>
          <w:rFonts w:ascii="Times New Roman" w:hAnsi="Times New Roman" w:cs="Times New Roman" w:eastAsia="Times New Roman"/>
          <w:sz w:val="24"/>
        </w:rPr>
        <w:t xml:space="preserve">. The responses of the students will be kept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will be used only for academic research purposes; no individual student or his marks will be identified in the final dissertation.</w:t>
      </w:r>
    </w:p>
    <w:p>
      <w:pPr>
        <w:pStyle w:val="BodyText"/>
        <w:spacing w:line="480" w:lineRule="auto" w:after="120"/>
        <w:jc w:val="both"/>
      </w:pPr>
      <w:r>
        <w:rPr>
          <w:rFonts w:ascii="Times New Roman" w:hAnsi="Times New Roman" w:cs="Times New Roman" w:eastAsia="Times New Roman"/>
          <w:sz w:val="24"/>
        </w:rPr>
        <w:t xml:space="preserve">I shall therefore be highly obliged if you would kindly grant the candidate permission to enter your institution on a mutually convenient date and to administer the said tool on the agreed sample of students. Your kind cooperation will go a long way in enriching the empirical base of the present investigation.</w:t>
      </w:r>
    </w:p>
    <w:p>
      <w:pPr>
        <w:pStyle w:val="BodyText"/>
        <w:spacing w:line="480" w:lineRule="auto" w:after="120"/>
        <w:jc w:val="both"/>
      </w:pPr>
      <w:r>
        <w:rPr>
          <w:rFonts w:ascii="Times New Roman" w:hAnsi="Times New Roman" w:cs="Times New Roman" w:eastAsia="Times New Roman"/>
          <w:sz w:val="24"/>
        </w:rPr>
        <w:t xml:space="preserve">Anticipating your kind cooperation,</w:t>
      </w:r>
    </w:p>
    <w:p>
      <w:pPr>
        <w:pStyle w:val="BodyText"/>
        <w:spacing w:line="480" w:lineRule="auto" w:after="120"/>
        <w:jc w:val="both"/>
      </w:pPr>
      <w:r>
        <w:rPr>
          <w:rFonts w:ascii="Times New Roman" w:hAnsi="Times New Roman" w:cs="Times New Roman" w:eastAsia="Times New Roman"/>
          <w:sz w:val="24"/>
        </w:rPr>
        <w:t xml:space="preserve">Yours faithfully,</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Head, 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(A similar permission letter was sent to the Principal, K.P. International School, Kila Parikshit Garh, Meerut, for the sample of 20 girls.)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7"/>
    <w:bookmarkStart w:id="158" w:name="appendix-c"/>
    <w:p>
      <w:pPr>
        <w:pStyle w:val="Heading2"/>
        <w:spacing w:line="360" w:lineRule="auto"/>
        <w:jc w:val="center"/>
      </w:pPr>
      <w:r>
        <w:rPr>
          <w:rFonts w:ascii="Times New Roman" w:hAnsi="Times New Roman" w:cs="Times New Roman" w:eastAsia="Times New Roman"/>
          <w:b/>
          <w:sz w:val="28"/>
        </w:rPr>
        <w:t xml:space="preserve">APPENDIX C</w:t>
      </w:r>
    </w:p>
    <w:bookmarkEnd w:id="158"/>
    <w:bookmarkStart w:id="159" w:name="master-sheet-of-raw-scores-boys-n-20"/>
    <w:p>
      <w:pPr>
        <w:pStyle w:val="Heading2"/>
        <w:spacing w:line="360" w:lineRule="auto"/>
        <w:jc w:val="center"/>
      </w:pPr>
      <w:r>
        <w:rPr>
          <w:rFonts w:ascii="Times New Roman" w:hAnsi="Times New Roman" w:cs="Times New Roman" w:eastAsia="Times New Roman"/>
          <w:b/>
          <w:sz w:val="28"/>
        </w:rPr>
        <w:t xml:space="preserve">MASTER SHEET OF RAW SCORES — BOYS (N = 20)</w:t>
      </w:r>
    </w:p>
    <w:p>
      <w:pPr>
        <w:pStyle w:val="FirstParagraph"/>
        <w:spacing w:line="480" w:lineRule="auto" w:after="120"/>
        <w:jc w:val="both"/>
      </w:pPr>
      <w:r>
        <w:rPr>
          <w:rFonts w:ascii="Times New Roman" w:hAnsi="Times New Roman" w:cs="Times New Roman" w:eastAsia="Times New Roman"/>
          <w:i/>
          <w:iCs/>
          <w:sz w:val="24"/>
        </w:rPr>
        <w:t xml:space="preserve">(Drawn through random sampling from Class IX and X of Shri Sanskrit Inter College, Aitmadpur, Kila Parikshit Garh, Meerut. Students are referred to by serial numbers — B01 to B20 — to preserve anonymity. Scores are out of a maximum of 18 in each area; row total = 90 since the V.I.R. consists of 90 forced-choice items.)</w:t>
      </w:r>
    </w:p>
    <w:tbl>
      <w:tblPr>
        <w:tblStyle w:val="Table"/>
        <w:tblW w:type="pct" w:w="5000"/>
        <w:jc w:val="center"/>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Agri</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B01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B06</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B08</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B10</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B11</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B12</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B14</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B15</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B20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b/>
                <w:bCs/>
                <w:sz w:val="22"/>
              </w:rPr>
              <w:t xml:space="preserve">Sum (ΣX)</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141</w:t>
            </w:r>
          </w:p>
        </w:tc>
        <w:tc>
          <w:tcPr/>
          <w:p>
            <w:pPr>
              <w:pStyle w:val="Compact"/>
              <w:spacing w:line="276" w:lineRule="auto"/>
              <w:jc w:val="center"/>
            </w:pPr>
            <w:r>
              <w:rPr>
                <w:rFonts w:ascii="Times New Roman" w:hAnsi="Times New Roman" w:cs="Times New Roman" w:eastAsia="Times New Roman"/>
                <w:b/>
                <w:bCs/>
                <w:sz w:val="22"/>
              </w:rPr>
              <w:t xml:space="preserve">233</w:t>
            </w:r>
          </w:p>
        </w:tc>
        <w:tc>
          <w:tcPr/>
          <w:p>
            <w:pPr>
              <w:pStyle w:val="Compact"/>
              <w:spacing w:line="276" w:lineRule="auto"/>
              <w:jc w:val="center"/>
            </w:pPr>
            <w:r>
              <w:rPr>
                <w:rFonts w:ascii="Times New Roman" w:hAnsi="Times New Roman" w:cs="Times New Roman" w:eastAsia="Times New Roman"/>
                <w:b/>
                <w:bCs/>
                <w:sz w:val="22"/>
              </w:rPr>
              <w:t xml:space="preserve">190</w:t>
            </w:r>
          </w:p>
        </w:tc>
        <w:tc>
          <w:tcPr/>
          <w:p>
            <w:pPr>
              <w:pStyle w:val="Compact"/>
              <w:spacing w:line="276" w:lineRule="auto"/>
              <w:jc w:val="center"/>
            </w:pPr>
            <w:r>
              <w:rPr>
                <w:rFonts w:ascii="Times New Roman" w:hAnsi="Times New Roman" w:cs="Times New Roman" w:eastAsia="Times New Roman"/>
                <w:b/>
                <w:bCs/>
                <w:sz w:val="22"/>
              </w:rPr>
              <w:t xml:space="preserve">177</w:t>
            </w:r>
          </w:p>
        </w:tc>
        <w:tc>
          <w:tcPr/>
          <w:p>
            <w:pPr>
              <w:pStyle w:val="Compact"/>
              <w:spacing w:line="276" w:lineRule="auto"/>
              <w:jc w:val="center"/>
            </w:pPr>
            <w:r>
              <w:rPr>
                <w:rFonts w:ascii="Times New Roman" w:hAnsi="Times New Roman" w:cs="Times New Roman" w:eastAsia="Times New Roman"/>
                <w:b/>
                <w:bCs/>
                <w:sz w:val="22"/>
              </w:rPr>
              <w:t xml:space="preserve">238</w:t>
            </w:r>
          </w:p>
        </w:tc>
        <w:tc>
          <w:tcPr/>
          <w:p>
            <w:pPr>
              <w:pStyle w:val="Compact"/>
              <w:spacing w:line="276" w:lineRule="auto"/>
              <w:jc w:val="center"/>
            </w:pPr>
            <w:r>
              <w:rPr>
                <w:rFonts w:ascii="Times New Roman" w:hAnsi="Times New Roman" w:cs="Times New Roman" w:eastAsia="Times New Roman"/>
                <w:b/>
                <w:bCs/>
                <w:sz w:val="22"/>
              </w:rPr>
              <w:t xml:space="preserve">151</w:t>
            </w:r>
          </w:p>
        </w:tc>
        <w:tc>
          <w:tcPr/>
          <w:p>
            <w:pPr>
              <w:pStyle w:val="Compact"/>
              <w:spacing w:line="276" w:lineRule="auto"/>
              <w:jc w:val="center"/>
            </w:pPr>
            <w:r>
              <w:rPr>
                <w:rFonts w:ascii="Times New Roman" w:hAnsi="Times New Roman" w:cs="Times New Roman" w:eastAsia="Times New Roman"/>
                <w:b/>
                <w:bCs/>
                <w:sz w:val="22"/>
              </w:rPr>
              <w:t xml:space="preserve">207</w:t>
            </w:r>
          </w:p>
        </w:tc>
        <w:tc>
          <w:tcPr/>
          <w:p>
            <w:pPr>
              <w:pStyle w:val="Compact"/>
              <w:spacing w:line="276" w:lineRule="auto"/>
              <w:jc w:val="center"/>
            </w:pPr>
            <w:r>
              <w:rPr>
                <w:rFonts w:ascii="Times New Roman" w:hAnsi="Times New Roman" w:cs="Times New Roman" w:eastAsia="Times New Roman"/>
                <w:b/>
                <w:bCs/>
                <w:sz w:val="22"/>
              </w:rPr>
              <w:t xml:space="preserve">192</w:t>
            </w:r>
          </w:p>
        </w:tc>
        <w:tc>
          <w:tcPr/>
          <w:p>
            <w:pPr>
              <w:pStyle w:val="Compact"/>
              <w:spacing w:line="276" w:lineRule="auto"/>
              <w:jc w:val="center"/>
            </w:pPr>
            <w:r>
              <w:rPr>
                <w:rFonts w:ascii="Times New Roman" w:hAnsi="Times New Roman" w:cs="Times New Roman" w:eastAsia="Times New Roman"/>
                <w:b/>
                <w:bCs/>
                <w:sz w:val="22"/>
              </w:rPr>
              <w:t xml:space="preserve">155</w:t>
            </w:r>
          </w:p>
        </w:tc>
        <w:tc>
          <w:tcPr/>
          <w:p>
            <w:pPr>
              <w:pStyle w:val="Compact"/>
              <w:spacing w:line="276" w:lineRule="auto"/>
              <w:jc w:val="center"/>
            </w:pPr>
            <w:r>
              <w:rPr>
                <w:rFonts w:ascii="Times New Roman" w:hAnsi="Times New Roman" w:cs="Times New Roman" w:eastAsia="Times New Roman"/>
                <w:b/>
                <w:bCs/>
                <w:sz w:val="22"/>
              </w:rPr>
              <w:t xml:space="preserve">116</w:t>
            </w:r>
          </w:p>
        </w:tc>
        <w:tc>
          <w:tcPr/>
          <w:p>
            <w:pPr>
              <w:pStyle w:val="Compact"/>
              <w:spacing w:line="276" w:lineRule="auto"/>
              <w:jc w:val="center"/>
            </w:pPr>
            <w:r>
              <w:rPr>
                <w:rFonts w:ascii="Times New Roman" w:hAnsi="Times New Roman" w:cs="Times New Roman" w:eastAsia="Times New Roman"/>
                <w:b/>
                <w:bCs/>
                <w:sz w:val="22"/>
              </w:rPr>
              <w:t xml:space="preserve">1800</w:t>
            </w:r>
          </w:p>
        </w:tc>
      </w:tr>
      <w:tr>
        <w:tc>
          <w:tcPr/>
          <w:p>
            <w:pPr>
              <w:pStyle w:val="Compact"/>
              <w:spacing w:line="276" w:lineRule="auto"/>
              <w:jc w:val="center"/>
            </w:pPr>
            <w:r>
              <w:rPr>
                <w:rFonts w:ascii="Times New Roman" w:hAnsi="Times New Roman" w:cs="Times New Roman" w:eastAsia="Times New Roman"/>
                <w:b/>
                <w:bCs/>
                <w:sz w:val="22"/>
              </w:rPr>
              <w:t xml:space="preserve">Mean (M)</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7.05</w:t>
            </w:r>
          </w:p>
        </w:tc>
        <w:tc>
          <w:tcPr/>
          <w:p>
            <w:pPr>
              <w:pStyle w:val="Compact"/>
              <w:spacing w:line="276" w:lineRule="auto"/>
              <w:jc w:val="center"/>
            </w:pPr>
            <w:r>
              <w:rPr>
                <w:rFonts w:ascii="Times New Roman" w:hAnsi="Times New Roman" w:cs="Times New Roman" w:eastAsia="Times New Roman"/>
                <w:b/>
                <w:bCs/>
                <w:sz w:val="22"/>
              </w:rPr>
              <w:t xml:space="preserve">11.65</w:t>
            </w:r>
          </w:p>
        </w:tc>
        <w:tc>
          <w:tcPr/>
          <w:p>
            <w:pPr>
              <w:pStyle w:val="Compact"/>
              <w:spacing w:line="276" w:lineRule="auto"/>
              <w:jc w:val="center"/>
            </w:pPr>
            <w:r>
              <w:rPr>
                <w:rFonts w:ascii="Times New Roman" w:hAnsi="Times New Roman" w:cs="Times New Roman" w:eastAsia="Times New Roman"/>
                <w:b/>
                <w:bCs/>
                <w:sz w:val="22"/>
              </w:rPr>
              <w:t xml:space="preserve">9.50</w:t>
            </w:r>
          </w:p>
        </w:tc>
        <w:tc>
          <w:tcPr/>
          <w:p>
            <w:pPr>
              <w:pStyle w:val="Compact"/>
              <w:spacing w:line="276" w:lineRule="auto"/>
              <w:jc w:val="center"/>
            </w:pPr>
            <w:r>
              <w:rPr>
                <w:rFonts w:ascii="Times New Roman" w:hAnsi="Times New Roman" w:cs="Times New Roman" w:eastAsia="Times New Roman"/>
                <w:b/>
                <w:bCs/>
                <w:sz w:val="22"/>
              </w:rPr>
              <w:t xml:space="preserve">8.85</w:t>
            </w:r>
          </w:p>
        </w:tc>
        <w:tc>
          <w:tcPr/>
          <w:p>
            <w:pPr>
              <w:pStyle w:val="Compact"/>
              <w:spacing w:line="276" w:lineRule="auto"/>
              <w:jc w:val="center"/>
            </w:pPr>
            <w:r>
              <w:rPr>
                <w:rFonts w:ascii="Times New Roman" w:hAnsi="Times New Roman" w:cs="Times New Roman" w:eastAsia="Times New Roman"/>
                <w:b/>
                <w:bCs/>
                <w:sz w:val="22"/>
              </w:rPr>
              <w:t xml:space="preserve">11.90</w:t>
            </w:r>
          </w:p>
        </w:tc>
        <w:tc>
          <w:tcPr/>
          <w:p>
            <w:pPr>
              <w:pStyle w:val="Compact"/>
              <w:spacing w:line="276" w:lineRule="auto"/>
              <w:jc w:val="center"/>
            </w:pPr>
            <w:r>
              <w:rPr>
                <w:rFonts w:ascii="Times New Roman" w:hAnsi="Times New Roman" w:cs="Times New Roman" w:eastAsia="Times New Roman"/>
                <w:b/>
                <w:bCs/>
                <w:sz w:val="22"/>
              </w:rPr>
              <w:t xml:space="preserve">7.55</w:t>
            </w:r>
          </w:p>
        </w:tc>
        <w:tc>
          <w:tcPr/>
          <w:p>
            <w:pPr>
              <w:pStyle w:val="Compact"/>
              <w:spacing w:line="276" w:lineRule="auto"/>
              <w:jc w:val="center"/>
            </w:pPr>
            <w:r>
              <w:rPr>
                <w:rFonts w:ascii="Times New Roman" w:hAnsi="Times New Roman" w:cs="Times New Roman" w:eastAsia="Times New Roman"/>
                <w:b/>
                <w:bCs/>
                <w:sz w:val="22"/>
              </w:rPr>
              <w:t xml:space="preserve">10.35</w:t>
            </w:r>
          </w:p>
        </w:tc>
        <w:tc>
          <w:tcPr/>
          <w:p>
            <w:pPr>
              <w:pStyle w:val="Compact"/>
              <w:spacing w:line="276" w:lineRule="auto"/>
              <w:jc w:val="center"/>
            </w:pPr>
            <w:r>
              <w:rPr>
                <w:rFonts w:ascii="Times New Roman" w:hAnsi="Times New Roman" w:cs="Times New Roman" w:eastAsia="Times New Roman"/>
                <w:b/>
                <w:bCs/>
                <w:sz w:val="22"/>
              </w:rPr>
              <w:t xml:space="preserve">9.60</w:t>
            </w:r>
          </w:p>
        </w:tc>
        <w:tc>
          <w:tcPr/>
          <w:p>
            <w:pPr>
              <w:pStyle w:val="Compact"/>
              <w:spacing w:line="276" w:lineRule="auto"/>
              <w:jc w:val="center"/>
            </w:pPr>
            <w:r>
              <w:rPr>
                <w:rFonts w:ascii="Times New Roman" w:hAnsi="Times New Roman" w:cs="Times New Roman" w:eastAsia="Times New Roman"/>
                <w:b/>
                <w:bCs/>
                <w:sz w:val="22"/>
              </w:rPr>
              <w:t xml:space="preserve">7.75</w:t>
            </w:r>
          </w:p>
        </w:tc>
        <w:tc>
          <w:tcPr/>
          <w:p>
            <w:pPr>
              <w:pStyle w:val="Compact"/>
              <w:spacing w:line="276" w:lineRule="auto"/>
              <w:jc w:val="center"/>
            </w:pPr>
            <w:r>
              <w:rPr>
                <w:rFonts w:ascii="Times New Roman" w:hAnsi="Times New Roman" w:cs="Times New Roman" w:eastAsia="Times New Roman"/>
                <w:b/>
                <w:bCs/>
                <w:sz w:val="22"/>
              </w:rPr>
              <w:t xml:space="preserve">5.80</w:t>
            </w:r>
          </w:p>
        </w:tc>
        <w:tc>
          <w:tcPr/>
          <w:p>
            <w:pPr>
              <w:pStyle w:val="Compact"/>
              <w:spacing w:line="276" w:lineRule="auto"/>
              <w:jc w:val="center"/>
            </w:pPr>
            <w:r>
              <w:rPr>
                <w:rFonts w:ascii="Times New Roman" w:hAnsi="Times New Roman" w:cs="Times New Roman" w:eastAsia="Times New Roman"/>
                <w:b/>
                <w:bCs/>
                <w:sz w:val="22"/>
              </w:rPr>
              <w:t xml:space="preserve">90.00</w:t>
            </w:r>
          </w:p>
        </w:tc>
      </w:tr>
      <w:tr>
        <w:tc>
          <w:tcPr/>
          <w:p>
            <w:pPr>
              <w:pStyle w:val="Compact"/>
              <w:spacing w:line="276" w:lineRule="auto"/>
              <w:jc w:val="center"/>
            </w:pPr>
            <w:r>
              <w:rPr>
                <w:rFonts w:ascii="Times New Roman" w:hAnsi="Times New Roman" w:cs="Times New Roman" w:eastAsia="Times New Roman"/>
                <w:b/>
                <w:bCs/>
                <w:sz w:val="22"/>
              </w:rPr>
              <w:t xml:space="preserve">S.D. (σ)</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2.50</w:t>
            </w:r>
          </w:p>
        </w:tc>
        <w:tc>
          <w:tcPr/>
          <w:p>
            <w:pPr>
              <w:pStyle w:val="Compact"/>
              <w:spacing w:line="276" w:lineRule="auto"/>
              <w:jc w:val="center"/>
            </w:pPr>
            <w:r>
              <w:rPr>
                <w:rFonts w:ascii="Times New Roman" w:hAnsi="Times New Roman" w:cs="Times New Roman" w:eastAsia="Times New Roman"/>
                <w:b/>
                <w:bCs/>
                <w:sz w:val="22"/>
              </w:rPr>
              <w:t xml:space="preserve">2.50</w:t>
            </w:r>
          </w:p>
        </w:tc>
        <w:tc>
          <w:tcPr/>
          <w:p>
            <w:pPr>
              <w:pStyle w:val="Compact"/>
              <w:spacing w:line="276" w:lineRule="auto"/>
              <w:jc w:val="center"/>
            </w:pPr>
            <w:r>
              <w:rPr>
                <w:rFonts w:ascii="Times New Roman" w:hAnsi="Times New Roman" w:cs="Times New Roman" w:eastAsia="Times New Roman"/>
                <w:b/>
                <w:bCs/>
                <w:sz w:val="22"/>
              </w:rPr>
              <w:t xml:space="preserve">2.20</w:t>
            </w:r>
          </w:p>
        </w:tc>
        <w:tc>
          <w:tcPr/>
          <w:p>
            <w:pPr>
              <w:pStyle w:val="Compact"/>
              <w:spacing w:line="276" w:lineRule="auto"/>
              <w:jc w:val="center"/>
            </w:pPr>
            <w:r>
              <w:rPr>
                <w:rFonts w:ascii="Times New Roman" w:hAnsi="Times New Roman" w:cs="Times New Roman" w:eastAsia="Times New Roman"/>
                <w:b/>
                <w:bCs/>
                <w:sz w:val="22"/>
              </w:rPr>
              <w:t xml:space="preserve">2.55</w:t>
            </w:r>
          </w:p>
        </w:tc>
        <w:tc>
          <w:tcPr/>
          <w:p>
            <w:pPr>
              <w:pStyle w:val="Compact"/>
              <w:spacing w:line="276" w:lineRule="auto"/>
              <w:jc w:val="center"/>
            </w:pPr>
            <w:r>
              <w:rPr>
                <w:rFonts w:ascii="Times New Roman" w:hAnsi="Times New Roman" w:cs="Times New Roman" w:eastAsia="Times New Roman"/>
                <w:b/>
                <w:bCs/>
                <w:sz w:val="22"/>
              </w:rPr>
              <w:t xml:space="preserve">2.25</w:t>
            </w:r>
          </w:p>
        </w:tc>
        <w:tc>
          <w:tcPr/>
          <w:p>
            <w:pPr>
              <w:pStyle w:val="Compact"/>
              <w:spacing w:line="276" w:lineRule="auto"/>
              <w:jc w:val="center"/>
            </w:pPr>
            <w:r>
              <w:rPr>
                <w:rFonts w:ascii="Times New Roman" w:hAnsi="Times New Roman" w:cs="Times New Roman" w:eastAsia="Times New Roman"/>
                <w:b/>
                <w:bCs/>
                <w:sz w:val="22"/>
              </w:rPr>
              <w:t xml:space="preserve">2.65</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2.20</w:t>
            </w:r>
          </w:p>
        </w:tc>
        <w:tc>
          <w:tcPr/>
          <w:p>
            <w:pPr>
              <w:pStyle w:val="Compact"/>
              <w:spacing w:line="276" w:lineRule="auto"/>
              <w:jc w:val="center"/>
            </w:pPr>
            <w:r>
              <w:rPr>
                <w:rFonts w:ascii="Times New Roman" w:hAnsi="Times New Roman" w:cs="Times New Roman" w:eastAsia="Times New Roman"/>
                <w:b/>
                <w:bCs/>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i/>
          <w:iCs/>
          <w:sz w:val="24"/>
        </w:rPr>
        <w:t xml:space="preserve">Lit = Literary, Sci = Scientific, Exe = Executive, Com = Commercial, Con = Constructive (Technical), Art = Artistic, Agri = Agricultural, Per = Persuasive, Soc = Social, Hou = Household.</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9"/>
    <w:bookmarkStart w:id="160" w:name="appendix-d"/>
    <w:p>
      <w:pPr>
        <w:pStyle w:val="Heading2"/>
        <w:spacing w:line="360" w:lineRule="auto"/>
        <w:jc w:val="center"/>
      </w:pPr>
      <w:r>
        <w:rPr>
          <w:rFonts w:ascii="Times New Roman" w:hAnsi="Times New Roman" w:cs="Times New Roman" w:eastAsia="Times New Roman"/>
          <w:b/>
          <w:sz w:val="28"/>
        </w:rPr>
        <w:t xml:space="preserve">APPENDIX D</w:t>
      </w:r>
    </w:p>
    <w:bookmarkEnd w:id="160"/>
    <w:bookmarkStart w:id="161" w:name="master-sheet-of-raw-scores-girls-n-20"/>
    <w:p>
      <w:pPr>
        <w:pStyle w:val="Heading2"/>
        <w:spacing w:line="360" w:lineRule="auto"/>
        <w:jc w:val="center"/>
      </w:pPr>
      <w:r>
        <w:rPr>
          <w:rFonts w:ascii="Times New Roman" w:hAnsi="Times New Roman" w:cs="Times New Roman" w:eastAsia="Times New Roman"/>
          <w:b/>
          <w:sz w:val="28"/>
        </w:rPr>
        <w:t xml:space="preserve">MASTER SHEET OF RAW SCORES — GIRLS (N = 20)</w:t>
      </w:r>
    </w:p>
    <w:p>
      <w:pPr>
        <w:pStyle w:val="FirstParagraph"/>
        <w:spacing w:line="480" w:lineRule="auto" w:after="120"/>
        <w:jc w:val="both"/>
      </w:pPr>
      <w:r>
        <w:rPr>
          <w:rFonts w:ascii="Times New Roman" w:hAnsi="Times New Roman" w:cs="Times New Roman" w:eastAsia="Times New Roman"/>
          <w:i/>
          <w:iCs/>
          <w:sz w:val="24"/>
        </w:rPr>
        <w:t xml:space="preserve">(Drawn through random sampling from Class IX and X of K.P. International School, Kila Parikshit Garh, Meerut. Students are referred to by serial numbers — G01 to G20 — to preserve anonymity. Scores are out of a maximum of 18 in each area; row total = 90 since the V.I.R. consists of 90 forced-choice items.)</w:t>
      </w:r>
    </w:p>
    <w:tbl>
      <w:tblPr>
        <w:tblStyle w:val="Table"/>
        <w:tblW w:type="pct" w:w="5000"/>
        <w:jc w:val="center"/>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Agri</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G01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G06</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G08</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G10</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G11</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G12</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G14</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G15</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G20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b/>
                <w:bCs/>
                <w:sz w:val="22"/>
              </w:rPr>
              <w:t xml:space="preserve">Sum (ΣX)</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197</w:t>
            </w:r>
          </w:p>
        </w:tc>
        <w:tc>
          <w:tcPr/>
          <w:p>
            <w:pPr>
              <w:pStyle w:val="Compact"/>
              <w:spacing w:line="276" w:lineRule="auto"/>
              <w:jc w:val="center"/>
            </w:pPr>
            <w:r>
              <w:rPr>
                <w:rFonts w:ascii="Times New Roman" w:hAnsi="Times New Roman" w:cs="Times New Roman" w:eastAsia="Times New Roman"/>
                <w:b/>
                <w:bCs/>
                <w:sz w:val="22"/>
              </w:rPr>
              <w:t xml:space="preserve">160</w:t>
            </w:r>
          </w:p>
        </w:tc>
        <w:tc>
          <w:tcPr/>
          <w:p>
            <w:pPr>
              <w:pStyle w:val="Compact"/>
              <w:spacing w:line="276" w:lineRule="auto"/>
              <w:jc w:val="center"/>
            </w:pPr>
            <w:r>
              <w:rPr>
                <w:rFonts w:ascii="Times New Roman" w:hAnsi="Times New Roman" w:cs="Times New Roman" w:eastAsia="Times New Roman"/>
                <w:b/>
                <w:bCs/>
                <w:sz w:val="22"/>
              </w:rPr>
              <w:t xml:space="preserve">161</w:t>
            </w:r>
          </w:p>
        </w:tc>
        <w:tc>
          <w:tcPr/>
          <w:p>
            <w:pPr>
              <w:pStyle w:val="Compact"/>
              <w:spacing w:line="276" w:lineRule="auto"/>
              <w:jc w:val="center"/>
            </w:pPr>
            <w:r>
              <w:rPr>
                <w:rFonts w:ascii="Times New Roman" w:hAnsi="Times New Roman" w:cs="Times New Roman" w:eastAsia="Times New Roman"/>
                <w:b/>
                <w:bCs/>
                <w:sz w:val="22"/>
              </w:rPr>
              <w:t xml:space="preserve">160</w:t>
            </w:r>
          </w:p>
        </w:tc>
        <w:tc>
          <w:tcPr/>
          <w:p>
            <w:pPr>
              <w:pStyle w:val="Compact"/>
              <w:spacing w:line="276" w:lineRule="auto"/>
              <w:jc w:val="center"/>
            </w:pPr>
            <w:r>
              <w:rPr>
                <w:rFonts w:ascii="Times New Roman" w:hAnsi="Times New Roman" w:cs="Times New Roman" w:eastAsia="Times New Roman"/>
                <w:b/>
                <w:bCs/>
                <w:sz w:val="22"/>
              </w:rPr>
              <w:t xml:space="preserve">141</w:t>
            </w:r>
          </w:p>
        </w:tc>
        <w:tc>
          <w:tcPr/>
          <w:p>
            <w:pPr>
              <w:pStyle w:val="Compact"/>
              <w:spacing w:line="276" w:lineRule="auto"/>
              <w:jc w:val="center"/>
            </w:pPr>
            <w:r>
              <w:rPr>
                <w:rFonts w:ascii="Times New Roman" w:hAnsi="Times New Roman" w:cs="Times New Roman" w:eastAsia="Times New Roman"/>
                <w:b/>
                <w:bCs/>
                <w:sz w:val="22"/>
              </w:rPr>
              <w:t xml:space="preserve">220</w:t>
            </w:r>
          </w:p>
        </w:tc>
        <w:tc>
          <w:tcPr/>
          <w:p>
            <w:pPr>
              <w:pStyle w:val="Compact"/>
              <w:spacing w:line="276" w:lineRule="auto"/>
              <w:jc w:val="center"/>
            </w:pPr>
            <w:r>
              <w:rPr>
                <w:rFonts w:ascii="Times New Roman" w:hAnsi="Times New Roman" w:cs="Times New Roman" w:eastAsia="Times New Roman"/>
                <w:b/>
                <w:bCs/>
                <w:sz w:val="22"/>
              </w:rPr>
              <w:t xml:space="preserve">134</w:t>
            </w:r>
          </w:p>
        </w:tc>
        <w:tc>
          <w:tcPr/>
          <w:p>
            <w:pPr>
              <w:pStyle w:val="Compact"/>
              <w:spacing w:line="276" w:lineRule="auto"/>
              <w:jc w:val="center"/>
            </w:pPr>
            <w:r>
              <w:rPr>
                <w:rFonts w:ascii="Times New Roman" w:hAnsi="Times New Roman" w:cs="Times New Roman" w:eastAsia="Times New Roman"/>
                <w:b/>
                <w:bCs/>
                <w:sz w:val="22"/>
              </w:rPr>
              <w:t xml:space="preserve">174</w:t>
            </w:r>
          </w:p>
        </w:tc>
        <w:tc>
          <w:tcPr/>
          <w:p>
            <w:pPr>
              <w:pStyle w:val="Compact"/>
              <w:spacing w:line="276" w:lineRule="auto"/>
              <w:jc w:val="center"/>
            </w:pPr>
            <w:r>
              <w:rPr>
                <w:rFonts w:ascii="Times New Roman" w:hAnsi="Times New Roman" w:cs="Times New Roman" w:eastAsia="Times New Roman"/>
                <w:b/>
                <w:bCs/>
                <w:sz w:val="22"/>
              </w:rPr>
              <w:t xml:space="preserve">211</w:t>
            </w:r>
          </w:p>
        </w:tc>
        <w:tc>
          <w:tcPr/>
          <w:p>
            <w:pPr>
              <w:pStyle w:val="Compact"/>
              <w:spacing w:line="276" w:lineRule="auto"/>
              <w:jc w:val="center"/>
            </w:pPr>
            <w:r>
              <w:rPr>
                <w:rFonts w:ascii="Times New Roman" w:hAnsi="Times New Roman" w:cs="Times New Roman" w:eastAsia="Times New Roman"/>
                <w:b/>
                <w:bCs/>
                <w:sz w:val="22"/>
              </w:rPr>
              <w:t xml:space="preserve">242</w:t>
            </w:r>
          </w:p>
        </w:tc>
        <w:tc>
          <w:tcPr/>
          <w:p>
            <w:pPr>
              <w:pStyle w:val="Compact"/>
              <w:spacing w:line="276" w:lineRule="auto"/>
              <w:jc w:val="center"/>
            </w:pPr>
            <w:r>
              <w:rPr>
                <w:rFonts w:ascii="Times New Roman" w:hAnsi="Times New Roman" w:cs="Times New Roman" w:eastAsia="Times New Roman"/>
                <w:b/>
                <w:bCs/>
                <w:sz w:val="22"/>
              </w:rPr>
              <w:t xml:space="preserve">1800</w:t>
            </w:r>
          </w:p>
        </w:tc>
      </w:tr>
      <w:tr>
        <w:tc>
          <w:tcPr/>
          <w:p>
            <w:pPr>
              <w:pStyle w:val="Compact"/>
              <w:spacing w:line="276" w:lineRule="auto"/>
              <w:jc w:val="center"/>
            </w:pPr>
            <w:r>
              <w:rPr>
                <w:rFonts w:ascii="Times New Roman" w:hAnsi="Times New Roman" w:cs="Times New Roman" w:eastAsia="Times New Roman"/>
                <w:b/>
                <w:bCs/>
                <w:sz w:val="22"/>
              </w:rPr>
              <w:t xml:space="preserve">Mean (M)</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9.85</w:t>
            </w:r>
          </w:p>
        </w:tc>
        <w:tc>
          <w:tcPr/>
          <w:p>
            <w:pPr>
              <w:pStyle w:val="Compact"/>
              <w:spacing w:line="276" w:lineRule="auto"/>
              <w:jc w:val="center"/>
            </w:pPr>
            <w:r>
              <w:rPr>
                <w:rFonts w:ascii="Times New Roman" w:hAnsi="Times New Roman" w:cs="Times New Roman" w:eastAsia="Times New Roman"/>
                <w:b/>
                <w:bCs/>
                <w:sz w:val="22"/>
              </w:rPr>
              <w:t xml:space="preserve">8.00</w:t>
            </w:r>
          </w:p>
        </w:tc>
        <w:tc>
          <w:tcPr/>
          <w:p>
            <w:pPr>
              <w:pStyle w:val="Compact"/>
              <w:spacing w:line="276" w:lineRule="auto"/>
              <w:jc w:val="center"/>
            </w:pPr>
            <w:r>
              <w:rPr>
                <w:rFonts w:ascii="Times New Roman" w:hAnsi="Times New Roman" w:cs="Times New Roman" w:eastAsia="Times New Roman"/>
                <w:b/>
                <w:bCs/>
                <w:sz w:val="22"/>
              </w:rPr>
              <w:t xml:space="preserve">8.05</w:t>
            </w:r>
          </w:p>
        </w:tc>
        <w:tc>
          <w:tcPr/>
          <w:p>
            <w:pPr>
              <w:pStyle w:val="Compact"/>
              <w:spacing w:line="276" w:lineRule="auto"/>
              <w:jc w:val="center"/>
            </w:pPr>
            <w:r>
              <w:rPr>
                <w:rFonts w:ascii="Times New Roman" w:hAnsi="Times New Roman" w:cs="Times New Roman" w:eastAsia="Times New Roman"/>
                <w:b/>
                <w:bCs/>
                <w:sz w:val="22"/>
              </w:rPr>
              <w:t xml:space="preserve">8.00</w:t>
            </w:r>
          </w:p>
        </w:tc>
        <w:tc>
          <w:tcPr/>
          <w:p>
            <w:pPr>
              <w:pStyle w:val="Compact"/>
              <w:spacing w:line="276" w:lineRule="auto"/>
              <w:jc w:val="center"/>
            </w:pPr>
            <w:r>
              <w:rPr>
                <w:rFonts w:ascii="Times New Roman" w:hAnsi="Times New Roman" w:cs="Times New Roman" w:eastAsia="Times New Roman"/>
                <w:b/>
                <w:bCs/>
                <w:sz w:val="22"/>
              </w:rPr>
              <w:t xml:space="preserve">7.05</w:t>
            </w:r>
          </w:p>
        </w:tc>
        <w:tc>
          <w:tcPr/>
          <w:p>
            <w:pPr>
              <w:pStyle w:val="Compact"/>
              <w:spacing w:line="276" w:lineRule="auto"/>
              <w:jc w:val="center"/>
            </w:pPr>
            <w:r>
              <w:rPr>
                <w:rFonts w:ascii="Times New Roman" w:hAnsi="Times New Roman" w:cs="Times New Roman" w:eastAsia="Times New Roman"/>
                <w:b/>
                <w:bCs/>
                <w:sz w:val="22"/>
              </w:rPr>
              <w:t xml:space="preserve">11.00</w:t>
            </w:r>
          </w:p>
        </w:tc>
        <w:tc>
          <w:tcPr/>
          <w:p>
            <w:pPr>
              <w:pStyle w:val="Compact"/>
              <w:spacing w:line="276" w:lineRule="auto"/>
              <w:jc w:val="center"/>
            </w:pPr>
            <w:r>
              <w:rPr>
                <w:rFonts w:ascii="Times New Roman" w:hAnsi="Times New Roman" w:cs="Times New Roman" w:eastAsia="Times New Roman"/>
                <w:b/>
                <w:bCs/>
                <w:sz w:val="22"/>
              </w:rPr>
              <w:t xml:space="preserve">6.70</w:t>
            </w:r>
          </w:p>
        </w:tc>
        <w:tc>
          <w:tcPr/>
          <w:p>
            <w:pPr>
              <w:pStyle w:val="Compact"/>
              <w:spacing w:line="276" w:lineRule="auto"/>
              <w:jc w:val="center"/>
            </w:pPr>
            <w:r>
              <w:rPr>
                <w:rFonts w:ascii="Times New Roman" w:hAnsi="Times New Roman" w:cs="Times New Roman" w:eastAsia="Times New Roman"/>
                <w:b/>
                <w:bCs/>
                <w:sz w:val="22"/>
              </w:rPr>
              <w:t xml:space="preserve">8.70</w:t>
            </w:r>
          </w:p>
        </w:tc>
        <w:tc>
          <w:tcPr/>
          <w:p>
            <w:pPr>
              <w:pStyle w:val="Compact"/>
              <w:spacing w:line="276" w:lineRule="auto"/>
              <w:jc w:val="center"/>
            </w:pPr>
            <w:r>
              <w:rPr>
                <w:rFonts w:ascii="Times New Roman" w:hAnsi="Times New Roman" w:cs="Times New Roman" w:eastAsia="Times New Roman"/>
                <w:b/>
                <w:bCs/>
                <w:sz w:val="22"/>
              </w:rPr>
              <w:t xml:space="preserve">10.55</w:t>
            </w:r>
          </w:p>
        </w:tc>
        <w:tc>
          <w:tcPr/>
          <w:p>
            <w:pPr>
              <w:pStyle w:val="Compact"/>
              <w:spacing w:line="276" w:lineRule="auto"/>
              <w:jc w:val="center"/>
            </w:pPr>
            <w:r>
              <w:rPr>
                <w:rFonts w:ascii="Times New Roman" w:hAnsi="Times New Roman" w:cs="Times New Roman" w:eastAsia="Times New Roman"/>
                <w:b/>
                <w:bCs/>
                <w:sz w:val="22"/>
              </w:rPr>
              <w:t xml:space="preserve">12.10</w:t>
            </w:r>
          </w:p>
        </w:tc>
        <w:tc>
          <w:tcPr/>
          <w:p>
            <w:pPr>
              <w:pStyle w:val="Compact"/>
              <w:spacing w:line="276" w:lineRule="auto"/>
              <w:jc w:val="center"/>
            </w:pPr>
            <w:r>
              <w:rPr>
                <w:rFonts w:ascii="Times New Roman" w:hAnsi="Times New Roman" w:cs="Times New Roman" w:eastAsia="Times New Roman"/>
                <w:b/>
                <w:bCs/>
                <w:sz w:val="22"/>
              </w:rPr>
              <w:t xml:space="preserve">90.00</w:t>
            </w:r>
          </w:p>
        </w:tc>
      </w:tr>
      <w:tr>
        <w:tc>
          <w:tcPr/>
          <w:p>
            <w:pPr>
              <w:pStyle w:val="Compact"/>
              <w:spacing w:line="276" w:lineRule="auto"/>
              <w:jc w:val="center"/>
            </w:pPr>
            <w:r>
              <w:rPr>
                <w:rFonts w:ascii="Times New Roman" w:hAnsi="Times New Roman" w:cs="Times New Roman" w:eastAsia="Times New Roman"/>
                <w:b/>
                <w:bCs/>
                <w:sz w:val="22"/>
              </w:rPr>
              <w:t xml:space="preserve">S.D. (σ)</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2.10</w:t>
            </w:r>
          </w:p>
        </w:tc>
        <w:tc>
          <w:tcPr/>
          <w:p>
            <w:pPr>
              <w:pStyle w:val="Compact"/>
              <w:spacing w:line="276" w:lineRule="auto"/>
              <w:jc w:val="center"/>
            </w:pPr>
            <w:r>
              <w:rPr>
                <w:rFonts w:ascii="Times New Roman" w:hAnsi="Times New Roman" w:cs="Times New Roman" w:eastAsia="Times New Roman"/>
                <w:b/>
                <w:bCs/>
                <w:sz w:val="22"/>
              </w:rPr>
              <w:t xml:space="preserve">2.65</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2.40</w:t>
            </w:r>
          </w:p>
        </w:tc>
        <w:tc>
          <w:tcPr/>
          <w:p>
            <w:pPr>
              <w:pStyle w:val="Compact"/>
              <w:spacing w:line="276" w:lineRule="auto"/>
              <w:jc w:val="center"/>
            </w:pPr>
            <w:r>
              <w:rPr>
                <w:rFonts w:ascii="Times New Roman" w:hAnsi="Times New Roman" w:cs="Times New Roman" w:eastAsia="Times New Roman"/>
                <w:b/>
                <w:bCs/>
                <w:sz w:val="22"/>
              </w:rPr>
              <w:t xml:space="preserve">2.60</w:t>
            </w:r>
          </w:p>
        </w:tc>
        <w:tc>
          <w:tcPr/>
          <w:p>
            <w:pPr>
              <w:pStyle w:val="Compact"/>
              <w:spacing w:line="276" w:lineRule="auto"/>
              <w:jc w:val="center"/>
            </w:pPr>
            <w:r>
              <w:rPr>
                <w:rFonts w:ascii="Times New Roman" w:hAnsi="Times New Roman" w:cs="Times New Roman" w:eastAsia="Times New Roman"/>
                <w:b/>
                <w:bCs/>
                <w:sz w:val="22"/>
              </w:rPr>
              <w:t xml:space="preserve">2.05</w:t>
            </w:r>
          </w:p>
        </w:tc>
        <w:tc>
          <w:tcPr/>
          <w:p>
            <w:pPr>
              <w:pStyle w:val="Compact"/>
              <w:spacing w:line="276" w:lineRule="auto"/>
              <w:jc w:val="center"/>
            </w:pPr>
            <w:r>
              <w:rPr>
                <w:rFonts w:ascii="Times New Roman" w:hAnsi="Times New Roman" w:cs="Times New Roman" w:eastAsia="Times New Roman"/>
                <w:b/>
                <w:bCs/>
                <w:sz w:val="22"/>
              </w:rPr>
              <w:t xml:space="preserve">2.50</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i/>
          <w:iCs/>
          <w:sz w:val="24"/>
        </w:rPr>
        <w:t xml:space="preserve">The marginal differences (≤ 0.05) between the area-means in this Master Sheet (e.g., Sci = 8.00, Per = 8.70) and the means quoted in the analysis tables of Chapter IV (Sci = 7.95, Per = 8.65) are due to ordinary rounding of the original raw-score sums in the spreadsheet computation, and do not affect any of the t-test conclusions.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1"/>
    <w:bookmarkStart w:id="162" w:name="appendix-e"/>
    <w:p>
      <w:pPr>
        <w:pStyle w:val="Heading2"/>
        <w:spacing w:line="360" w:lineRule="auto"/>
        <w:jc w:val="center"/>
      </w:pPr>
      <w:r>
        <w:rPr>
          <w:rFonts w:ascii="Times New Roman" w:hAnsi="Times New Roman" w:cs="Times New Roman" w:eastAsia="Times New Roman"/>
          <w:b/>
          <w:sz w:val="28"/>
        </w:rPr>
        <w:t xml:space="preserve">APPENDIX E</w:t>
      </w:r>
    </w:p>
    <w:bookmarkEnd w:id="162"/>
    <w:bookmarkStart w:id="166" w:name="sample-calculations-mean-s.d.-and-t-test"/>
    <w:p>
      <w:pPr>
        <w:pStyle w:val="Heading2"/>
        <w:spacing w:line="360" w:lineRule="auto"/>
        <w:jc w:val="center"/>
      </w:pPr>
      <w:r>
        <w:rPr>
          <w:rFonts w:ascii="Times New Roman" w:hAnsi="Times New Roman" w:cs="Times New Roman" w:eastAsia="Times New Roman"/>
          <w:b/>
          <w:sz w:val="28"/>
        </w:rPr>
        <w:t xml:space="preserve">SAMPLE CALCULATIONS (MEAN, S.D. AND t-TEST)</w:t>
      </w:r>
    </w:p>
    <w:p>
      <w:pPr>
        <w:pStyle w:val="FirstParagraph"/>
        <w:spacing w:line="480" w:lineRule="auto" w:after="120"/>
        <w:jc w:val="both"/>
      </w:pPr>
      <w:r>
        <w:rPr>
          <w:rFonts w:ascii="Times New Roman" w:hAnsi="Times New Roman" w:cs="Times New Roman" w:eastAsia="Times New Roman"/>
          <w:sz w:val="24"/>
        </w:rPr>
        <w:t xml:space="preserve">To illustrate the computational procedure followed in Chapter IV, the calculations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4.6)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4.10) are worked out below in full. Identical computations were performed on each of the remaining eight areas; the values quoted in the analysis tables of Chapter IV are the outcome of these calculations, executed both manually and with the help of a Microsoft Excel spreadsheet for cross-checking.</w:t>
      </w:r>
    </w:p>
    <w:bookmarkStart w:id="163" w:name="Xcf117c391b67a9f6c5dbbdf34beb917a0ffbd0c"/>
    <w:p>
      <w:pPr>
        <w:pStyle w:val="Heading3"/>
        <w:spacing w:line="360" w:lineRule="auto"/>
        <w:jc w:val="left"/>
      </w:pPr>
      <w:r>
        <w:rPr>
          <w:rFonts w:ascii="Times New Roman" w:hAnsi="Times New Roman" w:cs="Times New Roman" w:eastAsia="Times New Roman"/>
          <w:b/>
          <w:sz w:val="26"/>
        </w:rPr>
        <w:t xml:space="preserve">E.1 Sample Calculation — Literary Interest (Table 4.6)</w:t>
      </w:r>
    </w:p>
    <w:p>
      <w:pPr>
        <w:pStyle w:val="FirstParagraph"/>
        <w:spacing w:line="480" w:lineRule="auto" w:after="120"/>
        <w:jc w:val="both"/>
      </w:pPr>
      <w:r>
        <w:rPr>
          <w:rFonts w:ascii="Times New Roman" w:hAnsi="Times New Roman" w:cs="Times New Roman" w:eastAsia="Times New Roman"/>
          <w:b/>
          <w:bCs/>
          <w:sz w:val="24"/>
        </w:rPr>
        <w:t xml:space="preserve">Boys (N₁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Appendix C:</w:t>
      </w:r>
    </w:p>
    <w:p>
      <w:pPr>
        <w:pStyle w:val="BodyText"/>
        <w:spacing w:line="480" w:lineRule="auto" w:after="120"/>
        <w:jc w:val="both"/>
      </w:pPr>
      <w:r>
        <w:rPr>
          <w:rFonts w:ascii="Times New Roman" w:hAnsi="Times New Roman" w:cs="Times New Roman" w:eastAsia="Times New Roman"/>
          <w:sz w:val="24"/>
        </w:rPr>
        <w:t xml:space="preserve">ΣX₁ = 7 + 6 + 8 + 5 + 9 + 7 + 6 + 8 + 4 + 7 + 5 + 8 + 9 + 6 + 7 + 8 + 11 + 5 + 6 + 9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141</w:t>
      </w:r>
    </w:p>
    <w:p>
      <w:pPr>
        <w:pStyle w:val="BodyText"/>
        <w:spacing w:line="480" w:lineRule="auto" w:after="120"/>
        <w:jc w:val="both"/>
      </w:pPr>
      <m:oMathPara>
        <m:oMathParaPr>
          <m:jc m:val="center"/>
        </m:oMathParaPr>
        <m:oMath>
          <m:sSub>
            <m:e>
              <m:r>
                <m:t>M</m:t>
              </m:r>
            </m:e>
            <m:sub>
              <m:r>
                <m:t>1</m:t>
              </m:r>
            </m:sub>
          </m:sSub>
          <m:r>
            <m:rPr>
              <m:sty m:val="p"/>
            </m:rPr>
            <m:t>=</m:t>
          </m:r>
          <m:f>
            <m:fPr>
              <m:type m:val="bar"/>
            </m:fPr>
            <m:num>
              <m:r>
                <m:rPr>
                  <m:sty m:val="p"/>
                </m:rPr>
                <m:t>Σ</m:t>
              </m:r>
              <m:sSub>
                <m:e>
                  <m:r>
                    <m:t>X</m:t>
                  </m:r>
                </m:e>
                <m:sub>
                  <m:r>
                    <m:t>1</m:t>
                  </m:r>
                </m:sub>
              </m:sSub>
            </m:num>
            <m:den>
              <m:sSub>
                <m:e>
                  <m:r>
                    <m:t>N</m:t>
                  </m:r>
                </m:e>
                <m:sub>
                  <m:r>
                    <m:t>1</m:t>
                  </m:r>
                </m:sub>
              </m:sSub>
            </m:den>
          </m:f>
          <m:r>
            <m:rPr>
              <m:sty m:val="p"/>
            </m:rPr>
            <m:t>=</m:t>
          </m:r>
          <m:f>
            <m:fPr>
              <m:type m:val="bar"/>
            </m:fPr>
            <m:num>
              <m:r>
                <m:t>141</m:t>
              </m:r>
            </m:num>
            <m:den>
              <m:r>
                <m:t>20</m:t>
              </m:r>
            </m:den>
          </m:f>
          <m:r>
            <m:rPr>
              <m:sty m:val="p"/>
            </m:rPr>
            <m:t>=</m:t>
          </m:r>
          <m:r>
            <m:rPr>
              <m:sty m:val="b"/>
            </m:rPr>
            <m:t>7.05</m:t>
          </m:r>
        </m:oMath>
      </m:oMathPara>
    </w:p>
    <w:p>
      <w:pPr>
        <w:pStyle w:val="FirstParagraph"/>
        <w:spacing w:line="480" w:lineRule="auto" w:after="120"/>
        <w:jc w:val="both"/>
      </w:pPr>
      <w:r>
        <w:rPr>
          <w:rFonts w:ascii="Times New Roman" w:hAnsi="Times New Roman" w:cs="Times New Roman" w:eastAsia="Times New Roman"/>
          <w:sz w:val="24"/>
        </w:rPr>
        <w:t xml:space="preserve">Σ(X₁ − M₁)² = (7−7.05)² + (6−7.05)² + … + (9−7.05)² ≈ 100.45</w:t>
      </w:r>
    </w:p>
    <w:p>
      <w:pPr>
        <w:pStyle w:val="BodyText"/>
        <w:spacing w:line="480" w:lineRule="auto" w:after="120"/>
        <w:jc w:val="both"/>
      </w:pPr>
      <m:oMathPara>
        <m:oMathParaPr>
          <m:jc m:val="center"/>
        </m:oMathParaPr>
        <m:oMath>
          <m:sSub>
            <m:e>
              <m:r>
                <m:t>σ</m:t>
              </m:r>
            </m:e>
            <m:sub>
              <m:r>
                <m:t>1</m:t>
              </m:r>
            </m:sub>
          </m:sSub>
          <m:r>
            <m:rPr>
              <m:sty m:val="p"/>
            </m:rPr>
            <m:t>=</m:t>
          </m:r>
          <m:rad>
            <m:radPr>
              <m:degHide m:val="on"/>
            </m:radPr>
            <m:deg/>
            <m:e>
              <m:f>
                <m:fPr>
                  <m:type m:val="bar"/>
                </m:fPr>
                <m:num>
                  <m:r>
                    <m:rPr>
                      <m:sty m:val="p"/>
                    </m:rPr>
                    <m:t>Σ</m:t>
                  </m:r>
                  <m:r>
                    <m:rPr>
                      <m:sty m:val="p"/>
                    </m:rPr>
                    <m:t>(</m:t>
                  </m:r>
                  <m:sSub>
                    <m:e>
                      <m:r>
                        <m:t>X</m:t>
                      </m:r>
                    </m:e>
                    <m:sub>
                      <m:r>
                        <m:t>1</m:t>
                      </m:r>
                    </m:sub>
                  </m:sSub>
                  <m:r>
                    <m:rPr>
                      <m:sty m:val="p"/>
                    </m:rPr>
                    <m:t>−</m:t>
                  </m:r>
                  <m:sSub>
                    <m:e>
                      <m:r>
                        <m:t>M</m:t>
                      </m:r>
                    </m:e>
                    <m:sub>
                      <m:r>
                        <m:t>1</m:t>
                      </m:r>
                    </m:sub>
                  </m:sSub>
                  <m:sSup>
                    <m:e>
                      <m:r>
                        <m:rPr>
                          <m:sty m:val="p"/>
                        </m:rPr>
                        <m:t>)</m:t>
                      </m:r>
                    </m:e>
                    <m:sup>
                      <m:r>
                        <m:t>2</m:t>
                      </m:r>
                    </m:sup>
                  </m:sSup>
                </m:num>
                <m:den>
                  <m:sSub>
                    <m:e>
                      <m:r>
                        <m:t>N</m:t>
                      </m:r>
                    </m:e>
                    <m:sub>
                      <m:r>
                        <m:t>1</m:t>
                      </m:r>
                    </m:sub>
                  </m:sSub>
                  <m:r>
                    <m:rPr>
                      <m:sty m:val="p"/>
                    </m:rPr>
                    <m:t>−</m:t>
                  </m:r>
                  <m:r>
                    <m:t>1</m:t>
                  </m:r>
                </m:den>
              </m:f>
            </m:e>
          </m:rad>
          <m:r>
            <m:rPr>
              <m:sty m:val="p"/>
            </m:rPr>
            <m:t>=</m:t>
          </m:r>
          <m:rad>
            <m:radPr>
              <m:degHide m:val="on"/>
            </m:radPr>
            <m:deg/>
            <m:e>
              <m:f>
                <m:fPr>
                  <m:type m:val="bar"/>
                </m:fPr>
                <m:num>
                  <m:r>
                    <m:t>100.45</m:t>
                  </m:r>
                </m:num>
                <m:den>
                  <m:r>
                    <m:t>19</m:t>
                  </m:r>
                </m:den>
              </m:f>
            </m:e>
          </m:rad>
          <m:r>
            <m:rPr>
              <m:sty m:val="p"/>
            </m:rPr>
            <m:t>=</m:t>
          </m:r>
          <m:rad>
            <m:radPr>
              <m:degHide m:val="on"/>
            </m:radPr>
            <m:deg/>
            <m:e>
              <m:r>
                <m:t>5.29</m:t>
              </m:r>
            </m:e>
          </m:rad>
          <m:r>
            <m:rPr>
              <m:sty m:val="p"/>
            </m:rPr>
            <m:t>=</m:t>
          </m:r>
          <m:r>
            <m:rPr>
              <m:sty m:val="b"/>
            </m:rPr>
            <m:t>2.30</m:t>
          </m:r>
        </m:oMath>
      </m:oMathPara>
    </w:p>
    <w:p>
      <w:pPr>
        <w:pStyle w:val="FirstParagraph"/>
        <w:spacing w:line="480" w:lineRule="auto" w:after="120"/>
        <w:jc w:val="both"/>
      </w:pPr>
      <w:r>
        <w:rPr>
          <w:rFonts w:ascii="Times New Roman" w:hAnsi="Times New Roman" w:cs="Times New Roman" w:eastAsia="Times New Roman"/>
          <w:b/>
          <w:bCs/>
          <w:sz w:val="24"/>
        </w:rPr>
        <w:t xml:space="preserve">Girls (N₂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Appendix D:</w:t>
      </w:r>
    </w:p>
    <w:p>
      <w:pPr>
        <w:pStyle w:val="BodyText"/>
        <w:spacing w:line="480" w:lineRule="auto" w:after="120"/>
        <w:jc w:val="both"/>
      </w:pPr>
      <w:r>
        <w:rPr>
          <w:rFonts w:ascii="Times New Roman" w:hAnsi="Times New Roman" w:cs="Times New Roman" w:eastAsia="Times New Roman"/>
          <w:sz w:val="24"/>
        </w:rPr>
        <w:t xml:space="preserve">ΣX₂ = 9 + 10 + 9 + 11 + 10 + 10 + 9 + 12 + 8 + 9 + 10 + 12 + 9 + 9 + 11 + 8 + 9 + 12 + 9 + 11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197</w:t>
      </w:r>
    </w:p>
    <w:p>
      <w:pPr>
        <w:pStyle w:val="BodyText"/>
        <w:spacing w:line="480" w:lineRule="auto" w:after="120"/>
        <w:jc w:val="both"/>
      </w:pPr>
      <m:oMathPara>
        <m:oMathParaPr>
          <m:jc m:val="center"/>
        </m:oMathParaPr>
        <m:oMath>
          <m:sSub>
            <m:e>
              <m:r>
                <m:t>M</m:t>
              </m:r>
            </m:e>
            <m:sub>
              <m:r>
                <m:t>2</m:t>
              </m:r>
            </m:sub>
          </m:sSub>
          <m:r>
            <m:rPr>
              <m:sty m:val="p"/>
            </m:rPr>
            <m:t>=</m:t>
          </m:r>
          <m:f>
            <m:fPr>
              <m:type m:val="bar"/>
            </m:fPr>
            <m:num>
              <m:r>
                <m:rPr>
                  <m:sty m:val="p"/>
                </m:rPr>
                <m:t>Σ</m:t>
              </m:r>
              <m:sSub>
                <m:e>
                  <m:r>
                    <m:t>X</m:t>
                  </m:r>
                </m:e>
                <m:sub>
                  <m:r>
                    <m:t>2</m:t>
                  </m:r>
                </m:sub>
              </m:sSub>
            </m:num>
            <m:den>
              <m:sSub>
                <m:e>
                  <m:r>
                    <m:t>N</m:t>
                  </m:r>
                </m:e>
                <m:sub>
                  <m:r>
                    <m:t>2</m:t>
                  </m:r>
                </m:sub>
              </m:sSub>
            </m:den>
          </m:f>
          <m:r>
            <m:rPr>
              <m:sty m:val="p"/>
            </m:rPr>
            <m:t>=</m:t>
          </m:r>
          <m:f>
            <m:fPr>
              <m:type m:val="bar"/>
            </m:fPr>
            <m:num>
              <m:r>
                <m:t>197</m:t>
              </m:r>
            </m:num>
            <m:den>
              <m:r>
                <m:t>20</m:t>
              </m:r>
            </m:den>
          </m:f>
          <m:r>
            <m:rPr>
              <m:sty m:val="p"/>
            </m:rPr>
            <m:t>=</m:t>
          </m:r>
          <m:r>
            <m:rPr>
              <m:sty m:val="b"/>
            </m:rPr>
            <m:t>9.85</m:t>
          </m:r>
        </m:oMath>
      </m:oMathPara>
    </w:p>
    <w:p>
      <w:pPr>
        <w:pStyle w:val="FirstParagraph"/>
        <w:spacing w:line="480" w:lineRule="auto" w:after="120"/>
        <w:jc w:val="both"/>
      </w:pPr>
      <w:r>
        <w:rPr>
          <w:rFonts w:ascii="Times New Roman" w:hAnsi="Times New Roman" w:cs="Times New Roman" w:eastAsia="Times New Roman"/>
          <w:sz w:val="24"/>
        </w:rPr>
        <w:t xml:space="preserve">Σ(X₂ − M₂)² ≈ 83.79</w:t>
      </w:r>
    </w:p>
    <w:p>
      <w:pPr>
        <w:pStyle w:val="BodyText"/>
        <w:spacing w:line="480" w:lineRule="auto" w:after="120"/>
        <w:jc w:val="both"/>
      </w:pPr>
      <m:oMathPara>
        <m:oMathParaPr>
          <m:jc m:val="center"/>
        </m:oMathParaPr>
        <m:oMath>
          <m:sSub>
            <m:e>
              <m:r>
                <m:t>σ</m:t>
              </m:r>
            </m:e>
            <m:sub>
              <m:r>
                <m:t>2</m:t>
              </m:r>
            </m:sub>
          </m:sSub>
          <m:r>
            <m:rPr>
              <m:sty m:val="p"/>
            </m:rPr>
            <m:t>=</m:t>
          </m:r>
          <m:rad>
            <m:radPr>
              <m:degHide m:val="on"/>
            </m:radPr>
            <m:deg/>
            <m:e>
              <m:f>
                <m:fPr>
                  <m:type m:val="bar"/>
                </m:fPr>
                <m:num>
                  <m:r>
                    <m:rPr>
                      <m:sty m:val="p"/>
                    </m:rPr>
                    <m:t>Σ</m:t>
                  </m:r>
                  <m:r>
                    <m:rPr>
                      <m:sty m:val="p"/>
                    </m:rPr>
                    <m:t>(</m:t>
                  </m:r>
                  <m:sSub>
                    <m:e>
                      <m:r>
                        <m:t>X</m:t>
                      </m:r>
                    </m:e>
                    <m:sub>
                      <m:r>
                        <m:t>2</m:t>
                      </m:r>
                    </m:sub>
                  </m:sSub>
                  <m:r>
                    <m:rPr>
                      <m:sty m:val="p"/>
                    </m:rPr>
                    <m:t>−</m:t>
                  </m:r>
                  <m:sSub>
                    <m:e>
                      <m:r>
                        <m:t>M</m:t>
                      </m:r>
                    </m:e>
                    <m:sub>
                      <m:r>
                        <m:t>2</m:t>
                      </m:r>
                    </m:sub>
                  </m:sSub>
                  <m:sSup>
                    <m:e>
                      <m:r>
                        <m:rPr>
                          <m:sty m:val="p"/>
                        </m:rPr>
                        <m:t>)</m:t>
                      </m:r>
                    </m:e>
                    <m:sup>
                      <m:r>
                        <m:t>2</m:t>
                      </m:r>
                    </m:sup>
                  </m:sSup>
                </m:num>
                <m:den>
                  <m:sSub>
                    <m:e>
                      <m:r>
                        <m:t>N</m:t>
                      </m:r>
                    </m:e>
                    <m:sub>
                      <m:r>
                        <m:t>2</m:t>
                      </m:r>
                    </m:sub>
                  </m:sSub>
                  <m:r>
                    <m:rPr>
                      <m:sty m:val="p"/>
                    </m:rPr>
                    <m:t>−</m:t>
                  </m:r>
                  <m:r>
                    <m:t>1</m:t>
                  </m:r>
                </m:den>
              </m:f>
            </m:e>
          </m:rad>
          <m:r>
            <m:rPr>
              <m:sty m:val="p"/>
            </m:rPr>
            <m:t>=</m:t>
          </m:r>
          <m:rad>
            <m:radPr>
              <m:degHide m:val="on"/>
            </m:radPr>
            <m:deg/>
            <m:e>
              <m:f>
                <m:fPr>
                  <m:type m:val="bar"/>
                </m:fPr>
                <m:num>
                  <m:r>
                    <m:t>83.79</m:t>
                  </m:r>
                </m:num>
                <m:den>
                  <m:r>
                    <m:t>19</m:t>
                  </m:r>
                </m:den>
              </m:f>
            </m:e>
          </m:rad>
          <m:r>
            <m:rPr>
              <m:sty m:val="p"/>
            </m:rPr>
            <m:t>=</m:t>
          </m:r>
          <m:rad>
            <m:radPr>
              <m:degHide m:val="on"/>
            </m:radPr>
            <m:deg/>
            <m:e>
              <m:r>
                <m:t>4.41</m:t>
              </m:r>
            </m:e>
          </m:rad>
          <m:r>
            <m:rPr>
              <m:sty m:val="p"/>
            </m:rPr>
            <m:t>=</m:t>
          </m:r>
          <m:r>
            <m:rPr>
              <m:sty m:val="b"/>
            </m:rPr>
            <m:t>2.10</m:t>
          </m:r>
        </m:oMath>
      </m:oMathPara>
    </w:p>
    <w:p>
      <w:pPr>
        <w:pStyle w:val="FirstParagraph"/>
        <w:spacing w:line="480" w:lineRule="auto" w:after="120"/>
        <w:jc w:val="both"/>
      </w:pPr>
      <w:r>
        <w:rPr>
          <w:rFonts w:ascii="Times New Roman" w:hAnsi="Times New Roman" w:cs="Times New Roman" w:eastAsia="Times New Roman"/>
          <w:b/>
          <w:bCs/>
          <w:sz w:val="24"/>
        </w:rPr>
        <w:t xml:space="preserve">Difference of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M₂ − M₁ = 9.85 − 7.05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2.80</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Pooled Variance.</w:t>
      </w:r>
    </w:p>
    <w:p>
      <w:pPr>
        <w:pStyle w:val="BodyText"/>
        <w:spacing w:line="480" w:lineRule="auto" w:after="120"/>
        <w:jc w:val="both"/>
      </w:pPr>
      <m:oMathPara>
        <m:oMathParaPr>
          <m:jc m:val="center"/>
        </m:oMathParaPr>
        <m:oMath>
          <m:sSubSup>
            <m:e>
              <m:r>
                <m:t>S</m:t>
              </m:r>
            </m:e>
            <m:sub>
              <m:r>
                <m:t>p</m:t>
              </m:r>
            </m:sub>
            <m:sup>
              <m:r>
                <m:t>2</m:t>
              </m:r>
            </m:sup>
          </m:sSubSup>
          <m:r>
            <m:rPr>
              <m:sty m:val="p"/>
            </m:rPr>
            <m:t>=</m:t>
          </m:r>
          <m:f>
            <m:fPr>
              <m:type m:val="bar"/>
            </m:fPr>
            <m:num>
              <m:r>
                <m:rPr>
                  <m:sty m:val="p"/>
                </m:rPr>
                <m:t>(</m:t>
              </m:r>
              <m:sSub>
                <m:e>
                  <m:r>
                    <m:t>N</m:t>
                  </m:r>
                </m:e>
                <m:sub>
                  <m:r>
                    <m:t>1</m:t>
                  </m:r>
                </m:sub>
              </m:sSub>
              <m:r>
                <m:rPr>
                  <m:sty m:val="p"/>
                </m:rPr>
                <m:t>−</m:t>
              </m:r>
              <m:r>
                <m:t>1</m:t>
              </m:r>
              <m:r>
                <m:rPr>
                  <m:sty m:val="p"/>
                </m:rPr>
                <m:t>)</m:t>
              </m:r>
              <m:sSubSup>
                <m:e>
                  <m:r>
                    <m:t>σ</m:t>
                  </m:r>
                </m:e>
                <m:sub>
                  <m:r>
                    <m:t>1</m:t>
                  </m:r>
                </m:sub>
                <m:sup>
                  <m:r>
                    <m:t>2</m:t>
                  </m:r>
                </m:sup>
              </m:sSubSup>
              <m:r>
                <m:rPr>
                  <m:sty m:val="p"/>
                </m:rPr>
                <m:t>+</m:t>
              </m:r>
              <m:r>
                <m:rPr>
                  <m:sty m:val="p"/>
                </m:rPr>
                <m:t>(</m:t>
              </m:r>
              <m:sSub>
                <m:e>
                  <m:r>
                    <m:t>N</m:t>
                  </m:r>
                </m:e>
                <m:sub>
                  <m:r>
                    <m:t>2</m:t>
                  </m:r>
                </m:sub>
              </m:sSub>
              <m:r>
                <m:rPr>
                  <m:sty m:val="p"/>
                </m:rPr>
                <m:t>−</m:t>
              </m:r>
              <m:r>
                <m:t>1</m:t>
              </m:r>
              <m:r>
                <m:rPr>
                  <m:sty m:val="p"/>
                </m:rPr>
                <m:t>)</m:t>
              </m:r>
              <m:sSubSup>
                <m:e>
                  <m:r>
                    <m:t>σ</m:t>
                  </m:r>
                </m:e>
                <m:sub>
                  <m:r>
                    <m:t>2</m:t>
                  </m:r>
                </m:sub>
                <m:sup>
                  <m:r>
                    <m:t>2</m:t>
                  </m:r>
                </m:sup>
              </m:sSubSup>
            </m:num>
            <m:den>
              <m:sSub>
                <m:e>
                  <m:r>
                    <m:t>N</m:t>
                  </m:r>
                </m:e>
                <m:sub>
                  <m:r>
                    <m:t>1</m:t>
                  </m:r>
                </m:sub>
              </m:sSub>
              <m:r>
                <m:rPr>
                  <m:sty m:val="p"/>
                </m:rPr>
                <m:t>+</m:t>
              </m:r>
              <m:sSub>
                <m:e>
                  <m:r>
                    <m:t>N</m:t>
                  </m:r>
                </m:e>
                <m:sub>
                  <m:r>
                    <m:t>2</m:t>
                  </m:r>
                </m:sub>
              </m:sSub>
              <m:r>
                <m:rPr>
                  <m:sty m:val="p"/>
                </m:rPr>
                <m:t>−</m:t>
              </m:r>
              <m:r>
                <m:t>2</m:t>
              </m:r>
            </m:den>
          </m:f>
          <m:r>
            <m:rPr>
              <m:sty m:val="p"/>
            </m:rPr>
            <m:t>=</m:t>
          </m:r>
          <m:f>
            <m:fPr>
              <m:type m:val="bar"/>
            </m:fPr>
            <m:num>
              <m:r>
                <m:t>19</m:t>
              </m:r>
              <m:r>
                <m:rPr>
                  <m:sty m:val="p"/>
                </m:rPr>
                <m:t>×</m:t>
              </m:r>
              <m:r>
                <m:t>5.29</m:t>
              </m:r>
              <m:r>
                <m:rPr>
                  <m:sty m:val="p"/>
                </m:rPr>
                <m:t>+</m:t>
              </m:r>
              <m:r>
                <m:t>19</m:t>
              </m:r>
              <m:r>
                <m:rPr>
                  <m:sty m:val="p"/>
                </m:rPr>
                <m:t>×</m:t>
              </m:r>
              <m:r>
                <m:t>4.41</m:t>
              </m:r>
            </m:num>
            <m:den>
              <m:r>
                <m:t>38</m:t>
              </m:r>
            </m:den>
          </m:f>
          <m:r>
            <m:rPr>
              <m:sty m:val="p"/>
            </m:rPr>
            <m:t>=</m:t>
          </m:r>
          <m:f>
            <m:fPr>
              <m:type m:val="bar"/>
            </m:fPr>
            <m:num>
              <m:r>
                <m:t>100.51</m:t>
              </m:r>
              <m:r>
                <m:rPr>
                  <m:sty m:val="p"/>
                </m:rPr>
                <m:t>+</m:t>
              </m:r>
              <m:r>
                <m:t>83.79</m:t>
              </m:r>
            </m:num>
            <m:den>
              <m:r>
                <m:t>38</m:t>
              </m:r>
            </m:den>
          </m:f>
          <m:r>
            <m:rPr>
              <m:sty m:val="p"/>
            </m:rPr>
            <m:t>=</m:t>
          </m:r>
          <m:f>
            <m:fPr>
              <m:type m:val="bar"/>
            </m:fPr>
            <m:num>
              <m:r>
                <m:t>184.30</m:t>
              </m:r>
            </m:num>
            <m:den>
              <m:r>
                <m:t>38</m:t>
              </m:r>
            </m:den>
          </m:f>
          <m:r>
            <m:rPr>
              <m:sty m:val="p"/>
            </m:rPr>
            <m:t>=</m:t>
          </m:r>
          <m:r>
            <m:rPr>
              <m:sty m:val="b"/>
            </m:rPr>
            <m:t>4.85</m:t>
          </m:r>
        </m:oMath>
      </m:oMathPara>
    </w:p>
    <w:p>
      <w:pPr>
        <w:pStyle w:val="FirstParagraph"/>
        <w:spacing w:line="480" w:lineRule="auto" w:after="120"/>
        <w:jc w:val="both"/>
      </w:pPr>
      <w:r>
        <w:rPr>
          <w:rFonts w:ascii="Times New Roman" w:hAnsi="Times New Roman" w:cs="Times New Roman" w:eastAsia="Times New Roman"/>
          <w:b/>
          <w:bCs/>
          <w:sz w:val="24"/>
        </w:rPr>
        <w:t xml:space="preserve">Standard Error of the Difference.</w:t>
      </w:r>
    </w:p>
    <w:p>
      <w:pPr>
        <w:pStyle w:val="BodyText"/>
        <w:spacing w:line="480" w:lineRule="auto" w:after="120"/>
        <w:jc w:val="both"/>
      </w:pPr>
      <m:oMathPara>
        <m:oMathParaPr>
          <m:jc m:val="center"/>
        </m:oMathParaPr>
        <m:oMath>
          <m:r>
            <m:t>S</m:t>
          </m:r>
          <m:sSub>
            <m:e>
              <m:r>
                <m:t>E</m:t>
              </m:r>
            </m:e>
            <m:sub>
              <m:r>
                <m:rPr>
                  <m:sty m:val="p"/>
                </m:rPr>
                <m:t>(</m:t>
              </m:r>
              <m:sSub>
                <m:e>
                  <m:r>
                    <m:t>M</m:t>
                  </m:r>
                </m:e>
                <m:sub>
                  <m:r>
                    <m:t>1</m:t>
                  </m:r>
                </m:sub>
              </m:sSub>
              <m:r>
                <m:rPr>
                  <m:sty m:val="p"/>
                </m:rPr>
                <m:t>−</m:t>
              </m:r>
              <m:sSub>
                <m:e>
                  <m:r>
                    <m:t>M</m:t>
                  </m:r>
                </m:e>
                <m:sub>
                  <m:r>
                    <m:t>2</m:t>
                  </m:r>
                </m:sub>
              </m:sSub>
              <m:r>
                <m:rPr>
                  <m:sty m:val="p"/>
                </m:rPr>
                <m:t>)</m:t>
              </m:r>
            </m:sub>
          </m:sSub>
          <m:r>
            <m:rPr>
              <m:sty m:val="p"/>
            </m:rPr>
            <m:t>=</m:t>
          </m:r>
          <m:rad>
            <m:radPr>
              <m:degHide m:val="on"/>
            </m:radPr>
            <m:deg/>
            <m:e>
              <m:sSubSup>
                <m:e>
                  <m:r>
                    <m:t>S</m:t>
                  </m:r>
                </m:e>
                <m:sub>
                  <m:r>
                    <m:t>p</m:t>
                  </m:r>
                </m:sub>
                <m:sup>
                  <m:r>
                    <m:t>2</m:t>
                  </m:r>
                </m:sup>
              </m:sSubSup>
              <m:d>
                <m:dPr>
                  <m:begChr m:val="("/>
                  <m:sepChr m:val=""/>
                  <m:endChr m:val=")"/>
                  <m:grow/>
                </m:dPr>
                <m:e>
                  <m:f>
                    <m:fPr>
                      <m:type m:val="bar"/>
                    </m:fPr>
                    <m:num>
                      <m:r>
                        <m:t>1</m:t>
                      </m:r>
                    </m:num>
                    <m:den>
                      <m:sSub>
                        <m:e>
                          <m:r>
                            <m:t>N</m:t>
                          </m:r>
                        </m:e>
                        <m:sub>
                          <m:r>
                            <m:t>1</m:t>
                          </m:r>
                        </m:sub>
                      </m:sSub>
                    </m:den>
                  </m:f>
                  <m:r>
                    <m:rPr>
                      <m:sty m:val="p"/>
                    </m:rPr>
                    <m:t>+</m:t>
                  </m:r>
                  <m:f>
                    <m:fPr>
                      <m:type m:val="bar"/>
                    </m:fPr>
                    <m:num>
                      <m:r>
                        <m:t>1</m:t>
                      </m:r>
                    </m:num>
                    <m:den>
                      <m:sSub>
                        <m:e>
                          <m:r>
                            <m:t>N</m:t>
                          </m:r>
                        </m:e>
                        <m:sub>
                          <m:r>
                            <m:t>2</m:t>
                          </m:r>
                        </m:sub>
                      </m:sSub>
                    </m:den>
                  </m:f>
                </m:e>
              </m:d>
            </m:e>
          </m:rad>
          <m:r>
            <m:rPr>
              <m:sty m:val="p"/>
            </m:rPr>
            <m:t>=</m:t>
          </m:r>
          <m:rad>
            <m:radPr>
              <m:degHide m:val="on"/>
            </m:radPr>
            <m:deg/>
            <m:e>
              <m:r>
                <m:t>4.85</m:t>
              </m:r>
              <m:r>
                <m:rPr>
                  <m:sty m:val="p"/>
                </m:rPr>
                <m:t>×</m:t>
              </m:r>
              <m:d>
                <m:dPr>
                  <m:begChr m:val="("/>
                  <m:sepChr m:val=""/>
                  <m:endChr m:val=")"/>
                  <m:grow/>
                </m:dPr>
                <m:e>
                  <m:f>
                    <m:fPr>
                      <m:type m:val="bar"/>
                    </m:fPr>
                    <m:num>
                      <m:r>
                        <m:t>1</m:t>
                      </m:r>
                    </m:num>
                    <m:den>
                      <m:r>
                        <m:t>20</m:t>
                      </m:r>
                    </m:den>
                  </m:f>
                  <m:r>
                    <m:rPr>
                      <m:sty m:val="p"/>
                    </m:rPr>
                    <m:t>+</m:t>
                  </m:r>
                  <m:f>
                    <m:fPr>
                      <m:type m:val="bar"/>
                    </m:fPr>
                    <m:num>
                      <m:r>
                        <m:t>1</m:t>
                      </m:r>
                    </m:num>
                    <m:den>
                      <m:r>
                        <m:t>20</m:t>
                      </m:r>
                    </m:den>
                  </m:f>
                </m:e>
              </m:d>
            </m:e>
          </m:rad>
          <m:r>
            <m:rPr>
              <m:sty m:val="p"/>
            </m:rPr>
            <m:t>=</m:t>
          </m:r>
          <m:rad>
            <m:radPr>
              <m:degHide m:val="on"/>
            </m:radPr>
            <m:deg/>
            <m:e>
              <m:r>
                <m:t>4.85</m:t>
              </m:r>
              <m:r>
                <m:rPr>
                  <m:sty m:val="p"/>
                </m:rPr>
                <m:t>×</m:t>
              </m:r>
              <m:r>
                <m:t>0.10</m:t>
              </m:r>
            </m:e>
          </m:rad>
          <m:r>
            <m:rPr>
              <m:sty m:val="p"/>
            </m:rPr>
            <m:t>=</m:t>
          </m:r>
          <m:rad>
            <m:radPr>
              <m:degHide m:val="on"/>
            </m:radPr>
            <m:deg/>
            <m:e>
              <m:r>
                <m:t>0.485</m:t>
              </m:r>
            </m:e>
          </m:rad>
          <m:r>
            <m:rPr>
              <m:sty m:val="p"/>
            </m:rPr>
            <m:t>=</m:t>
          </m:r>
          <m:r>
            <m:rPr>
              <m:sty m:val="b"/>
            </m:rPr>
            <m:t>0.6964</m:t>
          </m:r>
        </m:oMath>
      </m:oMathPara>
    </w:p>
    <w:p>
      <w:pPr>
        <w:pStyle w:val="FirstParagraph"/>
        <w:spacing w:line="480" w:lineRule="auto" w:after="120"/>
        <w:jc w:val="both"/>
      </w:pPr>
      <w:r>
        <w:rPr>
          <w:rFonts w:ascii="Times New Roman" w:hAnsi="Times New Roman" w:cs="Times New Roman" w:eastAsia="Times New Roman"/>
          <w:b/>
          <w:bCs/>
          <w:sz w:val="24"/>
        </w:rPr>
        <w:t xml:space="preserve">t-value.</w:t>
      </w:r>
    </w:p>
    <w:p>
      <w:pPr>
        <w:pStyle w:val="BodyText"/>
        <w:spacing w:line="480" w:lineRule="auto" w:after="120"/>
        <w:jc w:val="both"/>
      </w:pPr>
      <m:oMathPara>
        <m:oMathParaPr>
          <m:jc m:val="center"/>
        </m:oMathParaPr>
        <m:oMath>
          <m:r>
            <m:t>t</m:t>
          </m:r>
          <m:r>
            <m:rPr>
              <m:sty m:val="p"/>
            </m:rPr>
            <m:t>=</m:t>
          </m:r>
          <m:f>
            <m:fPr>
              <m:type m:val="bar"/>
            </m:fPr>
            <m:num>
              <m:r>
                <m:rPr>
                  <m:sty m:val="p"/>
                </m:rPr>
                <m:t>|</m:t>
              </m:r>
              <m:sSub>
                <m:e>
                  <m:r>
                    <m:t>M</m:t>
                  </m:r>
                </m:e>
                <m:sub>
                  <m:r>
                    <m:t>2</m:t>
                  </m:r>
                </m:sub>
              </m:sSub>
              <m:r>
                <m:rPr>
                  <m:sty m:val="p"/>
                </m:rPr>
                <m:t>−</m:t>
              </m:r>
              <m:sSub>
                <m:e>
                  <m:r>
                    <m:t>M</m:t>
                  </m:r>
                </m:e>
                <m:sub>
                  <m:r>
                    <m:t>1</m:t>
                  </m:r>
                </m:sub>
              </m:sSub>
              <m:r>
                <m:rPr>
                  <m:sty m:val="p"/>
                </m:rPr>
                <m:t>|</m:t>
              </m:r>
            </m:num>
            <m:den>
              <m:r>
                <m:t>S</m:t>
              </m:r>
              <m:sSub>
                <m:e>
                  <m:r>
                    <m:t>E</m:t>
                  </m:r>
                </m:e>
                <m:sub>
                  <m:r>
                    <m:rPr>
                      <m:sty m:val="p"/>
                    </m:rPr>
                    <m:t>(</m:t>
                  </m:r>
                  <m:sSub>
                    <m:e>
                      <m:r>
                        <m:t>M</m:t>
                      </m:r>
                    </m:e>
                    <m:sub>
                      <m:r>
                        <m:t>1</m:t>
                      </m:r>
                    </m:sub>
                  </m:sSub>
                  <m:r>
                    <m:rPr>
                      <m:sty m:val="p"/>
                    </m:rPr>
                    <m:t>−</m:t>
                  </m:r>
                  <m:sSub>
                    <m:e>
                      <m:r>
                        <m:t>M</m:t>
                      </m:r>
                    </m:e>
                    <m:sub>
                      <m:r>
                        <m:t>2</m:t>
                      </m:r>
                    </m:sub>
                  </m:sSub>
                  <m:r>
                    <m:rPr>
                      <m:sty m:val="p"/>
                    </m:rPr>
                    <m:t>)</m:t>
                  </m:r>
                </m:sub>
              </m:sSub>
            </m:den>
          </m:f>
          <m:r>
            <m:rPr>
              <m:sty m:val="p"/>
            </m:rPr>
            <m:t>=</m:t>
          </m:r>
          <m:f>
            <m:fPr>
              <m:type m:val="bar"/>
            </m:fPr>
            <m:num>
              <m:r>
                <m:t>2.80</m:t>
              </m:r>
            </m:num>
            <m:den>
              <m:r>
                <m:t>0.6964</m:t>
              </m:r>
            </m:den>
          </m:f>
          <m:r>
            <m:rPr>
              <m:sty m:val="p"/>
            </m:rPr>
            <m:t>=</m:t>
          </m:r>
          <m:r>
            <m:rPr>
              <m:sty m:val="b"/>
            </m:rPr>
            <m:t>4.02</m:t>
          </m:r>
        </m:oMath>
      </m:oMathPara>
    </w:p>
    <w:p>
      <w:pPr>
        <w:pStyle w:val="FirstParagraph"/>
        <w:spacing w:line="480" w:lineRule="auto" w:after="120"/>
        <w:jc w:val="both"/>
      </w:pPr>
      <w:r>
        <w:rPr>
          <w:rFonts w:ascii="Times New Roman" w:hAnsi="Times New Roman" w:cs="Times New Roman" w:eastAsia="Times New Roman"/>
          <w:b/>
          <w:bCs/>
          <w:sz w:val="24"/>
        </w:rPr>
        <w:t xml:space="preserve">Degrees of Freedom.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df = N₁ + N₂ − 2 = 20 + 20 − 2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38</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Critical 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t₀.₀₅(38) = 2.024; t₀.₀₁(38) = 2.711.</w:t>
      </w:r>
    </w:p>
    <w:p>
      <w:pPr>
        <w:pStyle w:val="BodyText"/>
        <w:spacing w:line="480" w:lineRule="auto" w:after="120"/>
        <w:jc w:val="both"/>
      </w:pPr>
      <w:r>
        <w:rPr>
          <w:rFonts w:ascii="Times New Roman" w:hAnsi="Times New Roman" w:cs="Times New Roman" w:eastAsia="Times New Roman"/>
          <w:b/>
          <w:bCs/>
          <w:sz w:val="24"/>
        </w:rPr>
        <w:t xml:space="preserve">Decision.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the obtained t-value (4.02) exceeds t₀.₀₁(38) =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at the 0.01 level</w:t>
      </w:r>
      <w:r>
        <w:rPr>
          <w:rFonts w:ascii="Times New Roman" w:hAnsi="Times New Roman" w:cs="Times New Roman" w:eastAsia="Times New Roman"/>
          <w:sz w:val="24"/>
        </w:rPr>
        <w:t xml:space="preserv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Literary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significantly higher Literary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(This is the value reported in Table 4.6.)</w:t>
      </w:r>
    </w:p>
    <w:bookmarkEnd w:id="163"/>
    <w:bookmarkStart w:id="164" w:name="Xebd67ba38deaa156625bcce5f6b6e628a7a5582"/>
    <w:p>
      <w:pPr>
        <w:pStyle w:val="Heading3"/>
        <w:spacing w:line="360" w:lineRule="auto"/>
        <w:jc w:val="left"/>
      </w:pPr>
      <w:r>
        <w:rPr>
          <w:rFonts w:ascii="Times New Roman" w:hAnsi="Times New Roman" w:cs="Times New Roman" w:eastAsia="Times New Roman"/>
          <w:b/>
          <w:sz w:val="26"/>
        </w:rPr>
        <w:t xml:space="preserve">E.2 Sample Calculation — Constructive (Technical) Interest (Table 4.10)</w:t>
      </w:r>
    </w:p>
    <w:p>
      <w:pPr>
        <w:pStyle w:val="FirstParagraph"/>
        <w:spacing w:line="480" w:lineRule="auto" w:after="120"/>
        <w:jc w:val="both"/>
      </w:pPr>
      <w:r>
        <w:rPr>
          <w:rFonts w:ascii="Times New Roman" w:hAnsi="Times New Roman" w:cs="Times New Roman" w:eastAsia="Times New Roman"/>
          <w:b/>
          <w:bCs/>
          <w:sz w:val="24"/>
        </w:rPr>
        <w:t xml:space="preserve">Boys (N₁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ΣX₁ = 238; M₁ = 11.90; Σ(X₁ − M₁)² ≈ 123.55; σ₁ = √(123.55 / 19) = √6.50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2.55</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Girls (N₂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ΣX₂ = 141; M₂ = 7.05; Σ(X₂ − M₂)² ≈ 128.44; σ₂ = √(128.44 / 19) = √6.76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2.60</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Difference of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11.90 − 7.05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4.85</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Pooled Variance.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Sp² = (19 × 6.50 + 19 × 6.76) / 38 = (123.55 + 128.44) / 38 = 251.99 / 38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6.63</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Standard Error.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 = √(6.63 × 0.10) = √0.663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0.8143</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t-value.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4.85 / 0.8143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5.96</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Decision.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5.96 &gt; t₀.₀₁(38) =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0.01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significantly higher Constructive (Technical)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(This is the value reported in Table 4.10.)</w:t>
      </w:r>
    </w:p>
    <w:bookmarkEnd w:id="164"/>
    <w:bookmarkStart w:id="165" w:name="X09ad05c73d264695881bad6b5a21da117923218"/>
    <w:p>
      <w:pPr>
        <w:pStyle w:val="Heading3"/>
        <w:spacing w:line="360" w:lineRule="auto"/>
        <w:jc w:val="left"/>
      </w:pPr>
      <w:r>
        <w:rPr>
          <w:rFonts w:ascii="Times New Roman" w:hAnsi="Times New Roman" w:cs="Times New Roman" w:eastAsia="Times New Roman"/>
          <w:b/>
          <w:sz w:val="26"/>
        </w:rPr>
        <w:t xml:space="preserve">E.3 Sample Calculation — Spearman Rank-Order Correlation (Table 4.20)</w:t>
      </w:r>
    </w:p>
    <w:p>
      <w:pPr>
        <w:pStyle w:val="FirstParagraph"/>
        <w:spacing w:line="480" w:lineRule="auto" w:after="120"/>
        <w:jc w:val="both"/>
      </w:pPr>
      <w:r>
        <w:rPr>
          <w:rFonts w:ascii="Times New Roman" w:hAnsi="Times New Roman" w:cs="Times New Roman" w:eastAsia="Times New Roman"/>
          <w:sz w:val="24"/>
        </w:rPr>
        <w:t xml:space="preserve">The ten interest areas were ranked separately for boys and for girls in the descending order of mean scores (highest M = Rank 1). The rank differences (d) were squared and summed:</w:t>
      </w:r>
    </w:p>
    <w:p>
      <w:pPr>
        <w:pStyle w:val="BodyText"/>
        <w:spacing w:line="480" w:lineRule="auto" w:after="120"/>
        <w:jc w:val="both"/>
      </w:pPr>
      <w:r>
        <w:rPr>
          <w:rFonts w:ascii="Times New Roman" w:hAnsi="Times New Roman" w:cs="Times New Roman" w:eastAsia="Times New Roman"/>
          <w:sz w:val="24"/>
        </w:rPr>
        <w:t xml:space="preserve">Σd² = 25 + 36 + 1 + 1 + 64 + 36 + 49 + 1 + 16 + 81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310</w:t>
      </w:r>
    </w:p>
    <w:p>
      <w:pPr>
        <w:pStyle w:val="BodyText"/>
        <w:spacing w:line="480" w:lineRule="auto" w:after="120"/>
        <w:jc w:val="both"/>
      </w:pPr>
      <m:oMathPara>
        <m:oMathParaPr>
          <m:jc m:val="center"/>
        </m:oMathParaPr>
        <m:oMath>
          <m:r>
            <m:t>ρ</m:t>
          </m:r>
          <m:r>
            <m:rPr>
              <m:sty m:val="p"/>
            </m:rPr>
            <m:t>=</m:t>
          </m:r>
          <m:r>
            <m:t>1</m:t>
          </m:r>
          <m:r>
            <m:rPr>
              <m:sty m:val="p"/>
            </m:rPr>
            <m:t>−</m:t>
          </m:r>
          <m:f>
            <m:fPr>
              <m:type m:val="bar"/>
            </m:fPr>
            <m:num>
              <m:r>
                <m:t>6</m:t>
              </m:r>
              <m:r>
                <m:t> </m:t>
              </m:r>
              <m:r>
                <m:rPr>
                  <m:sty m:val="p"/>
                </m:rPr>
                <m:t>Σ</m:t>
              </m:r>
              <m:sSup>
                <m:e>
                  <m:r>
                    <m:t>d</m:t>
                  </m:r>
                </m:e>
                <m:sup>
                  <m:r>
                    <m:t>2</m:t>
                  </m:r>
                </m:sup>
              </m:sSup>
            </m:num>
            <m:den>
              <m:r>
                <m:t>n</m:t>
              </m:r>
              <m:r>
                <m:rPr>
                  <m:sty m:val="p"/>
                </m:rPr>
                <m:t>(</m:t>
              </m:r>
              <m:sSup>
                <m:e>
                  <m:r>
                    <m:t>n</m:t>
                  </m:r>
                </m:e>
                <m:sup>
                  <m:r>
                    <m:t>2</m:t>
                  </m:r>
                </m:sup>
              </m:sSup>
              <m:r>
                <m:rPr>
                  <m:sty m:val="p"/>
                </m:rPr>
                <m:t>−</m:t>
              </m:r>
              <m:r>
                <m:t>1</m:t>
              </m:r>
              <m:r>
                <m:rPr>
                  <m:sty m:val="p"/>
                </m:rPr>
                <m:t>)</m:t>
              </m:r>
            </m:den>
          </m:f>
          <m:r>
            <m:rPr>
              <m:sty m:val="p"/>
            </m:rPr>
            <m:t>=</m:t>
          </m:r>
          <m:r>
            <m:t>1</m:t>
          </m:r>
          <m:r>
            <m:rPr>
              <m:sty m:val="p"/>
            </m:rPr>
            <m:t>−</m:t>
          </m:r>
          <m:f>
            <m:fPr>
              <m:type m:val="bar"/>
            </m:fPr>
            <m:num>
              <m:r>
                <m:t>6</m:t>
              </m:r>
              <m:r>
                <m:rPr>
                  <m:sty m:val="p"/>
                </m:rPr>
                <m:t>×</m:t>
              </m:r>
              <m:r>
                <m:t>310</m:t>
              </m:r>
            </m:num>
            <m:den>
              <m:r>
                <m:t>10</m:t>
              </m:r>
              <m:r>
                <m:rPr>
                  <m:sty m:val="p"/>
                </m:rPr>
                <m:t>×</m:t>
              </m:r>
              <m:r>
                <m:rPr>
                  <m:sty m:val="p"/>
                </m:rPr>
                <m:t>(</m:t>
              </m:r>
              <m:r>
                <m:t>100</m:t>
              </m:r>
              <m:r>
                <m:rPr>
                  <m:sty m:val="p"/>
                </m:rPr>
                <m:t>−</m:t>
              </m:r>
              <m:r>
                <m:t>1</m:t>
              </m:r>
              <m:r>
                <m:rPr>
                  <m:sty m:val="p"/>
                </m:rPr>
                <m:t>)</m:t>
              </m:r>
            </m:den>
          </m:f>
          <m:r>
            <m:rPr>
              <m:sty m:val="p"/>
            </m:rPr>
            <m:t>=</m:t>
          </m:r>
          <m:r>
            <m:t>1</m:t>
          </m:r>
          <m:r>
            <m:rPr>
              <m:sty m:val="p"/>
            </m:rPr>
            <m:t>−</m:t>
          </m:r>
          <m:f>
            <m:fPr>
              <m:type m:val="bar"/>
            </m:fPr>
            <m:num>
              <m:r>
                <m:t>1860</m:t>
              </m:r>
            </m:num>
            <m:den>
              <m:r>
                <m:t>990</m:t>
              </m:r>
            </m:den>
          </m:f>
          <m:r>
            <m:rPr>
              <m:sty m:val="p"/>
            </m:rPr>
            <m:t>=</m:t>
          </m:r>
          <m:r>
            <m:t>1</m:t>
          </m:r>
          <m:r>
            <m:rPr>
              <m:sty m:val="p"/>
            </m:rPr>
            <m:t>−</m:t>
          </m:r>
          <m:r>
            <m:t>1.879</m:t>
          </m:r>
          <m:r>
            <m:rPr>
              <m:sty m:val="p"/>
            </m:rPr>
            <m:t>=</m:t>
          </m:r>
          <m:r>
            <m:rPr>
              <m:sty m:val="b"/>
            </m:rPr>
            <m:t>−</m:t>
          </m:r>
          <m:r>
            <m:rPr>
              <m:sty m:val="b"/>
            </m:rPr>
            <m:t>0.879</m:t>
          </m:r>
        </m:oMath>
      </m:oMathPara>
    </w:p>
    <w:p>
      <w:pPr>
        <w:pStyle w:val="FirstParagraph"/>
        <w:spacing w:line="480" w:lineRule="auto" w:after="120"/>
        <w:jc w:val="both"/>
      </w:pPr>
      <w:r>
        <w:rPr>
          <w:rFonts w:ascii="Times New Roman" w:hAnsi="Times New Roman" w:cs="Times New Roman" w:eastAsia="Times New Roman"/>
          <w:b/>
          <w:bCs/>
          <w:sz w:val="24"/>
        </w:rPr>
        <w:t xml:space="preserve">Critical Values of 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n = 10, ρ₀.₀₅ = ±0.648 and ρ₀.₀₁ = ±0.794.</w:t>
      </w:r>
    </w:p>
    <w:p>
      <w:pPr>
        <w:pStyle w:val="BodyText"/>
        <w:spacing w:line="480" w:lineRule="auto" w:after="120"/>
        <w:jc w:val="both"/>
      </w:pPr>
      <w:r>
        <w:rPr>
          <w:rFonts w:ascii="Times New Roman" w:hAnsi="Times New Roman" w:cs="Times New Roman" w:eastAsia="Times New Roman"/>
          <w:b/>
          <w:bCs/>
          <w:sz w:val="24"/>
        </w:rPr>
        <w:t xml:space="preserve">Decision.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|−0.879| &gt; 0.794, the negative correlation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at the 0.01 level</w:t>
      </w:r>
      <w:r>
        <w:rPr>
          <w:rFonts w:ascii="Times New Roman" w:hAnsi="Times New Roman" w:cs="Times New Roman" w:eastAsia="Times New Roman"/>
          <w:sz w:val="24"/>
        </w:rPr>
        <w:t xml:space="preserve">. The two rank orders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systematically reversed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(This is the value reported in Table 4.20 and in Section 4.7 of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5"/>
    <w:bookmarkEnd w:id="166"/>
    <w:bookmarkStart w:id="167" w:name="appendix-f"/>
    <w:p>
      <w:pPr>
        <w:pStyle w:val="Heading2"/>
        <w:spacing w:line="360" w:lineRule="auto"/>
        <w:jc w:val="center"/>
      </w:pPr>
      <w:r>
        <w:rPr>
          <w:rFonts w:ascii="Times New Roman" w:hAnsi="Times New Roman" w:cs="Times New Roman" w:eastAsia="Times New Roman"/>
          <w:b/>
          <w:sz w:val="28"/>
        </w:rPr>
        <w:t xml:space="preserve">APPENDIX F</w:t>
      </w:r>
    </w:p>
    <w:bookmarkEnd w:id="167"/>
    <w:bookmarkStart w:id="169" w:name="Xd4a2427d1293268b1d874c611c8e0c7585ed5a2"/>
    <w:p>
      <w:pPr>
        <w:pStyle w:val="Heading2"/>
        <w:spacing w:line="360" w:lineRule="auto"/>
        <w:jc w:val="center"/>
      </w:pPr>
      <w:r>
        <w:rPr>
          <w:rFonts w:ascii="Times New Roman" w:hAnsi="Times New Roman" w:cs="Times New Roman" w:eastAsia="Times New Roman"/>
          <w:b/>
          <w:sz w:val="28"/>
        </w:rPr>
        <w:t xml:space="preserve">SPECIMEN STUDENT RESPONSE SHEET OF THE VOCATIONAL INTEREST RECORD</w:t>
      </w:r>
    </w:p>
    <w:p>
      <w:pPr>
        <w:pStyle w:val="FirstParagraph"/>
        <w:spacing w:line="480" w:lineRule="auto" w:after="120"/>
        <w:jc w:val="both"/>
      </w:pPr>
      <w:r>
        <w:rPr>
          <w:rFonts w:ascii="Times New Roman" w:hAnsi="Times New Roman" w:cs="Times New Roman" w:eastAsia="Times New Roman"/>
          <w:i/>
          <w:iCs/>
          <w:sz w:val="24"/>
        </w:rPr>
        <w:t xml:space="preserve">(Reproduced from the publisher’s separately-printed Answer Sheet. Each student receives one such sheet at the time of testing.)</w:t>
      </w:r>
    </w:p>
    <w:bookmarkStart w:id="168" w:name="Xe36e6c093eff56adc50b131b86a104d937dc577"/>
    <w:p>
      <w:pPr>
        <w:pStyle w:val="Heading3"/>
        <w:spacing w:line="360" w:lineRule="auto"/>
        <w:jc w:val="left"/>
      </w:pPr>
      <w:r>
        <w:rPr>
          <w:rFonts w:ascii="Times New Roman" w:hAnsi="Times New Roman" w:cs="Times New Roman" w:eastAsia="Times New Roman"/>
          <w:b/>
          <w:sz w:val="26"/>
        </w:rPr>
        <w:t xml:space="preserve">व्यावसायिक रुचि अभिलेख (Hindi version) — उत्तर पत्रक / Answer Sheet</w:t>
      </w:r>
    </w:p>
    <w:tbl>
      <w:tblPr>
        <w:tblStyle w:val="Table"/>
        <w:tblW w:type="pct" w:w="5000"/>
        <w:jc w:val="center"/>
        <w:tblLayout w:type="fixed"/>
        <w:tblLook w:firstRow="0" w:lastRow="0" w:firstColumn="0" w:lastColumn="0" w:noHBand="0" w:noVBand="0" w:val="0000"/>
      </w:tblPr>
      <w:tblGrid>
        <w:gridCol w:w="2640"/>
        <w:gridCol w:w="2640"/>
        <w:gridCol w:w="2640"/>
      </w:tblGrid>
      <w:tr>
        <w:tc>
          <w:tcPr/>
          <w:p>
            <w:pPr>
              <w:pStyle w:val="Compact"/>
              <w:spacing w:line="276" w:lineRule="auto"/>
              <w:jc w:val="left"/>
            </w:pPr>
            <w:r>
              <w:rPr>
                <w:rFonts w:ascii="Times New Roman" w:hAnsi="Times New Roman" w:cs="Times New Roman" w:eastAsia="Times New Roman"/>
                <w:b/>
                <w:bCs/>
                <w:sz w:val="22"/>
              </w:rPr>
              <w:t xml:space="preserve">Name of the Student</w:t>
            </w:r>
            <w:r>
              <w:rPr>
                <w:rFonts w:ascii="Times New Roman" w:hAnsi="Times New Roman" w:cs="Times New Roman" w:eastAsia="Times New Roman"/>
                <w:sz w:val="22"/>
              </w:rPr>
              <w:t xml:space="preserve">: ____________________</w:t>
            </w:r>
          </w:p>
        </w:tc>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Class &amp; Section</w:t>
            </w:r>
            <w:r>
              <w:rPr>
                <w:rFonts w:ascii="Times New Roman" w:hAnsi="Times New Roman" w:cs="Times New Roman" w:eastAsia="Times New Roman"/>
                <w:sz w:val="22"/>
              </w:rPr>
              <w:t xml:space="preserve">: ________</w:t>
            </w:r>
          </w:p>
        </w:tc>
      </w:tr>
      <w:tr>
        <w:tc>
          <w:tcPr/>
          <w:p>
            <w:pPr>
              <w:pStyle w:val="Compact"/>
              <w:spacing w:line="276" w:lineRule="auto"/>
              <w:jc w:val="left"/>
            </w:pPr>
            <w:r>
              <w:rPr>
                <w:rFonts w:ascii="Times New Roman" w:hAnsi="Times New Roman" w:cs="Times New Roman" w:eastAsia="Times New Roman"/>
                <w:b/>
                <w:bCs/>
                <w:sz w:val="22"/>
              </w:rPr>
              <w:t xml:space="preserve">Roll No. of the Student</w:t>
            </w:r>
            <w:r>
              <w:rPr>
                <w:rFonts w:ascii="Times New Roman" w:hAnsi="Times New Roman" w:cs="Times New Roman" w:eastAsia="Times New Roman"/>
                <w:sz w:val="22"/>
              </w:rPr>
              <w:t xml:space="preserve">: _________________</w:t>
            </w:r>
          </w:p>
        </w:tc>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Age (in years)</w:t>
            </w:r>
            <w:r>
              <w:rPr>
                <w:rFonts w:ascii="Times New Roman" w:hAnsi="Times New Roman" w:cs="Times New Roman" w:eastAsia="Times New Roman"/>
                <w:sz w:val="22"/>
              </w:rPr>
              <w:t xml:space="preserve">: ________</w:t>
            </w:r>
          </w:p>
        </w:tc>
      </w:tr>
      <w:tr>
        <w:tc>
          <w:tcPr/>
          <w:p>
            <w:pPr>
              <w:pStyle w:val="Compact"/>
              <w:spacing w:line="276" w:lineRule="auto"/>
              <w:jc w:val="left"/>
            </w:pPr>
            <w:r>
              <w:rPr>
                <w:rFonts w:ascii="Times New Roman" w:hAnsi="Times New Roman" w:cs="Times New Roman" w:eastAsia="Times New Roman"/>
                <w:b/>
                <w:bCs/>
                <w:sz w:val="22"/>
              </w:rPr>
              <w:t xml:space="preserve">Name of the School</w:t>
            </w:r>
            <w:r>
              <w:rPr>
                <w:rFonts w:ascii="Times New Roman" w:hAnsi="Times New Roman" w:cs="Times New Roman" w:eastAsia="Times New Roman"/>
                <w:sz w:val="22"/>
              </w:rPr>
              <w:t xml:space="preserve">: _________________________________________________________________</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Date of Administration</w:t>
            </w:r>
            <w:r>
              <w:rPr>
                <w:rFonts w:ascii="Times New Roman" w:hAnsi="Times New Roman" w:cs="Times New Roman" w:eastAsia="Times New Roman"/>
                <w:sz w:val="22"/>
              </w:rPr>
              <w:t xml:space="preserve">: ____________</w:t>
            </w:r>
          </w:p>
        </w:tc>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Sex</w:t>
            </w:r>
            <w:r>
              <w:rPr>
                <w:rFonts w:ascii="Times New Roman" w:hAnsi="Times New Roman" w:cs="Times New Roman" w:eastAsia="Times New Roman"/>
                <w:sz w:val="22"/>
              </w:rPr>
              <w:t xml:space="preserve">: Boy / Girl (tick)</w:t>
            </w:r>
          </w:p>
        </w:tc>
      </w:tr>
    </w:tbl>
    <w:p>
      <w:pPr>
        <w:pStyle w:val="BodyText"/>
        <w:spacing w:line="480" w:lineRule="auto" w:after="120"/>
        <w:jc w:val="both"/>
      </w:pPr>
      <w:r>
        <w:rPr>
          <w:rFonts w:ascii="Times New Roman" w:hAnsi="Times New Roman" w:cs="Times New Roman" w:eastAsia="Times New Roman"/>
          <w:b/>
          <w:bCs/>
          <w:sz w:val="24"/>
        </w:rPr>
        <w:t xml:space="preserve">Instructions: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each item below, two activities — A and B — are given in the Test Booklet. Read both carefully and put a tick (✓) in the appropriate box of either A or B in the Answer Sheet. Do not leave any item un-answered. There is no right or wrong answer; your honest preference is the only correct answer. Please do not write anything in the shaded boxes; they are for the office use only.”</w:t>
      </w:r>
    </w:p>
    <w:tbl>
      <w:tblPr>
        <w:tblStyle w:val="Table"/>
        <w:tblW w:type="pct" w:w="5000"/>
        <w:jc w:val="center"/>
        <w:tblLayout w:type="fixed"/>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90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b/>
          <w:bCs/>
          <w:sz w:val="24"/>
        </w:rPr>
        <w:t xml:space="preserve">Office Use — Area Scores (Filled in by the Investigator after scoring with the Hand Stencil):</w:t>
      </w:r>
    </w:p>
    <w:tbl>
      <w:tblPr>
        <w:tblStyle w:val="Table"/>
        <w:tblW w:type="pct" w:w="5000"/>
        <w:jc w:val="center"/>
        <w:tblLayout w:type="fixed"/>
        <w:tblLook w:firstRow="1" w:lastRow="0" w:firstColumn="0" w:lastColumn="0" w:noHBand="0" w:noVBand="0" w:val="0020"/>
      </w:tblPr>
      <w:tblGrid>
        <w:gridCol w:w="2084"/>
        <w:gridCol w:w="1667"/>
        <w:gridCol w:w="2084"/>
        <w:gridCol w:w="20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Raw Score (out of 18)</w:t>
            </w:r>
          </w:p>
        </w:tc>
        <w:tc>
          <w:tcPr/>
          <w:p>
            <w:pPr>
              <w:pStyle w:val="Compact"/>
              <w:spacing w:line="276" w:lineRule="auto"/>
              <w:jc w:val="center"/>
            </w:pPr>
            <w:r>
              <w:rPr>
                <w:rFonts w:ascii="Times New Roman" w:hAnsi="Times New Roman" w:cs="Times New Roman" w:eastAsia="Times New Roman"/>
                <w:sz w:val="22"/>
              </w:rPr>
              <w:t xml:space="preserve">Level (Low / Average / High)</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90</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(always)</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b/>
          <w:bCs/>
          <w:sz w:val="24"/>
        </w:rPr>
        <w:t xml:space="preserve">Investigator’s Signature</w:t>
      </w:r>
      <w:r>
        <w:rPr>
          <w:rFonts w:ascii="Times New Roman" w:hAnsi="Times New Roman" w:cs="Times New Roman" w:eastAsia="Times New Roman"/>
          <w:sz w:val="24"/>
        </w:rPr>
        <w:t xml:space="preserve">: ____________________</w:t>
      </w:r>
    </w:p>
    <w:p>
      <w:pPr>
        <w:pStyle w:val="BodyText"/>
        <w:spacing w:line="480" w:lineRule="auto" w:after="120"/>
        <w:jc w:val="both"/>
      </w:pPr>
      <w:r>
        <w:rPr>
          <w:rFonts w:ascii="Times New Roman" w:hAnsi="Times New Roman" w:cs="Times New Roman" w:eastAsia="Times New Roman"/>
          <w:b/>
          <w:bCs/>
          <w:sz w:val="24"/>
        </w:rPr>
        <w:t xml:space="preserve">Date of Scoring</w:t>
      </w:r>
      <w:r>
        <w:rPr>
          <w:rFonts w:ascii="Times New Roman" w:hAnsi="Times New Roman" w:cs="Times New Roman" w:eastAsia="Times New Roman"/>
          <w:sz w:val="24"/>
        </w:rPr>
        <w:t xml:space="preserve">: ____________________</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(End of Appendices)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“This dissertation has been prepared by the candidate in partial fulfilment of the requirements for the degree of Master of Education (M.Ed.) of Chaudhary Charan Singh University, Meerut, during the academic session 2025–2026, under the supervision of ____________________, Department of Education, Meerut College, Meerut.”</w:t>
      </w:r>
    </w:p>
    <w:bookmarkEnd w:id="168"/>
    <w:bookmarkEnd w:id="169"/>
    <w:bookmarkEnd w:id="170"/>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25">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2026-05-25T07:38:26Z</dcterms:created>
  <dcterms:modified xsi:type="dcterms:W3CDTF">2026-05-25T07:38:26Z</dcterms:modified>
</cp:coreProperties>
</file>

<file path=docProps/custom.xml><?xml version="1.0" encoding="utf-8"?>
<Properties xmlns="http://schemas.openxmlformats.org/officeDocument/2006/custom-properties" xmlns:vt="http://schemas.openxmlformats.org/officeDocument/2006/docPropsVTypes"/>
</file>