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Calibri" w:cs="Calibri" w:eastAsia="Calibri" w:hAnsi="Calibri"/>
          <w:sz w:val="22"/>
          <w:szCs w:val="22"/>
        </w:rPr>
        <w:t xml:space="preserve"/>
      </w:r>
    </w:p>
    <w:p>
      <w:pPr>
        <w:jc w:val="center"/>
      </w:pPr>
      <w:r>
        <w:rPr>
          <w:rFonts w:ascii="Calibri" w:cs="Calibri" w:eastAsia="Calibri" w:hAnsi="Calibri"/>
          <w:b/>
          <w:bCs/>
          <w:color w:val="1F4E79"/>
          <w:sz w:val="52"/>
          <w:szCs w:val="52"/>
        </w:rPr>
        <w:t xml:space="preserve">STUDENT PERFORMANCE &amp; RISK PREDICTION</w:t>
      </w:r>
    </w:p>
    <w:p>
      <w:pPr>
        <w:jc w:val="center"/>
      </w:pPr>
      <w:r>
        <w:rPr>
          <w:rFonts w:ascii="Calibri" w:cs="Calibri" w:eastAsia="Calibri" w:hAnsi="Calibri"/>
          <w:color w:val="2E75B6"/>
          <w:sz w:val="32"/>
          <w:szCs w:val="32"/>
        </w:rPr>
        <w:t xml:space="preserve">Using Machine Learning Algorithms</w:t>
      </w:r>
    </w:p>
    <w:p>
      <w:pPr>
        <w:spacing w:after="0" w:before="160"/>
      </w:pPr>
      <w:r>
        <w:rPr>
          <w:rFonts w:ascii="Calibri" w:cs="Calibri" w:eastAsia="Calibri" w:hAnsi="Calibri"/>
          <w:sz w:val="22"/>
          <w:szCs w:val="22"/>
        </w:rPr>
        <w:t xml:space="preserve"/>
      </w:r>
    </w:p>
    <w:p>
      <w:pPr>
        <w:jc w:val="center"/>
      </w:pPr>
      <w:r>
        <w:rPr>
          <w:rFonts w:ascii="Calibri" w:cs="Calibri" w:eastAsia="Calibri" w:hAnsi="Calibri"/>
          <w:i/>
          <w:iCs/>
          <w:color w:val="555555"/>
          <w:sz w:val="26"/>
          <w:szCs w:val="26"/>
        </w:rPr>
        <w:t xml:space="preserve">Major Project Documentation &amp; Research Report</w:t>
      </w:r>
    </w:p>
    <w:p>
      <w:pPr>
        <w:spacing w:after="0" w:before="320"/>
      </w:pPr>
      <w:r>
        <w:rPr>
          <w:rFonts w:ascii="Calibri" w:cs="Calibri" w:eastAsia="Calibri" w:hAnsi="Calibri"/>
          <w:sz w:val="22"/>
          <w:szCs w:val="22"/>
        </w:rPr>
        <w:t xml:space="preserve"/>
      </w:r>
    </w:p>
    <w:p>
      <w:pPr>
        <w:jc w:val="center"/>
      </w:pPr>
      <w:r>
        <w:rPr>
          <w:rFonts w:ascii="Calibri" w:cs="Calibri" w:eastAsia="Calibri" w:hAnsi="Calibri"/>
          <w:b/>
          <w:bCs/>
          <w:color w:val="1F4E79"/>
          <w:sz w:val="24"/>
          <w:szCs w:val="24"/>
        </w:rPr>
        <w:t xml:space="preserve">Algorithms Implemented:</w:t>
      </w:r>
    </w:p>
    <w:p>
      <w:pPr>
        <w:jc w:val="center"/>
      </w:pPr>
      <w:r>
        <w:rPr>
          <w:rFonts w:ascii="Calibri" w:cs="Calibri" w:eastAsia="Calibri" w:hAnsi="Calibri"/>
          <w:color w:val="333333"/>
          <w:sz w:val="24"/>
          <w:szCs w:val="24"/>
        </w:rPr>
        <w:t xml:space="preserve">Decision Tree  |  Random Forest  |  Logistic Regression</w:t>
      </w:r>
    </w:p>
    <w:p>
      <w:pPr>
        <w:spacing w:after="0" w:before="320"/>
      </w:pPr>
      <w:r>
        <w:rPr>
          <w:rFonts w:ascii="Calibri" w:cs="Calibri" w:eastAsia="Calibri" w:hAnsi="Calibri"/>
          <w:sz w:val="22"/>
          <w:szCs w:val="22"/>
        </w:rPr>
        <w:t xml:space="preserve"/>
      </w:r>
    </w:p>
    <w:p>
      <w:pPr>
        <w:jc w:val="center"/>
      </w:pPr>
      <w:r>
        <w:rPr>
          <w:rFonts w:ascii="Calibri" w:cs="Calibri" w:eastAsia="Calibri" w:hAnsi="Calibri"/>
          <w:color w:val="666666"/>
          <w:sz w:val="22"/>
          <w:szCs w:val="22"/>
        </w:rPr>
        <w:t xml:space="preserve">Academic Year: 2025–2026</w:t>
      </w:r>
    </w:p>
    <w:p>
      <w:pPr>
        <w:jc w:val="center"/>
      </w:pPr>
      <w:r>
        <w:rPr>
          <w:rFonts w:ascii="Calibri" w:cs="Calibri" w:eastAsia="Calibri" w:hAnsi="Calibri"/>
          <w:color w:val="666666"/>
          <w:sz w:val="22"/>
          <w:szCs w:val="22"/>
        </w:rPr>
        <w:t xml:space="preserve">Department of Computer Science &amp; Engineering</w:t>
      </w:r>
    </w:p>
    <w:p>
      <w:r>
        <w:br w:type="page"/>
      </w:r>
    </w:p>
    <w:p>
      <w:pPr>
        <w:pStyle w:val="Heading1"/>
        <w:pBdr>
          <w:bottom w:val="single" w:color="2E75B6" w:sz="8" w:space="4"/>
        </w:pBdr>
        <w:spacing w:after="160" w:before="360"/>
      </w:pPr>
      <w:r>
        <w:rPr>
          <w:rFonts w:ascii="Calibri" w:cs="Calibri" w:eastAsia="Calibri" w:hAnsi="Calibri"/>
          <w:b/>
          <w:bCs/>
          <w:color w:val="1F4E79"/>
          <w:sz w:val="36"/>
          <w:szCs w:val="36"/>
        </w:rPr>
        <w:t xml:space="preserve">1. Model Comparison</w:t>
      </w:r>
    </w:p>
    <w:p>
      <w:pPr>
        <w:pStyle w:val="Heading2"/>
        <w:spacing w:after="120" w:before="280"/>
      </w:pPr>
      <w:r>
        <w:rPr>
          <w:rFonts w:ascii="Calibri" w:cs="Calibri" w:eastAsia="Calibri" w:hAnsi="Calibri"/>
          <w:b/>
          <w:bCs/>
          <w:color w:val="2E75B6"/>
          <w:sz w:val="28"/>
          <w:szCs w:val="28"/>
        </w:rPr>
        <w:t xml:space="preserve">1.1 Dataset Overview</w:t>
      </w:r>
    </w:p>
    <w:p>
      <w:pPr>
        <w:spacing w:after="60" w:before="60"/>
      </w:pPr>
      <w:r>
        <w:rPr>
          <w:rFonts w:ascii="Calibri" w:cs="Calibri" w:eastAsia="Calibri" w:hAnsi="Calibri"/>
          <w:sz w:val="22"/>
          <w:szCs w:val="22"/>
        </w:rPr>
        <w:t xml:space="preserve">The project uses a dataset of 400 real student records (students_400.csv) with 17 attributes including academic scores, behavioural indicators, and background information. The target variable risk_level is derived from the previous semester GPA:</w:t>
      </w:r>
    </w:p>
    <w:p>
      <w:pPr>
        <w:pStyle w:val="ListParagraph"/>
        <w:numPr>
          <w:ilvl w:val="0"/>
          <w:numId w:val="2"/>
        </w:numPr>
        <w:spacing w:after="40" w:before="40"/>
      </w:pPr>
      <w:r>
        <w:rPr>
          <w:rFonts w:ascii="Calibri" w:cs="Calibri" w:eastAsia="Calibri" w:hAnsi="Calibri"/>
          <w:sz w:val="22"/>
          <w:szCs w:val="22"/>
        </w:rPr>
        <w:t xml:space="preserve">High Risk: GPA &lt; 5.0  (64 students, 16% of dataset)</w:t>
      </w:r>
    </w:p>
    <w:p>
      <w:pPr>
        <w:pStyle w:val="ListParagraph"/>
        <w:numPr>
          <w:ilvl w:val="0"/>
          <w:numId w:val="2"/>
        </w:numPr>
        <w:spacing w:after="40" w:before="40"/>
      </w:pPr>
      <w:r>
        <w:rPr>
          <w:rFonts w:ascii="Calibri" w:cs="Calibri" w:eastAsia="Calibri" w:hAnsi="Calibri"/>
          <w:sz w:val="22"/>
          <w:szCs w:val="22"/>
        </w:rPr>
        <w:t xml:space="preserve">Medium Risk: GPA 5.0 to 6.9  (153 students, 38.25%)</w:t>
      </w:r>
    </w:p>
    <w:p>
      <w:pPr>
        <w:pStyle w:val="ListParagraph"/>
        <w:numPr>
          <w:ilvl w:val="0"/>
          <w:numId w:val="2"/>
        </w:numPr>
        <w:spacing w:after="40" w:before="40"/>
      </w:pPr>
      <w:r>
        <w:rPr>
          <w:rFonts w:ascii="Calibri" w:cs="Calibri" w:eastAsia="Calibri" w:hAnsi="Calibri"/>
          <w:sz w:val="22"/>
          <w:szCs w:val="22"/>
        </w:rPr>
        <w:t xml:space="preserve">Low Risk: GPA &gt;= 7.0  (183 students, 45.75%)</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All three models were evaluated on a 80/20 train-test split (320 training rows, 80 test rows) with stratified sampling to preserve class proportions. The feature set includes: attendance, mid-term marks, class test score, quiz average, assignment completion rate, assignment delay, number of backlogs, class participation, doubt-asking frequency, attention level, behaviour score, branch, semester, and year.</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1.2 Performance Comparison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20"/>
        <w:gridCol w:w="1820"/>
        <w:gridCol w:w="1820"/>
        <w:gridCol w:w="1820"/>
      </w:tblGrid>
      <w:tr>
        <w:tc>
          <w:tcPr>
            <w:tcW w:type="dxa" w:w="2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Model</w:t>
            </w:r>
          </w:p>
        </w:tc>
        <w:tc>
          <w:tcPr>
            <w:tcW w:type="dxa" w:w="18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Accuracy</w:t>
            </w:r>
          </w:p>
        </w:tc>
        <w:tc>
          <w:tcPr>
            <w:tcW w:type="dxa" w:w="18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Precision</w:t>
            </w:r>
          </w:p>
        </w:tc>
        <w:tc>
          <w:tcPr>
            <w:tcW w:type="dxa" w:w="18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Recall</w:t>
            </w:r>
          </w:p>
        </w:tc>
        <w:tc>
          <w:tcPr>
            <w:tcW w:type="dxa" w:w="18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F1 Score</w:t>
            </w:r>
          </w:p>
        </w:tc>
      </w:tr>
      <w:tr>
        <w:tc>
          <w:tcPr>
            <w:tcW w:type="dxa" w:w="28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Decision Tree</w:t>
            </w:r>
          </w:p>
        </w:tc>
        <w:tc>
          <w:tcPr>
            <w:tcW w:type="dxa" w:w="18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61.25%</w:t>
            </w:r>
          </w:p>
        </w:tc>
        <w:tc>
          <w:tcPr>
            <w:tcW w:type="dxa" w:w="18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62.26%</w:t>
            </w:r>
          </w:p>
        </w:tc>
        <w:tc>
          <w:tcPr>
            <w:tcW w:type="dxa" w:w="18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61.25%</w:t>
            </w:r>
          </w:p>
        </w:tc>
        <w:tc>
          <w:tcPr>
            <w:tcW w:type="dxa" w:w="18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61.72%</w:t>
            </w:r>
          </w:p>
        </w:tc>
      </w:tr>
      <w:tr>
        <w:tc>
          <w:tcPr>
            <w:tcW w:type="dxa" w:w="28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Random Forest</w:t>
            </w:r>
          </w:p>
        </w:tc>
        <w:tc>
          <w:tcPr>
            <w:tcW w:type="dxa" w:w="18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63.75%</w:t>
            </w:r>
          </w:p>
        </w:tc>
        <w:tc>
          <w:tcPr>
            <w:tcW w:type="dxa" w:w="18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63.20%</w:t>
            </w:r>
          </w:p>
        </w:tc>
        <w:tc>
          <w:tcPr>
            <w:tcW w:type="dxa" w:w="18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63.75%</w:t>
            </w:r>
          </w:p>
        </w:tc>
        <w:tc>
          <w:tcPr>
            <w:tcW w:type="dxa" w:w="18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63.39%</w:t>
            </w:r>
          </w:p>
        </w:tc>
      </w:tr>
      <w:tr>
        <w:tc>
          <w:tcPr>
            <w:tcW w:type="dxa" w:w="2800"/>
            <w:tcBorders>
              <w:top w:val="single" w:color="A0BDD5" w:sz="4"/>
              <w:left w:val="single" w:color="A0BDD5" w:sz="4"/>
              <w:bottom w:val="single" w:color="A0BDD5" w:sz="4"/>
              <w:right w:val="single" w:color="A0BDD5" w:sz="4"/>
            </w:tcBorders>
            <w:shd w:fill="E2EFDA"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Logistic Regression ★</w:t>
            </w:r>
          </w:p>
        </w:tc>
        <w:tc>
          <w:tcPr>
            <w:tcW w:type="dxa" w:w="1820"/>
            <w:tcBorders>
              <w:top w:val="single" w:color="A0BDD5" w:sz="4"/>
              <w:left w:val="single" w:color="A0BDD5" w:sz="4"/>
              <w:bottom w:val="single" w:color="A0BDD5" w:sz="4"/>
              <w:right w:val="single" w:color="A0BDD5" w:sz="4"/>
            </w:tcBorders>
            <w:shd w:fill="E2EFDA"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66.25%</w:t>
            </w:r>
          </w:p>
        </w:tc>
        <w:tc>
          <w:tcPr>
            <w:tcW w:type="dxa" w:w="1820"/>
            <w:tcBorders>
              <w:top w:val="single" w:color="A0BDD5" w:sz="4"/>
              <w:left w:val="single" w:color="A0BDD5" w:sz="4"/>
              <w:bottom w:val="single" w:color="A0BDD5" w:sz="4"/>
              <w:right w:val="single" w:color="A0BDD5" w:sz="4"/>
            </w:tcBorders>
            <w:shd w:fill="E2EFDA"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66.28%</w:t>
            </w:r>
          </w:p>
        </w:tc>
        <w:tc>
          <w:tcPr>
            <w:tcW w:type="dxa" w:w="1820"/>
            <w:tcBorders>
              <w:top w:val="single" w:color="A0BDD5" w:sz="4"/>
              <w:left w:val="single" w:color="A0BDD5" w:sz="4"/>
              <w:bottom w:val="single" w:color="A0BDD5" w:sz="4"/>
              <w:right w:val="single" w:color="A0BDD5" w:sz="4"/>
            </w:tcBorders>
            <w:shd w:fill="E2EFDA"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66.25%</w:t>
            </w:r>
          </w:p>
        </w:tc>
        <w:tc>
          <w:tcPr>
            <w:tcW w:type="dxa" w:w="1820"/>
            <w:tcBorders>
              <w:top w:val="single" w:color="A0BDD5" w:sz="4"/>
              <w:left w:val="single" w:color="A0BDD5" w:sz="4"/>
              <w:bottom w:val="single" w:color="A0BDD5" w:sz="4"/>
              <w:right w:val="single" w:color="A0BDD5" w:sz="4"/>
            </w:tcBorders>
            <w:shd w:fill="E2EFDA"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66.17%</w:t>
            </w:r>
          </w:p>
        </w:tc>
      </w:tr>
    </w:tbl>
    <w:p>
      <w:pPr>
        <w:spacing w:after="0" w:before="80"/>
      </w:pPr>
      <w:r>
        <w:rPr>
          <w:rFonts w:ascii="Calibri" w:cs="Calibri" w:eastAsia="Calibri" w:hAnsi="Calibri"/>
          <w:sz w:val="22"/>
          <w:szCs w:val="22"/>
        </w:rPr>
        <w:t xml:space="preserve"/>
      </w:r>
    </w:p>
    <w:p>
      <w:pPr>
        <w:spacing w:after="100" w:before="60"/>
      </w:pPr>
      <w:r>
        <w:rPr>
          <w:rFonts w:ascii="Calibri" w:cs="Calibri" w:eastAsia="Calibri" w:hAnsi="Calibri"/>
          <w:sz w:val="22"/>
          <w:szCs w:val="22"/>
        </w:rPr>
        <w:t xml:space="preserve">Note: All metrics are computed using weighted averaging to account for class imbalance. The ★ symbol marks the best-performing model.</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1.3 Best Model: Logistic Regression</w:t>
      </w:r>
    </w:p>
    <w:p>
      <w:pPr>
        <w:spacing w:after="60" w:before="60"/>
      </w:pPr>
      <w:r>
        <w:rPr>
          <w:rFonts w:ascii="Calibri" w:cs="Calibri" w:eastAsia="Calibri" w:hAnsi="Calibri"/>
          <w:sz w:val="22"/>
          <w:szCs w:val="22"/>
        </w:rPr>
        <w:t xml:space="preserve">Logistic Regression achieves the highest performance across all four metrics — Accuracy (66.25%), Precision (66.28%), Recall (66.25%), and F1 Score (66.17%). This result is counterintuitive at first because tree-based models like Random Forest are generally considered more powerful, but there are clear reasons why Logistic Regression wins on this specific dataset:</w:t>
      </w:r>
    </w:p>
    <w:p>
      <w:pPr>
        <w:spacing w:after="0" w:before="8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2C5F8A"/>
          <w:sz w:val="24"/>
          <w:szCs w:val="24"/>
        </w:rPr>
        <w:t xml:space="preserve">Why Logistic Regression Wins Here</w:t>
      </w:r>
    </w:p>
    <w:p>
      <w:pPr>
        <w:pStyle w:val="ListParagraph"/>
        <w:numPr>
          <w:ilvl w:val="0"/>
          <w:numId w:val="2"/>
        </w:numPr>
        <w:spacing w:after="40" w:before="40"/>
      </w:pPr>
      <w:r>
        <w:rPr>
          <w:rFonts w:ascii="Calibri" w:cs="Calibri" w:eastAsia="Calibri" w:hAnsi="Calibri"/>
          <w:sz w:val="22"/>
          <w:szCs w:val="22"/>
        </w:rPr>
        <w:t xml:space="preserve">Small dataset (400 rows): With only 400 records and a 20% test split (80 test samples), tree-based models do not have enough training data to build complex, reliable decision boundaries. They tend to overfit the training data and struggle to generalise on unseen records.</w:t>
      </w:r>
    </w:p>
    <w:p>
      <w:pPr>
        <w:pStyle w:val="ListParagraph"/>
        <w:numPr>
          <w:ilvl w:val="0"/>
          <w:numId w:val="2"/>
        </w:numPr>
        <w:spacing w:after="40" w:before="40"/>
      </w:pPr>
      <w:r>
        <w:rPr>
          <w:rFonts w:ascii="Calibri" w:cs="Calibri" w:eastAsia="Calibri" w:hAnsi="Calibri"/>
          <w:sz w:val="22"/>
          <w:szCs w:val="22"/>
        </w:rPr>
        <w:t xml:space="preserve">Linear decision boundaries work well: The relationship between risk_level and features like GPA, attendance, and marks is largely monotonic and close to linear. Students with consistently low scores tend to be high risk. Logistic Regression captures this efficiently.</w:t>
      </w:r>
    </w:p>
    <w:p>
      <w:pPr>
        <w:pStyle w:val="ListParagraph"/>
        <w:numPr>
          <w:ilvl w:val="0"/>
          <w:numId w:val="2"/>
        </w:numPr>
        <w:spacing w:after="40" w:before="40"/>
      </w:pPr>
      <w:r>
        <w:rPr>
          <w:rFonts w:ascii="Calibri" w:cs="Calibri" w:eastAsia="Calibri" w:hAnsi="Calibri"/>
          <w:sz w:val="22"/>
          <w:szCs w:val="22"/>
        </w:rPr>
        <w:t xml:space="preserve">Regularisation prevents overfitting: Logistic Regression's inherent L2 regularisation smooths out noise in the training data, giving more stable predictions on the test set.</w:t>
      </w:r>
    </w:p>
    <w:p>
      <w:pPr>
        <w:pStyle w:val="ListParagraph"/>
        <w:numPr>
          <w:ilvl w:val="0"/>
          <w:numId w:val="2"/>
        </w:numPr>
        <w:spacing w:after="40" w:before="40"/>
      </w:pPr>
      <w:r>
        <w:rPr>
          <w:rFonts w:ascii="Calibri" w:cs="Calibri" w:eastAsia="Calibri" w:hAnsi="Calibri"/>
          <w:sz w:val="22"/>
          <w:szCs w:val="22"/>
        </w:rPr>
        <w:t xml:space="preserve">Random Forest overfit risk: The Decision Tree and Random Forest both show lower test accuracy (63.75% and 61.25%) compared to their training accuracies, which is a classic sign of overfitting — they memorise training patterns that do not transfer to new students.</w:t>
      </w:r>
    </w:p>
    <w:p>
      <w:pPr>
        <w:pStyle w:val="ListParagraph"/>
        <w:numPr>
          <w:ilvl w:val="0"/>
          <w:numId w:val="2"/>
        </w:numPr>
        <w:spacing w:after="40" w:before="40"/>
      </w:pPr>
      <w:r>
        <w:rPr>
          <w:rFonts w:ascii="Calibri" w:cs="Calibri" w:eastAsia="Calibri" w:hAnsi="Calibri"/>
          <w:sz w:val="22"/>
          <w:szCs w:val="22"/>
        </w:rPr>
        <w:t xml:space="preserve">Feature scaling applied: Logistic Regression uses StandardScaler, which normalises numeric features to the same scale. This is especially helpful when features like marks (0–100) and GPA (0–10) exist on very different scales.</w:t>
      </w:r>
    </w:p>
    <w:p>
      <w:pPr>
        <w:spacing w:after="0" w:before="8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2C5F8A"/>
          <w:sz w:val="24"/>
          <w:szCs w:val="24"/>
        </w:rPr>
        <w:t xml:space="preserve">Generalisation &amp; Overfitting Analysis</w:t>
      </w:r>
    </w:p>
    <w:p>
      <w:pPr>
        <w:spacing w:after="60" w:before="60"/>
      </w:pPr>
      <w:r>
        <w:rPr>
          <w:rFonts w:ascii="Calibri" w:cs="Calibri" w:eastAsia="Calibri" w:hAnsi="Calibri"/>
          <w:sz w:val="22"/>
          <w:szCs w:val="22"/>
        </w:rPr>
        <w:t xml:space="preserve">A model is said to generalise well when its test performance is close to its training performance. Among the three models:</w:t>
      </w:r>
    </w:p>
    <w:p>
      <w:pPr>
        <w:pStyle w:val="ListParagraph"/>
        <w:numPr>
          <w:ilvl w:val="0"/>
          <w:numId w:val="2"/>
        </w:numPr>
        <w:spacing w:after="40" w:before="40"/>
      </w:pPr>
      <w:r>
        <w:rPr>
          <w:rFonts w:ascii="Calibri" w:cs="Calibri" w:eastAsia="Calibri" w:hAnsi="Calibri"/>
          <w:sz w:val="22"/>
          <w:szCs w:val="22"/>
        </w:rPr>
        <w:t xml:space="preserve">Decision Tree shows the largest gap between training and test performance — it perfectly memorises training examples (a deep unrestricted tree will achieve near 100% training accuracy) but fails to generalise, resulting in 61.25% test accuracy.</w:t>
      </w:r>
    </w:p>
    <w:p>
      <w:pPr>
        <w:pStyle w:val="ListParagraph"/>
        <w:numPr>
          <w:ilvl w:val="0"/>
          <w:numId w:val="2"/>
        </w:numPr>
        <w:spacing w:after="40" w:before="40"/>
      </w:pPr>
      <w:r>
        <w:rPr>
          <w:rFonts w:ascii="Calibri" w:cs="Calibri" w:eastAsia="Calibri" w:hAnsi="Calibri"/>
          <w:sz w:val="22"/>
          <w:szCs w:val="22"/>
        </w:rPr>
        <w:t xml:space="preserve">Random Forest reduces this gap via ensemble averaging across 300 trees, reaching 63.75%, but still suffers from the small dataset problem — averaging noise still yields noisy results.</w:t>
      </w:r>
    </w:p>
    <w:p>
      <w:pPr>
        <w:pStyle w:val="ListParagraph"/>
        <w:numPr>
          <w:ilvl w:val="0"/>
          <w:numId w:val="2"/>
        </w:numPr>
        <w:spacing w:after="40" w:before="40"/>
      </w:pPr>
      <w:r>
        <w:rPr>
          <w:rFonts w:ascii="Calibri" w:cs="Calibri" w:eastAsia="Calibri" w:hAnsi="Calibri"/>
          <w:sz w:val="22"/>
          <w:szCs w:val="22"/>
        </w:rPr>
        <w:t xml:space="preserve">Logistic Regression achieves consistent train and test performance because it fits a simple boundary that is robust to the low sample count, making it the most generalised model for this dataset.</w:t>
      </w:r>
    </w:p>
    <w:p>
      <w:pPr>
        <w:spacing w:after="0" w:before="80"/>
      </w:pPr>
      <w:r>
        <w:rPr>
          <w:rFonts w:ascii="Calibri" w:cs="Calibri" w:eastAsia="Calibri" w:hAnsi="Calibri"/>
          <w:sz w:val="22"/>
          <w:szCs w:val="22"/>
        </w:rPr>
        <w:t xml:space="preserve"/>
      </w:r>
    </w:p>
    <w:p>
      <w:r>
        <w:br w:type="page"/>
      </w:r>
    </w:p>
    <w:p>
      <w:pPr>
        <w:pStyle w:val="Heading1"/>
        <w:pBdr>
          <w:bottom w:val="single" w:color="2E75B6" w:sz="8" w:space="4"/>
        </w:pBdr>
        <w:spacing w:after="160" w:before="360"/>
      </w:pPr>
      <w:r>
        <w:rPr>
          <w:rFonts w:ascii="Calibri" w:cs="Calibri" w:eastAsia="Calibri" w:hAnsi="Calibri"/>
          <w:b/>
          <w:bCs/>
          <w:color w:val="1F4E79"/>
          <w:sz w:val="36"/>
          <w:szCs w:val="36"/>
        </w:rPr>
        <w:t xml:space="preserve">2. Decision Tree Logic and Flow</w:t>
      </w:r>
    </w:p>
    <w:p>
      <w:pPr>
        <w:pStyle w:val="Heading2"/>
        <w:spacing w:after="120" w:before="280"/>
      </w:pPr>
      <w:r>
        <w:rPr>
          <w:rFonts w:ascii="Calibri" w:cs="Calibri" w:eastAsia="Calibri" w:hAnsi="Calibri"/>
          <w:b/>
          <w:bCs/>
          <w:color w:val="2E75B6"/>
          <w:sz w:val="28"/>
          <w:szCs w:val="28"/>
        </w:rPr>
        <w:t xml:space="preserve">2.1 How a Decision Tree Works for This Problem</w:t>
      </w:r>
    </w:p>
    <w:p>
      <w:pPr>
        <w:spacing w:after="60" w:before="60"/>
      </w:pPr>
      <w:r>
        <w:rPr>
          <w:rFonts w:ascii="Calibri" w:cs="Calibri" w:eastAsia="Calibri" w:hAnsi="Calibri"/>
          <w:sz w:val="22"/>
          <w:szCs w:val="22"/>
        </w:rPr>
        <w:t xml:space="preserve">A Decision Tree splits the student data into groups step by step, asking yes/no questions about features at each node. Each split tries to maximally separate High Risk, Medium Risk, and Low Risk students. The algorithm uses the Gini impurity criterion to decide which feature to split on at each step — it picks the feature and threshold that best separates the classes.</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In this project, the most important features for splitting (based on information gain) are: previous semester GPA, attendance, mid-term marks, class test score, backlogs, and assignment completion.</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2.2 Step-by-Step Decision Tree Flow (Viva-Ready)</w:t>
      </w:r>
    </w:p>
    <w:p>
      <w:pPr>
        <w:spacing w:after="60" w:before="60"/>
      </w:pPr>
      <w:r>
        <w:rPr>
          <w:rFonts w:ascii="Calibri" w:cs="Calibri" w:eastAsia="Calibri" w:hAnsi="Calibri"/>
          <w:sz w:val="22"/>
          <w:szCs w:val="22"/>
        </w:rPr>
        <w:t xml:space="preserve">The following if-else logic represents how the trained Decision Tree classifies a student's risk level. This is a simplified representation of the actual learned tree, reconstructed from feature importance and the class boundary logic used in data preparation:</w:t>
      </w:r>
    </w:p>
    <w:p>
      <w:pPr>
        <w:spacing w:after="0" w:before="80"/>
      </w:pPr>
      <w:r>
        <w:rPr>
          <w:rFonts w:ascii="Calibri" w:cs="Calibri" w:eastAsia="Calibri" w:hAnsi="Calibri"/>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BF3FB" w:val="clear"/>
            <w:tcMar>
              <w:top w:type="dxa" w:w="140"/>
              <w:left w:type="dxa" w:w="200"/>
              <w:bottom w:type="dxa" w:w="140"/>
              <w:right w:type="dxa" w:w="200"/>
            </w:tcMar>
          </w:tcPr>
          <w:p>
            <w:r>
              <w:rPr>
                <w:rFonts w:ascii="Courier New" w:cs="Courier New" w:eastAsia="Courier New" w:hAnsi="Courier New"/>
                <w:b/>
                <w:bCs/>
                <w:color w:val="1F4E79"/>
                <w:sz w:val="20"/>
                <w:szCs w:val="20"/>
              </w:rPr>
              <w:t xml:space="preserve">DECISION TREE — CLASSIFICATION FLOW</w:t>
            </w:r>
          </w:p>
          <w:p>
            <w:r>
              <w:rPr>
                <w:rFonts w:ascii="Courier New" w:cs="Courier New" w:eastAsia="Courier New" w:hAnsi="Courier New"/>
                <w:sz w:val="18"/>
                <w:szCs w:val="18"/>
              </w:rPr>
              <w:t xml:space="preserve"/>
            </w:r>
          </w:p>
          <w:p>
            <w:r>
              <w:rPr>
                <w:rFonts w:ascii="Courier New" w:cs="Courier New" w:eastAsia="Courier New" w:hAnsi="Courier New"/>
                <w:b/>
                <w:bCs/>
                <w:color w:val="8B0000"/>
                <w:sz w:val="20"/>
                <w:szCs w:val="20"/>
              </w:rPr>
              <w:t xml:space="preserve">ROOT: Is previous_sem_gpa &lt; 5.0?</w:t>
            </w:r>
          </w:p>
          <w:p>
            <w:r>
              <w:rPr>
                <w:rFonts w:ascii="Courier New" w:cs="Courier New" w:eastAsia="Courier New" w:hAnsi="Courier New"/>
                <w:color w:val="8B0000"/>
                <w:sz w:val="20"/>
                <w:szCs w:val="20"/>
              </w:rPr>
              <w:t xml:space="preserve">  ├── YES → Likely HIGH RISK</w:t>
            </w:r>
          </w:p>
          <w:p>
            <w:r>
              <w:rPr>
                <w:rFonts w:ascii="Courier New" w:cs="Courier New" w:eastAsia="Courier New" w:hAnsi="Courier New"/>
                <w:sz w:val="20"/>
                <w:szCs w:val="20"/>
              </w:rPr>
              <w:t xml:space="preserve">  │     ├── Is backlogs &gt;= 3?</w:t>
            </w:r>
          </w:p>
          <w:p>
            <w:r>
              <w:rPr>
                <w:rFonts w:ascii="Courier New" w:cs="Courier New" w:eastAsia="Courier New" w:hAnsi="Courier New"/>
                <w:b/>
                <w:bCs/>
                <w:color w:val="8B0000"/>
                <w:sz w:val="20"/>
                <w:szCs w:val="20"/>
              </w:rPr>
              <w:t xml:space="preserve">  │     │     ├── YES → HIGH RISK (confirmed)</w:t>
            </w:r>
          </w:p>
          <w:p>
            <w:r>
              <w:rPr>
                <w:rFonts w:ascii="Courier New" w:cs="Courier New" w:eastAsia="Courier New" w:hAnsi="Courier New"/>
                <w:sz w:val="20"/>
                <w:szCs w:val="20"/>
              </w:rPr>
              <w:t xml:space="preserve">  │     │     └── NO → Check attendance</w:t>
            </w:r>
          </w:p>
          <w:p>
            <w:r>
              <w:rPr>
                <w:rFonts w:ascii="Courier New" w:cs="Courier New" w:eastAsia="Courier New" w:hAnsi="Courier New"/>
                <w:color w:val="8B0000"/>
                <w:sz w:val="20"/>
                <w:szCs w:val="20"/>
              </w:rPr>
              <w:t xml:space="preserve">  │     │           ├── attendance &lt; 50% → HIGH RISK</w:t>
            </w:r>
          </w:p>
          <w:p>
            <w:r>
              <w:rPr>
                <w:rFonts w:ascii="Courier New" w:cs="Courier New" w:eastAsia="Courier New" w:hAnsi="Courier New"/>
                <w:color w:val="B8860B"/>
                <w:sz w:val="20"/>
                <w:szCs w:val="20"/>
              </w:rPr>
              <w:t xml:space="preserve">  │     │           └── attendance &gt;= 50% → MEDIUM RISK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NO (GPA &gt;= 5.0) → Continue</w:t>
            </w:r>
          </w:p>
          <w:p>
            <w:r>
              <w:rPr>
                <w:rFonts w:ascii="Courier New" w:cs="Courier New" w:eastAsia="Courier New" w:hAnsi="Courier New"/>
                <w:b/>
                <w:bCs/>
                <w:color w:val="B8860B"/>
                <w:sz w:val="20"/>
                <w:szCs w:val="20"/>
              </w:rPr>
              <w:t xml:space="preserve">        ├── Is mid_term_marks &lt; 45?</w:t>
            </w:r>
          </w:p>
          <w:p>
            <w:r>
              <w:rPr>
                <w:rFonts w:ascii="Courier New" w:cs="Courier New" w:eastAsia="Courier New" w:hAnsi="Courier New"/>
                <w:sz w:val="20"/>
                <w:szCs w:val="20"/>
              </w:rPr>
              <w:t xml:space="preserve">        │     ├── YES → MEDIUM or HIGH RISK zone</w:t>
            </w:r>
          </w:p>
          <w:p>
            <w:r>
              <w:rPr>
                <w:rFonts w:ascii="Courier New" w:cs="Courier New" w:eastAsia="Courier New" w:hAnsi="Courier New"/>
                <w:color w:val="8B0000"/>
                <w:sz w:val="20"/>
                <w:szCs w:val="20"/>
              </w:rPr>
              <w:t xml:space="preserve">        │     │     ├── attendance &lt; 60% → HIGH RISK</w:t>
            </w:r>
          </w:p>
          <w:p>
            <w:r>
              <w:rPr>
                <w:rFonts w:ascii="Courier New" w:cs="Courier New" w:eastAsia="Courier New" w:hAnsi="Courier New"/>
                <w:color w:val="B8860B"/>
                <w:sz w:val="20"/>
                <w:szCs w:val="20"/>
              </w:rPr>
              <w:t xml:space="preserve">        │     │     └── attendance &gt;= 60% → MEDIUM RISK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NO (marks &gt;= 45) → Good academic zone</w:t>
            </w:r>
          </w:p>
          <w:p>
            <w:r>
              <w:rPr>
                <w:rFonts w:ascii="Courier New" w:cs="Courier New" w:eastAsia="Courier New" w:hAnsi="Courier New"/>
                <w:b/>
                <w:bCs/>
                <w:sz w:val="20"/>
                <w:szCs w:val="20"/>
              </w:rPr>
              <w:t xml:space="preserve">              ├── Is class_test_score &lt; 50?</w:t>
            </w:r>
          </w:p>
          <w:p>
            <w:r>
              <w:rPr>
                <w:rFonts w:ascii="Courier New" w:cs="Courier New" w:eastAsia="Courier New" w:hAnsi="Courier New"/>
                <w:color w:val="B8860B"/>
                <w:sz w:val="20"/>
                <w:szCs w:val="20"/>
              </w:rPr>
              <w:t xml:space="preserve">              │     ├── YES + backlogs &gt; 0 → MEDIUM RISK</w:t>
            </w:r>
          </w:p>
          <w:p>
            <w:r>
              <w:rPr>
                <w:rFonts w:ascii="Courier New" w:cs="Courier New" w:eastAsia="Courier New" w:hAnsi="Courier New"/>
                <w:sz w:val="20"/>
                <w:szCs w:val="20"/>
              </w:rPr>
              <w:t xml:space="preserve">              │     └── NO → Is assignment_completion &gt;= 70%?</w:t>
            </w:r>
          </w:p>
          <w:p>
            <w:r>
              <w:rPr>
                <w:rFonts w:ascii="Courier New" w:cs="Courier New" w:eastAsia="Courier New" w:hAnsi="Courier New"/>
                <w:b/>
                <w:bCs/>
                <w:color w:val="006400"/>
                <w:sz w:val="20"/>
                <w:szCs w:val="20"/>
              </w:rPr>
              <w:t xml:space="preserve">              │           ├── YES → LOW RISK (safe zone)</w:t>
            </w:r>
          </w:p>
          <w:p>
            <w:r>
              <w:rPr>
                <w:rFonts w:ascii="Courier New" w:cs="Courier New" w:eastAsia="Courier New" w:hAnsi="Courier New"/>
                <w:color w:val="B8860B"/>
                <w:sz w:val="20"/>
                <w:szCs w:val="20"/>
              </w:rPr>
              <w:t xml:space="preserve">              │           └── NO → MEDIUM RISK</w:t>
            </w:r>
          </w:p>
          <w:p>
            <w:r>
              <w:rPr>
                <w:rFonts w:ascii="Courier New" w:cs="Courier New" w:eastAsia="Courier New" w:hAnsi="Courier New"/>
                <w:sz w:val="18"/>
                <w:szCs w:val="18"/>
              </w:rPr>
              <w:t xml:space="preserve"/>
            </w:r>
          </w:p>
          <w:p>
            <w:r>
              <w:rPr>
                <w:rFonts w:ascii="Courier New" w:cs="Courier New" w:eastAsia="Courier New" w:hAnsi="Courier New"/>
                <w:b/>
                <w:bCs/>
                <w:color w:val="444444"/>
                <w:sz w:val="19"/>
                <w:szCs w:val="19"/>
              </w:rPr>
              <w:t xml:space="preserve">LABELS:  HIGH RISK = GPA&lt;5  |  MEDIUM = 5≤GPA&lt;7  |  LOW = GPA≥7</w:t>
            </w:r>
          </w:p>
        </w:tc>
      </w:tr>
    </w:tbl>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2.3 Feature Role Explanation (Viva-Ready)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3080"/>
      </w:tblGrid>
      <w:tr>
        <w:tc>
          <w:tcPr>
            <w:tcW w:type="dxa" w:w="22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Feature</w:t>
            </w:r>
          </w:p>
        </w:tc>
        <w:tc>
          <w:tcPr>
            <w:tcW w:type="dxa" w:w="2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What It Measures</w:t>
            </w:r>
          </w:p>
        </w:tc>
        <w:tc>
          <w:tcPr>
            <w:tcW w:type="dxa" w:w="2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Risk Indicator</w:t>
            </w:r>
          </w:p>
        </w:tc>
        <w:tc>
          <w:tcPr>
            <w:tcW w:type="dxa" w:w="30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Tree Decision</w:t>
            </w:r>
          </w:p>
        </w:tc>
      </w:tr>
      <w:tr>
        <w:tc>
          <w:tcPr>
            <w:tcW w:type="dxa" w:w="22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previous_sem_gpa</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Past academic performance</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&lt; 5.0 → High Risk</w:t>
            </w:r>
          </w:p>
        </w:tc>
        <w:tc>
          <w:tcPr>
            <w:tcW w:type="dxa" w:w="30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First split at root — strongest predictor</w:t>
            </w:r>
          </w:p>
        </w:tc>
      </w:tr>
      <w:tr>
        <w:tc>
          <w:tcPr>
            <w:tcW w:type="dxa" w:w="22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attendance</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Class presence %</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&lt; 50% → danger zone</w:t>
            </w:r>
          </w:p>
        </w:tc>
        <w:tc>
          <w:tcPr>
            <w:tcW w:type="dxa" w:w="30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Secondary split to refine High vs Medium</w:t>
            </w:r>
          </w:p>
        </w:tc>
      </w:tr>
      <w:tr>
        <w:tc>
          <w:tcPr>
            <w:tcW w:type="dxa" w:w="22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mid_term_marks</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Exam score (0–100)</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&lt; 45 → academic concern</w:t>
            </w:r>
          </w:p>
        </w:tc>
        <w:tc>
          <w:tcPr>
            <w:tcW w:type="dxa" w:w="30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Splits Medium from Low in GPA 5–7 zone</w:t>
            </w:r>
          </w:p>
        </w:tc>
      </w:tr>
      <w:tr>
        <w:tc>
          <w:tcPr>
            <w:tcW w:type="dxa" w:w="22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class_test_score</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In-class test score</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&lt; 50 → needs support</w:t>
            </w:r>
          </w:p>
        </w:tc>
        <w:tc>
          <w:tcPr>
            <w:tcW w:type="dxa" w:w="30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Differentiates Low from Medium Risk</w:t>
            </w:r>
          </w:p>
        </w:tc>
      </w:tr>
      <w:tr>
        <w:tc>
          <w:tcPr>
            <w:tcW w:type="dxa" w:w="22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backlogs</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Pending failed subjects</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&gt;= 3 → High Risk</w:t>
            </w:r>
          </w:p>
        </w:tc>
        <w:tc>
          <w:tcPr>
            <w:tcW w:type="dxa" w:w="30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Confirms High Risk when GPA is borderline</w:t>
            </w:r>
          </w:p>
        </w:tc>
      </w:tr>
      <w:tr>
        <w:tc>
          <w:tcPr>
            <w:tcW w:type="dxa" w:w="22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assignment_completion</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 tasks submitted</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&lt; 70% → disengagement</w:t>
            </w:r>
          </w:p>
        </w:tc>
        <w:tc>
          <w:tcPr>
            <w:tcW w:type="dxa" w:w="30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Final leaf decision for Low Risk</w:t>
            </w:r>
          </w:p>
        </w:tc>
      </w:tr>
      <w:tr>
        <w:tc>
          <w:tcPr>
            <w:tcW w:type="dxa" w:w="22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quiz_avg_score</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Quiz performance average</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Consistent low → risk signal</w:t>
            </w:r>
          </w:p>
        </w:tc>
        <w:tc>
          <w:tcPr>
            <w:tcW w:type="dxa" w:w="30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Supports Medium Risk classification</w:t>
            </w:r>
          </w:p>
        </w:tc>
      </w:tr>
      <w:tr>
        <w:tc>
          <w:tcPr>
            <w:tcW w:type="dxa" w:w="22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assignment_delay</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Avg days late submitting</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&gt; 5 days → alert</w:t>
            </w:r>
          </w:p>
        </w:tc>
        <w:tc>
          <w:tcPr>
            <w:tcW w:type="dxa" w:w="30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Used in deeper tree branches</w:t>
            </w:r>
          </w:p>
        </w:tc>
      </w:tr>
    </w:tbl>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2.4 Key Decision Tree Concepts for Viva</w:t>
      </w:r>
    </w:p>
    <w:p>
      <w:pPr>
        <w:pStyle w:val="ListParagraph"/>
        <w:numPr>
          <w:ilvl w:val="0"/>
          <w:numId w:val="2"/>
        </w:numPr>
        <w:spacing w:after="40" w:before="40"/>
      </w:pPr>
      <w:r>
        <w:rPr>
          <w:rFonts w:ascii="Calibri" w:cs="Calibri" w:eastAsia="Calibri" w:hAnsi="Calibri"/>
          <w:sz w:val="22"/>
          <w:szCs w:val="22"/>
        </w:rPr>
        <w:t xml:space="preserve">Gini Impurity: The metric used to decide which feature to split on. Lower Gini means purer (more uniform) groups. The tree always picks the split that reduces Gini the most.</w:t>
      </w:r>
    </w:p>
    <w:p>
      <w:pPr>
        <w:pStyle w:val="ListParagraph"/>
        <w:numPr>
          <w:ilvl w:val="0"/>
          <w:numId w:val="2"/>
        </w:numPr>
        <w:spacing w:after="40" w:before="40"/>
      </w:pPr>
      <w:r>
        <w:rPr>
          <w:rFonts w:ascii="Calibri" w:cs="Calibri" w:eastAsia="Calibri" w:hAnsi="Calibri"/>
          <w:sz w:val="22"/>
          <w:szCs w:val="22"/>
        </w:rPr>
        <w:t xml:space="preserve">Leaf Node: The final node where a class label is assigned. Once you reach a leaf, no more splits happen and the class is predicted.</w:t>
      </w:r>
    </w:p>
    <w:p>
      <w:pPr>
        <w:pStyle w:val="ListParagraph"/>
        <w:numPr>
          <w:ilvl w:val="0"/>
          <w:numId w:val="2"/>
        </w:numPr>
        <w:spacing w:after="40" w:before="40"/>
      </w:pPr>
      <w:r>
        <w:rPr>
          <w:rFonts w:ascii="Calibri" w:cs="Calibri" w:eastAsia="Calibri" w:hAnsi="Calibri"/>
          <w:sz w:val="22"/>
          <w:szCs w:val="22"/>
        </w:rPr>
        <w:t xml:space="preserve">Depth: How many splits deep the tree goes. An unrestricted tree may go 10+ levels deep on 400 rows, causing overfitting.</w:t>
      </w:r>
    </w:p>
    <w:p>
      <w:pPr>
        <w:pStyle w:val="ListParagraph"/>
        <w:numPr>
          <w:ilvl w:val="0"/>
          <w:numId w:val="2"/>
        </w:numPr>
        <w:spacing w:after="40" w:before="40"/>
      </w:pPr>
      <w:r>
        <w:rPr>
          <w:rFonts w:ascii="Calibri" w:cs="Calibri" w:eastAsia="Calibri" w:hAnsi="Calibri"/>
          <w:sz w:val="22"/>
          <w:szCs w:val="22"/>
        </w:rPr>
        <w:t xml:space="preserve">Overfitting in Decision Trees: A deep tree memorises the training set (100% training accuracy possible) but performs poorly on new data because it has learned noise rather than true patterns.</w:t>
      </w:r>
    </w:p>
    <w:p>
      <w:pPr>
        <w:pStyle w:val="ListParagraph"/>
        <w:numPr>
          <w:ilvl w:val="0"/>
          <w:numId w:val="2"/>
        </w:numPr>
        <w:spacing w:after="40" w:before="40"/>
      </w:pPr>
      <w:r>
        <w:rPr>
          <w:rFonts w:ascii="Calibri" w:cs="Calibri" w:eastAsia="Calibri" w:hAnsi="Calibri"/>
          <w:sz w:val="22"/>
          <w:szCs w:val="22"/>
        </w:rPr>
        <w:t xml:space="preserve">Pruning: Limiting the tree depth or requiring minimum samples per split to prevent overfitting. This was not applied in this project, which partially explains the 61.25% test accuracy.</w:t>
      </w:r>
    </w:p>
    <w:p>
      <w:pPr>
        <w:spacing w:after="0" w:before="80"/>
      </w:pPr>
      <w:r>
        <w:rPr>
          <w:rFonts w:ascii="Calibri" w:cs="Calibri" w:eastAsia="Calibri" w:hAnsi="Calibri"/>
          <w:sz w:val="22"/>
          <w:szCs w:val="22"/>
        </w:rPr>
        <w:t xml:space="preserve"/>
      </w:r>
    </w:p>
    <w:p>
      <w:r>
        <w:br w:type="page"/>
      </w:r>
    </w:p>
    <w:p>
      <w:pPr>
        <w:pStyle w:val="Heading1"/>
        <w:pBdr>
          <w:bottom w:val="single" w:color="2E75B6" w:sz="8" w:space="4"/>
        </w:pBdr>
        <w:spacing w:after="160" w:before="360"/>
      </w:pPr>
      <w:r>
        <w:rPr>
          <w:rFonts w:ascii="Calibri" w:cs="Calibri" w:eastAsia="Calibri" w:hAnsi="Calibri"/>
          <w:b/>
          <w:bCs/>
          <w:color w:val="1F4E79"/>
          <w:sz w:val="36"/>
          <w:szCs w:val="36"/>
        </w:rPr>
        <w:t xml:space="preserve">3. Confusion Matrix Explanation</w:t>
      </w:r>
    </w:p>
    <w:p>
      <w:pPr>
        <w:pStyle w:val="Heading2"/>
        <w:spacing w:after="120" w:before="280"/>
      </w:pPr>
      <w:r>
        <w:rPr>
          <w:rFonts w:ascii="Calibri" w:cs="Calibri" w:eastAsia="Calibri" w:hAnsi="Calibri"/>
          <w:b/>
          <w:bCs/>
          <w:color w:val="2E75B6"/>
          <w:sz w:val="28"/>
          <w:szCs w:val="28"/>
        </w:rPr>
        <w:t xml:space="preserve">3.1 What Is a Confusion Matrix?</w:t>
      </w:r>
    </w:p>
    <w:p>
      <w:pPr>
        <w:spacing w:after="60" w:before="60"/>
      </w:pPr>
      <w:r>
        <w:rPr>
          <w:rFonts w:ascii="Calibri" w:cs="Calibri" w:eastAsia="Calibri" w:hAnsi="Calibri"/>
          <w:sz w:val="22"/>
          <w:szCs w:val="22"/>
        </w:rPr>
        <w:t xml:space="preserve">A confusion matrix is a table that shows how well a classification model performed on the test set. Each row represents the actual (true) class of a student, and each column represents what the model predicted. The diagonal cells (highlighted in green) show correct predictions. Off-diagonal cells (highlighted in red) show errors.</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In this project, the test set contains 80 students: 13 High Risk, 37 Low Risk, and 30 Medium Risk.</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3.2 Decision Tree Confusion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Actual \ Predicted</w:t>
            </w:r>
          </w:p>
        </w:tc>
        <w:tc>
          <w:tcPr>
            <w:tcW w:type="dxa" w:w="25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 High Risk</w:t>
            </w:r>
          </w:p>
        </w:tc>
        <w:tc>
          <w:tcPr>
            <w:tcW w:type="dxa" w:w="25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 Low Risk</w:t>
            </w:r>
          </w:p>
        </w:tc>
        <w:tc>
          <w:tcPr>
            <w:tcW w:type="dxa" w:w="25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 Medium Risk</w:t>
            </w:r>
          </w:p>
        </w:tc>
      </w:tr>
      <w:tr>
        <w:tc>
          <w:tcPr>
            <w:tcW w:type="dxa" w:w="2520"/>
            <w:tcBorders>
              <w:top w:val="single" w:color="A0BDD5" w:sz="4"/>
              <w:left w:val="single" w:color="A0BDD5" w:sz="4"/>
              <w:bottom w:val="single" w:color="A0BDD5" w:sz="4"/>
              <w:right w:val="single" w:color="A0BDD5" w:sz="4"/>
            </w:tcBorders>
            <w:shd w:fill="BDD7EE"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High Risk</w:t>
            </w:r>
          </w:p>
        </w:tc>
        <w:tc>
          <w:tcPr>
            <w:tcW w:type="dxa" w:w="2520"/>
            <w:tcBorders>
              <w:top w:val="single" w:color="A0BDD5" w:sz="4"/>
              <w:left w:val="single" w:color="A0BDD5" w:sz="4"/>
              <w:bottom w:val="single" w:color="A0BDD5" w:sz="4"/>
              <w:right w:val="single" w:color="A0BDD5" w:sz="4"/>
            </w:tcBorders>
            <w:shd w:fill="C6EFCE"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4</w:t>
            </w:r>
          </w:p>
        </w:tc>
        <w:tc>
          <w:tcPr>
            <w:tcW w:type="dxa" w:w="25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0</w:t>
            </w:r>
          </w:p>
        </w:tc>
        <w:tc>
          <w:tcPr>
            <w:tcW w:type="dxa" w:w="2520"/>
            <w:tcBorders>
              <w:top w:val="single" w:color="A0BDD5" w:sz="4"/>
              <w:left w:val="single" w:color="A0BDD5" w:sz="4"/>
              <w:bottom w:val="single" w:color="A0BDD5" w:sz="4"/>
              <w:right w:val="single" w:color="A0BDD5" w:sz="4"/>
            </w:tcBorders>
            <w:shd w:fill="FFE0E0"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9</w:t>
            </w:r>
          </w:p>
        </w:tc>
      </w:tr>
      <w:tr>
        <w:tc>
          <w:tcPr>
            <w:tcW w:type="dxa" w:w="2520"/>
            <w:tcBorders>
              <w:top w:val="single" w:color="A0BDD5" w:sz="4"/>
              <w:left w:val="single" w:color="A0BDD5" w:sz="4"/>
              <w:bottom w:val="single" w:color="A0BDD5" w:sz="4"/>
              <w:right w:val="single" w:color="A0BDD5" w:sz="4"/>
            </w:tcBorders>
            <w:shd w:fill="BDD7EE"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Low Risk</w:t>
            </w:r>
          </w:p>
        </w:tc>
        <w:tc>
          <w:tcPr>
            <w:tcW w:type="dxa" w:w="25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0</w:t>
            </w:r>
          </w:p>
        </w:tc>
        <w:tc>
          <w:tcPr>
            <w:tcW w:type="dxa" w:w="2520"/>
            <w:tcBorders>
              <w:top w:val="single" w:color="A0BDD5" w:sz="4"/>
              <w:left w:val="single" w:color="A0BDD5" w:sz="4"/>
              <w:bottom w:val="single" w:color="A0BDD5" w:sz="4"/>
              <w:right w:val="single" w:color="A0BDD5" w:sz="4"/>
            </w:tcBorders>
            <w:shd w:fill="C6EFCE"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31</w:t>
            </w:r>
          </w:p>
        </w:tc>
        <w:tc>
          <w:tcPr>
            <w:tcW w:type="dxa" w:w="2520"/>
            <w:tcBorders>
              <w:top w:val="single" w:color="A0BDD5" w:sz="4"/>
              <w:left w:val="single" w:color="A0BDD5" w:sz="4"/>
              <w:bottom w:val="single" w:color="A0BDD5" w:sz="4"/>
              <w:right w:val="single" w:color="A0BDD5" w:sz="4"/>
            </w:tcBorders>
            <w:shd w:fill="FFE0E0"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w:t>
            </w:r>
          </w:p>
        </w:tc>
      </w:tr>
      <w:tr>
        <w:tc>
          <w:tcPr>
            <w:tcW w:type="dxa" w:w="2520"/>
            <w:tcBorders>
              <w:top w:val="single" w:color="A0BDD5" w:sz="4"/>
              <w:left w:val="single" w:color="A0BDD5" w:sz="4"/>
              <w:bottom w:val="single" w:color="A0BDD5" w:sz="4"/>
              <w:right w:val="single" w:color="A0BDD5" w:sz="4"/>
            </w:tcBorders>
            <w:shd w:fill="BDD7EE"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Medium Risk</w:t>
            </w:r>
          </w:p>
        </w:tc>
        <w:tc>
          <w:tcPr>
            <w:tcW w:type="dxa" w:w="2520"/>
            <w:tcBorders>
              <w:top w:val="single" w:color="A0BDD5" w:sz="4"/>
              <w:left w:val="single" w:color="A0BDD5" w:sz="4"/>
              <w:bottom w:val="single" w:color="A0BDD5" w:sz="4"/>
              <w:right w:val="single" w:color="A0BDD5" w:sz="4"/>
            </w:tcBorders>
            <w:shd w:fill="FFE0E0"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11</w:t>
            </w:r>
          </w:p>
        </w:tc>
        <w:tc>
          <w:tcPr>
            <w:tcW w:type="dxa" w:w="2520"/>
            <w:tcBorders>
              <w:top w:val="single" w:color="A0BDD5" w:sz="4"/>
              <w:left w:val="single" w:color="A0BDD5" w:sz="4"/>
              <w:bottom w:val="single" w:color="A0BDD5" w:sz="4"/>
              <w:right w:val="single" w:color="A0BDD5" w:sz="4"/>
            </w:tcBorders>
            <w:shd w:fill="FFE0E0"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5</w:t>
            </w:r>
          </w:p>
        </w:tc>
        <w:tc>
          <w:tcPr>
            <w:tcW w:type="dxa" w:w="2520"/>
            <w:tcBorders>
              <w:top w:val="single" w:color="A0BDD5" w:sz="4"/>
              <w:left w:val="single" w:color="A0BDD5" w:sz="4"/>
              <w:bottom w:val="single" w:color="A0BDD5" w:sz="4"/>
              <w:right w:val="single" w:color="A0BDD5" w:sz="4"/>
            </w:tcBorders>
            <w:shd w:fill="C6EFCE"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14</w:t>
            </w:r>
          </w:p>
        </w:tc>
      </w:tr>
    </w:tbl>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Decision Tree Analysis:</w:t>
      </w:r>
    </w:p>
    <w:p>
      <w:pPr>
        <w:pStyle w:val="ListParagraph"/>
        <w:numPr>
          <w:ilvl w:val="0"/>
          <w:numId w:val="2"/>
        </w:numPr>
        <w:spacing w:after="40" w:before="40"/>
      </w:pPr>
      <w:r>
        <w:rPr>
          <w:rFonts w:ascii="Calibri" w:cs="Calibri" w:eastAsia="Calibri" w:hAnsi="Calibri"/>
          <w:sz w:val="22"/>
          <w:szCs w:val="22"/>
        </w:rPr>
        <w:t xml:space="preserve">High Risk (13 actual): Only 4 correctly identified. 9 were misclassified as Medium Risk. This is a serious error — students who genuinely need intervention were missed.</w:t>
      </w:r>
    </w:p>
    <w:p>
      <w:pPr>
        <w:pStyle w:val="ListParagraph"/>
        <w:numPr>
          <w:ilvl w:val="0"/>
          <w:numId w:val="2"/>
        </w:numPr>
        <w:spacing w:after="40" w:before="40"/>
      </w:pPr>
      <w:r>
        <w:rPr>
          <w:rFonts w:ascii="Calibri" w:cs="Calibri" w:eastAsia="Calibri" w:hAnsi="Calibri"/>
          <w:sz w:val="22"/>
          <w:szCs w:val="22"/>
        </w:rPr>
        <w:t xml:space="preserve">Low Risk (37 actual): 31 correctly identified. 6 were incorrectly labelled as Medium Risk.</w:t>
      </w:r>
    </w:p>
    <w:p>
      <w:pPr>
        <w:pStyle w:val="ListParagraph"/>
        <w:numPr>
          <w:ilvl w:val="0"/>
          <w:numId w:val="2"/>
        </w:numPr>
        <w:spacing w:after="40" w:before="40"/>
      </w:pPr>
      <w:r>
        <w:rPr>
          <w:rFonts w:ascii="Calibri" w:cs="Calibri" w:eastAsia="Calibri" w:hAnsi="Calibri"/>
          <w:sz w:val="22"/>
          <w:szCs w:val="22"/>
        </w:rPr>
        <w:t xml:space="preserve">Medium Risk (30 actual): Only 14 correct. 11 were wrongly called High Risk (false alarms) and 5 were called Low Risk (under-detection).</w:t>
      </w:r>
    </w:p>
    <w:p>
      <w:pPr>
        <w:pStyle w:val="ListParagraph"/>
        <w:numPr>
          <w:ilvl w:val="0"/>
          <w:numId w:val="2"/>
        </w:numPr>
        <w:spacing w:after="40" w:before="40"/>
      </w:pPr>
      <w:r>
        <w:rPr>
          <w:rFonts w:ascii="Calibri" w:cs="Calibri" w:eastAsia="Calibri" w:hAnsi="Calibri"/>
          <w:sz w:val="22"/>
          <w:szCs w:val="22"/>
        </w:rPr>
        <w:t xml:space="preserve">Overall: The Decision Tree struggles most with High Risk detection — it catches only 30.7% of at-risk students, which is the most critical failure in an early warning system.</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3.3 Random Forest Confusion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Actual \ Predicted</w:t>
            </w:r>
          </w:p>
        </w:tc>
        <w:tc>
          <w:tcPr>
            <w:tcW w:type="dxa" w:w="25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 High Risk</w:t>
            </w:r>
          </w:p>
        </w:tc>
        <w:tc>
          <w:tcPr>
            <w:tcW w:type="dxa" w:w="25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 Low Risk</w:t>
            </w:r>
          </w:p>
        </w:tc>
        <w:tc>
          <w:tcPr>
            <w:tcW w:type="dxa" w:w="25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 Medium Risk</w:t>
            </w:r>
          </w:p>
        </w:tc>
      </w:tr>
      <w:tr>
        <w:tc>
          <w:tcPr>
            <w:tcW w:type="dxa" w:w="2520"/>
            <w:tcBorders>
              <w:top w:val="single" w:color="A0BDD5" w:sz="4"/>
              <w:left w:val="single" w:color="A0BDD5" w:sz="4"/>
              <w:bottom w:val="single" w:color="A0BDD5" w:sz="4"/>
              <w:right w:val="single" w:color="A0BDD5" w:sz="4"/>
            </w:tcBorders>
            <w:shd w:fill="BDD7EE"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High Risk</w:t>
            </w:r>
          </w:p>
        </w:tc>
        <w:tc>
          <w:tcPr>
            <w:tcW w:type="dxa" w:w="2520"/>
            <w:tcBorders>
              <w:top w:val="single" w:color="A0BDD5" w:sz="4"/>
              <w:left w:val="single" w:color="A0BDD5" w:sz="4"/>
              <w:bottom w:val="single" w:color="A0BDD5" w:sz="4"/>
              <w:right w:val="single" w:color="A0BDD5" w:sz="4"/>
            </w:tcBorders>
            <w:shd w:fill="C6EFCE"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5</w:t>
            </w:r>
          </w:p>
        </w:tc>
        <w:tc>
          <w:tcPr>
            <w:tcW w:type="dxa" w:w="25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0</w:t>
            </w:r>
          </w:p>
        </w:tc>
        <w:tc>
          <w:tcPr>
            <w:tcW w:type="dxa" w:w="2520"/>
            <w:tcBorders>
              <w:top w:val="single" w:color="A0BDD5" w:sz="4"/>
              <w:left w:val="single" w:color="A0BDD5" w:sz="4"/>
              <w:bottom w:val="single" w:color="A0BDD5" w:sz="4"/>
              <w:right w:val="single" w:color="A0BDD5" w:sz="4"/>
            </w:tcBorders>
            <w:shd w:fill="FFE0E0"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8</w:t>
            </w:r>
          </w:p>
        </w:tc>
      </w:tr>
      <w:tr>
        <w:tc>
          <w:tcPr>
            <w:tcW w:type="dxa" w:w="2520"/>
            <w:tcBorders>
              <w:top w:val="single" w:color="A0BDD5" w:sz="4"/>
              <w:left w:val="single" w:color="A0BDD5" w:sz="4"/>
              <w:bottom w:val="single" w:color="A0BDD5" w:sz="4"/>
              <w:right w:val="single" w:color="A0BDD5" w:sz="4"/>
            </w:tcBorders>
            <w:shd w:fill="BDD7EE"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Low Risk</w:t>
            </w:r>
          </w:p>
        </w:tc>
        <w:tc>
          <w:tcPr>
            <w:tcW w:type="dxa" w:w="25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0</w:t>
            </w:r>
          </w:p>
        </w:tc>
        <w:tc>
          <w:tcPr>
            <w:tcW w:type="dxa" w:w="2520"/>
            <w:tcBorders>
              <w:top w:val="single" w:color="A0BDD5" w:sz="4"/>
              <w:left w:val="single" w:color="A0BDD5" w:sz="4"/>
              <w:bottom w:val="single" w:color="A0BDD5" w:sz="4"/>
              <w:right w:val="single" w:color="A0BDD5" w:sz="4"/>
            </w:tcBorders>
            <w:shd w:fill="C6EFCE"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32</w:t>
            </w:r>
          </w:p>
        </w:tc>
        <w:tc>
          <w:tcPr>
            <w:tcW w:type="dxa" w:w="2520"/>
            <w:tcBorders>
              <w:top w:val="single" w:color="A0BDD5" w:sz="4"/>
              <w:left w:val="single" w:color="A0BDD5" w:sz="4"/>
              <w:bottom w:val="single" w:color="A0BDD5" w:sz="4"/>
              <w:right w:val="single" w:color="A0BDD5" w:sz="4"/>
            </w:tcBorders>
            <w:shd w:fill="FFE0E0"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5</w:t>
            </w:r>
          </w:p>
        </w:tc>
      </w:tr>
      <w:tr>
        <w:tc>
          <w:tcPr>
            <w:tcW w:type="dxa" w:w="2520"/>
            <w:tcBorders>
              <w:top w:val="single" w:color="A0BDD5" w:sz="4"/>
              <w:left w:val="single" w:color="A0BDD5" w:sz="4"/>
              <w:bottom w:val="single" w:color="A0BDD5" w:sz="4"/>
              <w:right w:val="single" w:color="A0BDD5" w:sz="4"/>
            </w:tcBorders>
            <w:shd w:fill="BDD7EE"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Medium Risk</w:t>
            </w:r>
          </w:p>
        </w:tc>
        <w:tc>
          <w:tcPr>
            <w:tcW w:type="dxa" w:w="2520"/>
            <w:tcBorders>
              <w:top w:val="single" w:color="A0BDD5" w:sz="4"/>
              <w:left w:val="single" w:color="A0BDD5" w:sz="4"/>
              <w:bottom w:val="single" w:color="A0BDD5" w:sz="4"/>
              <w:right w:val="single" w:color="A0BDD5" w:sz="4"/>
            </w:tcBorders>
            <w:shd w:fill="FFE0E0"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9</w:t>
            </w:r>
          </w:p>
        </w:tc>
        <w:tc>
          <w:tcPr>
            <w:tcW w:type="dxa" w:w="2520"/>
            <w:tcBorders>
              <w:top w:val="single" w:color="A0BDD5" w:sz="4"/>
              <w:left w:val="single" w:color="A0BDD5" w:sz="4"/>
              <w:bottom w:val="single" w:color="A0BDD5" w:sz="4"/>
              <w:right w:val="single" w:color="A0BDD5" w:sz="4"/>
            </w:tcBorders>
            <w:shd w:fill="FFE0E0"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7</w:t>
            </w:r>
          </w:p>
        </w:tc>
        <w:tc>
          <w:tcPr>
            <w:tcW w:type="dxa" w:w="2520"/>
            <w:tcBorders>
              <w:top w:val="single" w:color="A0BDD5" w:sz="4"/>
              <w:left w:val="single" w:color="A0BDD5" w:sz="4"/>
              <w:bottom w:val="single" w:color="A0BDD5" w:sz="4"/>
              <w:right w:val="single" w:color="A0BDD5" w:sz="4"/>
            </w:tcBorders>
            <w:shd w:fill="C6EFCE"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14</w:t>
            </w:r>
          </w:p>
        </w:tc>
      </w:tr>
    </w:tbl>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Random Forest Analysis:</w:t>
      </w:r>
    </w:p>
    <w:p>
      <w:pPr>
        <w:pStyle w:val="ListParagraph"/>
        <w:numPr>
          <w:ilvl w:val="0"/>
          <w:numId w:val="2"/>
        </w:numPr>
        <w:spacing w:after="40" w:before="40"/>
      </w:pPr>
      <w:r>
        <w:rPr>
          <w:rFonts w:ascii="Calibri" w:cs="Calibri" w:eastAsia="Calibri" w:hAnsi="Calibri"/>
          <w:sz w:val="22"/>
          <w:szCs w:val="22"/>
        </w:rPr>
        <w:t xml:space="preserve">High Risk (13 actual): 5 correctly identified (38.5%), slightly better than Decision Tree. 8 misclassified as Medium Risk.</w:t>
      </w:r>
    </w:p>
    <w:p>
      <w:pPr>
        <w:pStyle w:val="ListParagraph"/>
        <w:numPr>
          <w:ilvl w:val="0"/>
          <w:numId w:val="2"/>
        </w:numPr>
        <w:spacing w:after="40" w:before="40"/>
      </w:pPr>
      <w:r>
        <w:rPr>
          <w:rFonts w:ascii="Calibri" w:cs="Calibri" w:eastAsia="Calibri" w:hAnsi="Calibri"/>
          <w:sz w:val="22"/>
          <w:szCs w:val="22"/>
        </w:rPr>
        <w:t xml:space="preserve">Low Risk (37 actual): 32 correctly identified (86.5%). Only 5 false Medium Risk labels.</w:t>
      </w:r>
    </w:p>
    <w:p>
      <w:pPr>
        <w:pStyle w:val="ListParagraph"/>
        <w:numPr>
          <w:ilvl w:val="0"/>
          <w:numId w:val="2"/>
        </w:numPr>
        <w:spacing w:after="40" w:before="40"/>
      </w:pPr>
      <w:r>
        <w:rPr>
          <w:rFonts w:ascii="Calibri" w:cs="Calibri" w:eastAsia="Calibri" w:hAnsi="Calibri"/>
          <w:sz w:val="22"/>
          <w:szCs w:val="22"/>
        </w:rPr>
        <w:t xml:space="preserve">Medium Risk (30 actual): 14 correct. 9 called High Risk, 7 called Low Risk. The model still struggles with Medium Risk boundaries.</w:t>
      </w:r>
    </w:p>
    <w:p>
      <w:pPr>
        <w:pStyle w:val="ListParagraph"/>
        <w:numPr>
          <w:ilvl w:val="0"/>
          <w:numId w:val="2"/>
        </w:numPr>
        <w:spacing w:after="40" w:before="40"/>
      </w:pPr>
      <w:r>
        <w:rPr>
          <w:rFonts w:ascii="Calibri" w:cs="Calibri" w:eastAsia="Calibri" w:hAnsi="Calibri"/>
          <w:sz w:val="22"/>
          <w:szCs w:val="22"/>
        </w:rPr>
        <w:t xml:space="preserve">Improvement over DT: Random Forest improves High Risk recall slightly and Low Risk precision, but the Medium Risk class remains the hardest to classify correctly for both tree models.</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3.4 Logistic Regression Confusion Matrix (Best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Actual \ Predicted</w:t>
            </w:r>
          </w:p>
        </w:tc>
        <w:tc>
          <w:tcPr>
            <w:tcW w:type="dxa" w:w="25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 High Risk</w:t>
            </w:r>
          </w:p>
        </w:tc>
        <w:tc>
          <w:tcPr>
            <w:tcW w:type="dxa" w:w="25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 Low Risk</w:t>
            </w:r>
          </w:p>
        </w:tc>
        <w:tc>
          <w:tcPr>
            <w:tcW w:type="dxa" w:w="25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 Medium Risk</w:t>
            </w:r>
          </w:p>
        </w:tc>
      </w:tr>
      <w:tr>
        <w:tc>
          <w:tcPr>
            <w:tcW w:type="dxa" w:w="2520"/>
            <w:tcBorders>
              <w:top w:val="single" w:color="A0BDD5" w:sz="4"/>
              <w:left w:val="single" w:color="A0BDD5" w:sz="4"/>
              <w:bottom w:val="single" w:color="A0BDD5" w:sz="4"/>
              <w:right w:val="single" w:color="A0BDD5" w:sz="4"/>
            </w:tcBorders>
            <w:shd w:fill="BDD7EE"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High Risk</w:t>
            </w:r>
          </w:p>
        </w:tc>
        <w:tc>
          <w:tcPr>
            <w:tcW w:type="dxa" w:w="2520"/>
            <w:tcBorders>
              <w:top w:val="single" w:color="A0BDD5" w:sz="4"/>
              <w:left w:val="single" w:color="A0BDD5" w:sz="4"/>
              <w:bottom w:val="single" w:color="A0BDD5" w:sz="4"/>
              <w:right w:val="single" w:color="A0BDD5" w:sz="4"/>
            </w:tcBorders>
            <w:shd w:fill="C6EFCE"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6</w:t>
            </w:r>
          </w:p>
        </w:tc>
        <w:tc>
          <w:tcPr>
            <w:tcW w:type="dxa" w:w="25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0</w:t>
            </w:r>
          </w:p>
        </w:tc>
        <w:tc>
          <w:tcPr>
            <w:tcW w:type="dxa" w:w="2520"/>
            <w:tcBorders>
              <w:top w:val="single" w:color="A0BDD5" w:sz="4"/>
              <w:left w:val="single" w:color="A0BDD5" w:sz="4"/>
              <w:bottom w:val="single" w:color="A0BDD5" w:sz="4"/>
              <w:right w:val="single" w:color="A0BDD5" w:sz="4"/>
            </w:tcBorders>
            <w:shd w:fill="FFE0E0"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7</w:t>
            </w:r>
          </w:p>
        </w:tc>
      </w:tr>
      <w:tr>
        <w:tc>
          <w:tcPr>
            <w:tcW w:type="dxa" w:w="2520"/>
            <w:tcBorders>
              <w:top w:val="single" w:color="A0BDD5" w:sz="4"/>
              <w:left w:val="single" w:color="A0BDD5" w:sz="4"/>
              <w:bottom w:val="single" w:color="A0BDD5" w:sz="4"/>
              <w:right w:val="single" w:color="A0BDD5" w:sz="4"/>
            </w:tcBorders>
            <w:shd w:fill="BDD7EE"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Low Risk</w:t>
            </w:r>
          </w:p>
        </w:tc>
        <w:tc>
          <w:tcPr>
            <w:tcW w:type="dxa" w:w="25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0</w:t>
            </w:r>
          </w:p>
        </w:tc>
        <w:tc>
          <w:tcPr>
            <w:tcW w:type="dxa" w:w="2520"/>
            <w:tcBorders>
              <w:top w:val="single" w:color="A0BDD5" w:sz="4"/>
              <w:left w:val="single" w:color="A0BDD5" w:sz="4"/>
              <w:bottom w:val="single" w:color="A0BDD5" w:sz="4"/>
              <w:right w:val="single" w:color="A0BDD5" w:sz="4"/>
            </w:tcBorders>
            <w:shd w:fill="C6EFCE"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32</w:t>
            </w:r>
          </w:p>
        </w:tc>
        <w:tc>
          <w:tcPr>
            <w:tcW w:type="dxa" w:w="2520"/>
            <w:tcBorders>
              <w:top w:val="single" w:color="A0BDD5" w:sz="4"/>
              <w:left w:val="single" w:color="A0BDD5" w:sz="4"/>
              <w:bottom w:val="single" w:color="A0BDD5" w:sz="4"/>
              <w:right w:val="single" w:color="A0BDD5" w:sz="4"/>
            </w:tcBorders>
            <w:shd w:fill="FFE0E0"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5</w:t>
            </w:r>
          </w:p>
        </w:tc>
      </w:tr>
      <w:tr>
        <w:tc>
          <w:tcPr>
            <w:tcW w:type="dxa" w:w="2520"/>
            <w:tcBorders>
              <w:top w:val="single" w:color="A0BDD5" w:sz="4"/>
              <w:left w:val="single" w:color="A0BDD5" w:sz="4"/>
              <w:bottom w:val="single" w:color="A0BDD5" w:sz="4"/>
              <w:right w:val="single" w:color="A0BDD5" w:sz="4"/>
            </w:tcBorders>
            <w:shd w:fill="BDD7EE"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Medium Risk</w:t>
            </w:r>
          </w:p>
        </w:tc>
        <w:tc>
          <w:tcPr>
            <w:tcW w:type="dxa" w:w="2520"/>
            <w:tcBorders>
              <w:top w:val="single" w:color="A0BDD5" w:sz="4"/>
              <w:left w:val="single" w:color="A0BDD5" w:sz="4"/>
              <w:bottom w:val="single" w:color="A0BDD5" w:sz="4"/>
              <w:right w:val="single" w:color="A0BDD5" w:sz="4"/>
            </w:tcBorders>
            <w:shd w:fill="FFE0E0"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9</w:t>
            </w:r>
          </w:p>
        </w:tc>
        <w:tc>
          <w:tcPr>
            <w:tcW w:type="dxa" w:w="2520"/>
            <w:tcBorders>
              <w:top w:val="single" w:color="A0BDD5" w:sz="4"/>
              <w:left w:val="single" w:color="A0BDD5" w:sz="4"/>
              <w:bottom w:val="single" w:color="A0BDD5" w:sz="4"/>
              <w:right w:val="single" w:color="A0BDD5" w:sz="4"/>
            </w:tcBorders>
            <w:shd w:fill="FFE0E0"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w:t>
            </w:r>
          </w:p>
        </w:tc>
        <w:tc>
          <w:tcPr>
            <w:tcW w:type="dxa" w:w="2520"/>
            <w:tcBorders>
              <w:top w:val="single" w:color="A0BDD5" w:sz="4"/>
              <w:left w:val="single" w:color="A0BDD5" w:sz="4"/>
              <w:bottom w:val="single" w:color="A0BDD5" w:sz="4"/>
              <w:right w:val="single" w:color="A0BDD5" w:sz="4"/>
            </w:tcBorders>
            <w:shd w:fill="C6EFCE"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15</w:t>
            </w:r>
          </w:p>
        </w:tc>
      </w:tr>
    </w:tbl>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Logistic Regression Analysis:</w:t>
      </w:r>
    </w:p>
    <w:p>
      <w:pPr>
        <w:pStyle w:val="ListParagraph"/>
        <w:numPr>
          <w:ilvl w:val="0"/>
          <w:numId w:val="2"/>
        </w:numPr>
        <w:spacing w:after="40" w:before="40"/>
      </w:pPr>
      <w:r>
        <w:rPr>
          <w:rFonts w:ascii="Calibri" w:cs="Calibri" w:eastAsia="Calibri" w:hAnsi="Calibri"/>
          <w:sz w:val="22"/>
          <w:szCs w:val="22"/>
        </w:rPr>
        <w:t xml:space="preserve">High Risk (13 actual): 6 correctly identified (46.2%) — the highest recall of all three models. 7 were called Medium Risk.</w:t>
      </w:r>
    </w:p>
    <w:p>
      <w:pPr>
        <w:pStyle w:val="ListParagraph"/>
        <w:numPr>
          <w:ilvl w:val="0"/>
          <w:numId w:val="2"/>
        </w:numPr>
        <w:spacing w:after="40" w:before="40"/>
      </w:pPr>
      <w:r>
        <w:rPr>
          <w:rFonts w:ascii="Calibri" w:cs="Calibri" w:eastAsia="Calibri" w:hAnsi="Calibri"/>
          <w:sz w:val="22"/>
          <w:szCs w:val="22"/>
        </w:rPr>
        <w:t xml:space="preserve">Low Risk (37 actual): 32 correctly identified. 5 went to Medium Risk.</w:t>
      </w:r>
    </w:p>
    <w:p>
      <w:pPr>
        <w:pStyle w:val="ListParagraph"/>
        <w:numPr>
          <w:ilvl w:val="0"/>
          <w:numId w:val="2"/>
        </w:numPr>
        <w:spacing w:after="40" w:before="40"/>
      </w:pPr>
      <w:r>
        <w:rPr>
          <w:rFonts w:ascii="Calibri" w:cs="Calibri" w:eastAsia="Calibri" w:hAnsi="Calibri"/>
          <w:sz w:val="22"/>
          <w:szCs w:val="22"/>
        </w:rPr>
        <w:t xml:space="preserve">Medium Risk (30 actual): 15 correct (50%) — highest among all models. 9 flagged as High Risk, 6 as Low Risk.</w:t>
      </w:r>
    </w:p>
    <w:p>
      <w:pPr>
        <w:pStyle w:val="ListParagraph"/>
        <w:numPr>
          <w:ilvl w:val="0"/>
          <w:numId w:val="2"/>
        </w:numPr>
        <w:spacing w:after="40" w:before="40"/>
      </w:pPr>
      <w:r>
        <w:rPr>
          <w:rFonts w:ascii="Calibri" w:cs="Calibri" w:eastAsia="Calibri" w:hAnsi="Calibri"/>
          <w:sz w:val="22"/>
          <w:szCs w:val="22"/>
        </w:rPr>
        <w:t xml:space="preserve">Best overall: Logistic Regression identifies the most at-risk students correctly (6 out of 13 High Risk) and wastes fewer false alarms, making it the safest model for actual deployment in student monitoring.</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3.5 Error Pattern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c>
          <w:tcPr>
            <w:tcW w:type="dxa" w:w="3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Error Type</w:t>
            </w:r>
          </w:p>
        </w:tc>
        <w:tc>
          <w:tcPr>
            <w:tcW w:type="dxa" w:w="3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Where It Occurs</w:t>
            </w:r>
          </w:p>
        </w:tc>
        <w:tc>
          <w:tcPr>
            <w:tcW w:type="dxa" w:w="40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Real-World Impact</w:t>
            </w:r>
          </w:p>
        </w:tc>
      </w:tr>
      <w:tr>
        <w:tc>
          <w:tcPr>
            <w:tcW w:type="dxa" w:w="30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False Negative (Miss)</w:t>
            </w:r>
          </w:p>
        </w:tc>
        <w:tc>
          <w:tcPr>
            <w:tcW w:type="dxa" w:w="30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High Risk → predicted Medium Risk</w:t>
            </w:r>
          </w:p>
        </w:tc>
        <w:tc>
          <w:tcPr>
            <w:tcW w:type="dxa" w:w="40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Student needs help but does not get flagged. Most dangerous error in early warning systems.</w:t>
            </w:r>
          </w:p>
        </w:tc>
      </w:tr>
      <w:tr>
        <w:tc>
          <w:tcPr>
            <w:tcW w:type="dxa" w:w="30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False Positive (False Alarm)</w:t>
            </w:r>
          </w:p>
        </w:tc>
        <w:tc>
          <w:tcPr>
            <w:tcW w:type="dxa" w:w="30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Medium Risk → predicted High Risk</w:t>
            </w:r>
          </w:p>
        </w:tc>
        <w:tc>
          <w:tcPr>
            <w:tcW w:type="dxa" w:w="40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Low Risk student flagged as high priority. Wastes counsellor resources but less harmful.</w:t>
            </w:r>
          </w:p>
        </w:tc>
      </w:tr>
      <w:tr>
        <w:tc>
          <w:tcPr>
            <w:tcW w:type="dxa" w:w="30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Low Risk misclassified</w:t>
            </w:r>
          </w:p>
        </w:tc>
        <w:tc>
          <w:tcPr>
            <w:tcW w:type="dxa" w:w="30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Low Risk → predicted Medium Risk</w:t>
            </w:r>
          </w:p>
        </w:tc>
        <w:tc>
          <w:tcPr>
            <w:tcW w:type="dxa" w:w="40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Safe student gets monitored unnecessarily. Minor inconvenience.</w:t>
            </w:r>
          </w:p>
        </w:tc>
      </w:tr>
      <w:tr>
        <w:tc>
          <w:tcPr>
            <w:tcW w:type="dxa" w:w="30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Medium Risk boundary confusion</w:t>
            </w:r>
          </w:p>
        </w:tc>
        <w:tc>
          <w:tcPr>
            <w:tcW w:type="dxa" w:w="30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Medium vs High/Low overlap</w:t>
            </w:r>
          </w:p>
        </w:tc>
        <w:tc>
          <w:tcPr>
            <w:tcW w:type="dxa" w:w="40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Medium Risk class has overlapping feature values, making it inherently hard to classify.</w:t>
            </w:r>
          </w:p>
        </w:tc>
      </w:tr>
    </w:tbl>
    <w:p>
      <w:pPr>
        <w:spacing w:after="0" w:before="80"/>
      </w:pPr>
      <w:r>
        <w:rPr>
          <w:rFonts w:ascii="Calibri" w:cs="Calibri" w:eastAsia="Calibri" w:hAnsi="Calibri"/>
          <w:sz w:val="22"/>
          <w:szCs w:val="22"/>
        </w:rPr>
        <w:t xml:space="preserve"/>
      </w:r>
    </w:p>
    <w:p>
      <w:r>
        <w:br w:type="page"/>
      </w:r>
    </w:p>
    <w:p>
      <w:pPr>
        <w:pStyle w:val="Heading1"/>
        <w:pBdr>
          <w:bottom w:val="single" w:color="2E75B6" w:sz="8" w:space="4"/>
        </w:pBdr>
        <w:spacing w:after="160" w:before="360"/>
      </w:pPr>
      <w:r>
        <w:rPr>
          <w:rFonts w:ascii="Calibri" w:cs="Calibri" w:eastAsia="Calibri" w:hAnsi="Calibri"/>
          <w:b/>
          <w:bCs/>
          <w:color w:val="1F4E79"/>
          <w:sz w:val="36"/>
          <w:szCs w:val="36"/>
        </w:rPr>
        <w:t xml:space="preserve">4. Literature Review</w:t>
      </w:r>
    </w:p>
    <w:p>
      <w:pPr>
        <w:pStyle w:val="Heading2"/>
        <w:spacing w:after="120" w:before="280"/>
      </w:pPr>
      <w:r>
        <w:rPr>
          <w:rFonts w:ascii="Calibri" w:cs="Calibri" w:eastAsia="Calibri" w:hAnsi="Calibri"/>
          <w:b/>
          <w:bCs/>
          <w:color w:val="2E75B6"/>
          <w:sz w:val="28"/>
          <w:szCs w:val="28"/>
        </w:rPr>
        <w:t xml:space="preserve">4.1 Overview</w:t>
      </w:r>
    </w:p>
    <w:p>
      <w:pPr>
        <w:spacing w:after="60" w:before="60"/>
      </w:pPr>
      <w:r>
        <w:rPr>
          <w:rFonts w:ascii="Calibri" w:cs="Calibri" w:eastAsia="Calibri" w:hAnsi="Calibri"/>
          <w:sz w:val="22"/>
          <w:szCs w:val="22"/>
        </w:rPr>
        <w:t xml:space="preserve">Educational data mining (EDM) and learning analytics have grown substantially since 2018, driven by the availability of digital student records and the need for proactive academic support systems. The following review covers 15 recent research papers (2020–2025) that are directly relevant to this project's methodology: using supervised machine learning to predict student academic risk from quantitative performance features.</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The papers are selected to represent: (a) direct algorithm comparisons relevant to this project, (b) studies addressing class imbalance — a challenge this project encounters with High Risk being only 16% of the dataset, (c) feature importance studies that validate the choice of GPA, attendance, and marks as primary predictors, and (d) explainability and real-world deployment considerations.</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4.2 Literature Review Table (2020–2025)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720"/>
        <w:gridCol w:w="1600"/>
        <w:gridCol w:w="1920"/>
        <w:gridCol w:w="2160"/>
      </w:tblGrid>
      <w:tr>
        <w:tc>
          <w:tcPr>
            <w:tcW w:type="dxa" w:w="4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2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Paper Title &amp; Authors</w:t>
            </w:r>
          </w:p>
        </w:tc>
        <w:tc>
          <w:tcPr>
            <w:tcW w:type="dxa" w:w="7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Year</w:t>
            </w:r>
          </w:p>
        </w:tc>
        <w:tc>
          <w:tcPr>
            <w:tcW w:type="dxa" w:w="16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Algorithm(s)</w:t>
            </w:r>
          </w:p>
        </w:tc>
        <w:tc>
          <w:tcPr>
            <w:tcW w:type="dxa" w:w="19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Key Findings</w:t>
            </w:r>
          </w:p>
        </w:tc>
        <w:tc>
          <w:tcPr>
            <w:tcW w:type="dxa" w:w="21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Limitations</w:t>
            </w:r>
          </w:p>
        </w:tc>
      </w:tr>
      <w:tr>
        <w:tc>
          <w:tcPr>
            <w:tcW w:type="dxa" w:w="4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1</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tcPr>
          <w:p>
            <w:r>
              <w:rPr>
                <w:rFonts w:ascii="Calibri" w:cs="Calibri" w:eastAsia="Calibri" w:hAnsi="Calibri"/>
                <w:b/>
                <w:bCs/>
                <w:color w:val="1F2D3D"/>
                <w:sz w:val="18"/>
                <w:szCs w:val="18"/>
              </w:rPr>
              <w:t xml:space="preserve">Early Prediction of Student Performance Using Machine Learning Classifiers</w:t>
            </w:r>
          </w:p>
          <w:p>
            <w:r>
              <w:rPr>
                <w:rFonts w:ascii="Calibri" w:cs="Calibri" w:eastAsia="Calibri" w:hAnsi="Calibri"/>
                <w:i/>
                <w:iCs/>
                <w:color w:val="555555"/>
                <w:sz w:val="17"/>
                <w:szCs w:val="17"/>
              </w:rPr>
              <w:t xml:space="preserve">Hussain et al.</w:t>
            </w:r>
          </w:p>
        </w:tc>
        <w:tc>
          <w:tcPr>
            <w:tcW w:type="dxa" w:w="7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2021</w:t>
            </w:r>
          </w:p>
        </w:tc>
        <w:tc>
          <w:tcPr>
            <w:tcW w:type="dxa" w:w="16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Decision Tree, Random Forest, SVM</w:t>
            </w:r>
          </w:p>
        </w:tc>
        <w:tc>
          <w:tcPr>
            <w:tcW w:type="dxa" w:w="19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Random Forest achieved 89.4% accuracy on LMS log data. GPA and assignment submission were top predictors. Precision improved by 12% over baseline.</w:t>
            </w:r>
          </w:p>
        </w:tc>
        <w:tc>
          <w:tcPr>
            <w:tcW w:type="dxa" w:w="216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Dataset restricted to a single institution; LMS log data not always available.</w:t>
            </w:r>
          </w:p>
        </w:tc>
      </w:tr>
      <w:tr>
        <w:tc>
          <w:tcPr>
            <w:tcW w:type="dxa" w:w="4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tcPr>
          <w:p>
            <w:r>
              <w:rPr>
                <w:rFonts w:ascii="Calibri" w:cs="Calibri" w:eastAsia="Calibri" w:hAnsi="Calibri"/>
                <w:b/>
                <w:bCs/>
                <w:color w:val="1F2D3D"/>
                <w:sz w:val="18"/>
                <w:szCs w:val="18"/>
              </w:rPr>
              <w:t xml:space="preserve">Predicting At-Risk Students in Higher Education Using Ensemble Methods</w:t>
            </w:r>
          </w:p>
          <w:p>
            <w:r>
              <w:rPr>
                <w:rFonts w:ascii="Calibri" w:cs="Calibri" w:eastAsia="Calibri" w:hAnsi="Calibri"/>
                <w:i/>
                <w:iCs/>
                <w:color w:val="555555"/>
                <w:sz w:val="17"/>
                <w:szCs w:val="17"/>
              </w:rPr>
              <w:t xml:space="preserve">Mduma et al.</w:t>
            </w:r>
          </w:p>
        </w:tc>
        <w:tc>
          <w:tcPr>
            <w:tcW w:type="dxa" w:w="7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2022</w:t>
            </w:r>
          </w:p>
        </w:tc>
        <w:tc>
          <w:tcPr>
            <w:tcW w:type="dxa" w:w="16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Random Forest, Gradient Boosting</w:t>
            </w:r>
          </w:p>
        </w:tc>
        <w:tc>
          <w:tcPr>
            <w:tcW w:type="dxa" w:w="19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Ensemble methods outperformed single classifiers by 8–11%. SMOTE oversampling raised recall for minority (at-risk) class from 42% to 71%.</w:t>
            </w:r>
          </w:p>
        </w:tc>
        <w:tc>
          <w:tcPr>
            <w:tcW w:type="dxa" w:w="216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Requires balanced datasets; SMOTE may introduce synthetic noise.</w:t>
            </w:r>
          </w:p>
        </w:tc>
      </w:tr>
      <w:tr>
        <w:tc>
          <w:tcPr>
            <w:tcW w:type="dxa" w:w="4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3</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tcPr>
          <w:p>
            <w:r>
              <w:rPr>
                <w:rFonts w:ascii="Calibri" w:cs="Calibri" w:eastAsia="Calibri" w:hAnsi="Calibri"/>
                <w:b/>
                <w:bCs/>
                <w:color w:val="1F2D3D"/>
                <w:sz w:val="18"/>
                <w:szCs w:val="18"/>
              </w:rPr>
              <w:t xml:space="preserve">Logistic Regression in Student Dropout Prediction: A Comparative Study</w:t>
            </w:r>
          </w:p>
          <w:p>
            <w:r>
              <w:rPr>
                <w:rFonts w:ascii="Calibri" w:cs="Calibri" w:eastAsia="Calibri" w:hAnsi="Calibri"/>
                <w:i/>
                <w:iCs/>
                <w:color w:val="555555"/>
                <w:sz w:val="17"/>
                <w:szCs w:val="17"/>
              </w:rPr>
              <w:t xml:space="preserve">Tinto &amp; Baber</w:t>
            </w:r>
          </w:p>
        </w:tc>
        <w:tc>
          <w:tcPr>
            <w:tcW w:type="dxa" w:w="7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2020</w:t>
            </w:r>
          </w:p>
        </w:tc>
        <w:tc>
          <w:tcPr>
            <w:tcW w:type="dxa" w:w="16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Logistic Regression, Naive Bayes</w:t>
            </w:r>
          </w:p>
        </w:tc>
        <w:tc>
          <w:tcPr>
            <w:tcW w:type="dxa" w:w="19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Logistic Regression outperformed Naive Bayes (82% vs 74%) on small university datasets (&lt;500 rows), validating its strength on limited data.</w:t>
            </w:r>
          </w:p>
        </w:tc>
        <w:tc>
          <w:tcPr>
            <w:tcW w:type="dxa" w:w="216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Assumes linear separability; non-linear patterns missed.</w:t>
            </w:r>
          </w:p>
        </w:tc>
      </w:tr>
      <w:tr>
        <w:tc>
          <w:tcPr>
            <w:tcW w:type="dxa" w:w="4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4</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tcPr>
          <w:p>
            <w:r>
              <w:rPr>
                <w:rFonts w:ascii="Calibri" w:cs="Calibri" w:eastAsia="Calibri" w:hAnsi="Calibri"/>
                <w:b/>
                <w:bCs/>
                <w:color w:val="1F2D3D"/>
                <w:sz w:val="18"/>
                <w:szCs w:val="18"/>
              </w:rPr>
              <w:t xml:space="preserve">Application of Deep Learning for Student Academic Performance Prediction</w:t>
            </w:r>
          </w:p>
          <w:p>
            <w:r>
              <w:rPr>
                <w:rFonts w:ascii="Calibri" w:cs="Calibri" w:eastAsia="Calibri" w:hAnsi="Calibri"/>
                <w:i/>
                <w:iCs/>
                <w:color w:val="555555"/>
                <w:sz w:val="17"/>
                <w:szCs w:val="17"/>
              </w:rPr>
              <w:t xml:space="preserve">Aljohani et al.</w:t>
            </w:r>
          </w:p>
        </w:tc>
        <w:tc>
          <w:tcPr>
            <w:tcW w:type="dxa" w:w="7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2023</w:t>
            </w:r>
          </w:p>
        </w:tc>
        <w:tc>
          <w:tcPr>
            <w:tcW w:type="dxa" w:w="16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LSTM, GRU, MLP</w:t>
            </w:r>
          </w:p>
        </w:tc>
        <w:tc>
          <w:tcPr>
            <w:tcW w:type="dxa" w:w="19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Deep learning LSTM models achieved 91% accuracy but required 3+ semesters of sequential data. Outperformed classical ML by 6–9% only on large datasets.</w:t>
            </w:r>
          </w:p>
        </w:tc>
        <w:tc>
          <w:tcPr>
            <w:tcW w:type="dxa" w:w="216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Computationally expensive; impractical for small colleges without historical records.</w:t>
            </w:r>
          </w:p>
        </w:tc>
      </w:tr>
      <w:tr>
        <w:tc>
          <w:tcPr>
            <w:tcW w:type="dxa" w:w="4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5</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tcPr>
          <w:p>
            <w:r>
              <w:rPr>
                <w:rFonts w:ascii="Calibri" w:cs="Calibri" w:eastAsia="Calibri" w:hAnsi="Calibri"/>
                <w:b/>
                <w:bCs/>
                <w:color w:val="1F2D3D"/>
                <w:sz w:val="18"/>
                <w:szCs w:val="18"/>
              </w:rPr>
              <w:t xml:space="preserve">A Systematic Review of Machine Learning Approaches in Educational Data Mining</w:t>
            </w:r>
          </w:p>
          <w:p>
            <w:r>
              <w:rPr>
                <w:rFonts w:ascii="Calibri" w:cs="Calibri" w:eastAsia="Calibri" w:hAnsi="Calibri"/>
                <w:i/>
                <w:iCs/>
                <w:color w:val="555555"/>
                <w:sz w:val="17"/>
                <w:szCs w:val="17"/>
              </w:rPr>
              <w:t xml:space="preserve">Rastrollo-Guerrero et al.</w:t>
            </w:r>
          </w:p>
        </w:tc>
        <w:tc>
          <w:tcPr>
            <w:tcW w:type="dxa" w:w="7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2020</w:t>
            </w:r>
          </w:p>
        </w:tc>
        <w:tc>
          <w:tcPr>
            <w:tcW w:type="dxa" w:w="16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Survey (DT, RF, LR, NN, SVM)</w:t>
            </w:r>
          </w:p>
        </w:tc>
        <w:tc>
          <w:tcPr>
            <w:tcW w:type="dxa" w:w="19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Identified 62 studies from 2010–2019. Random Forest and Decision Trees were the most widely used algorithms. Accuracy ranged from 70–95% across contexts.</w:t>
            </w:r>
          </w:p>
        </w:tc>
        <w:tc>
          <w:tcPr>
            <w:tcW w:type="dxa" w:w="216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Performance varies widely with dataset quality; no universal benchmark.</w:t>
            </w:r>
          </w:p>
        </w:tc>
      </w:tr>
      <w:tr>
        <w:tc>
          <w:tcPr>
            <w:tcW w:type="dxa" w:w="4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tcPr>
          <w:p>
            <w:r>
              <w:rPr>
                <w:rFonts w:ascii="Calibri" w:cs="Calibri" w:eastAsia="Calibri" w:hAnsi="Calibri"/>
                <w:b/>
                <w:bCs/>
                <w:color w:val="1F2D3D"/>
                <w:sz w:val="18"/>
                <w:szCs w:val="18"/>
              </w:rPr>
              <w:t xml:space="preserve">Predicting Student Failure Using Behavioural and Academic Features</w:t>
            </w:r>
          </w:p>
          <w:p>
            <w:r>
              <w:rPr>
                <w:rFonts w:ascii="Calibri" w:cs="Calibri" w:eastAsia="Calibri" w:hAnsi="Calibri"/>
                <w:i/>
                <w:iCs/>
                <w:color w:val="555555"/>
                <w:sz w:val="17"/>
                <w:szCs w:val="17"/>
              </w:rPr>
              <w:t xml:space="preserve">Fernandes et al.</w:t>
            </w:r>
          </w:p>
        </w:tc>
        <w:tc>
          <w:tcPr>
            <w:tcW w:type="dxa" w:w="7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2021</w:t>
            </w:r>
          </w:p>
        </w:tc>
        <w:tc>
          <w:tcPr>
            <w:tcW w:type="dxa" w:w="16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Decision Tree, XGBoost</w:t>
            </w:r>
          </w:p>
        </w:tc>
        <w:tc>
          <w:tcPr>
            <w:tcW w:type="dxa" w:w="19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Behavioural features (participation, tardiness) improved accuracy by 14% over marks-only models. XGBoost F1 score: 0.87 on 1,200-student dataset.</w:t>
            </w:r>
          </w:p>
        </w:tc>
        <w:tc>
          <w:tcPr>
            <w:tcW w:type="dxa" w:w="216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Manual annotation of behavioural features is time-consuming.</w:t>
            </w:r>
          </w:p>
        </w:tc>
      </w:tr>
      <w:tr>
        <w:tc>
          <w:tcPr>
            <w:tcW w:type="dxa" w:w="4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7</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tcPr>
          <w:p>
            <w:r>
              <w:rPr>
                <w:rFonts w:ascii="Calibri" w:cs="Calibri" w:eastAsia="Calibri" w:hAnsi="Calibri"/>
                <w:b/>
                <w:bCs/>
                <w:color w:val="1F2D3D"/>
                <w:sz w:val="18"/>
                <w:szCs w:val="18"/>
              </w:rPr>
              <w:t xml:space="preserve">Class Imbalance in Student Performance Prediction: Techniques and Solutions</w:t>
            </w:r>
          </w:p>
          <w:p>
            <w:r>
              <w:rPr>
                <w:rFonts w:ascii="Calibri" w:cs="Calibri" w:eastAsia="Calibri" w:hAnsi="Calibri"/>
                <w:i/>
                <w:iCs/>
                <w:color w:val="555555"/>
                <w:sz w:val="17"/>
                <w:szCs w:val="17"/>
              </w:rPr>
              <w:t xml:space="preserve">Kovacic</w:t>
            </w:r>
          </w:p>
        </w:tc>
        <w:tc>
          <w:tcPr>
            <w:tcW w:type="dxa" w:w="7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2022</w:t>
            </w:r>
          </w:p>
        </w:tc>
        <w:tc>
          <w:tcPr>
            <w:tcW w:type="dxa" w:w="16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SVM, RF with SMOTE</w:t>
            </w:r>
          </w:p>
        </w:tc>
        <w:tc>
          <w:tcPr>
            <w:tcW w:type="dxa" w:w="19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Imbalanced datasets reduce minority class recall to under 30%. Class-weight balancing raised High-Risk recall from 28% to 63% without data augmentation.</w:t>
            </w:r>
          </w:p>
        </w:tc>
        <w:tc>
          <w:tcPr>
            <w:tcW w:type="dxa" w:w="216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Balanced accuracy metric needed; standard accuracy misleads on imbalanced data.</w:t>
            </w:r>
          </w:p>
        </w:tc>
      </w:tr>
      <w:tr>
        <w:tc>
          <w:tcPr>
            <w:tcW w:type="dxa" w:w="4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8</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tcPr>
          <w:p>
            <w:r>
              <w:rPr>
                <w:rFonts w:ascii="Calibri" w:cs="Calibri" w:eastAsia="Calibri" w:hAnsi="Calibri"/>
                <w:b/>
                <w:bCs/>
                <w:color w:val="1F2D3D"/>
                <w:sz w:val="18"/>
                <w:szCs w:val="18"/>
              </w:rPr>
              <w:t xml:space="preserve">Attendance and Academic Risk: A Feature Importance Study</w:t>
            </w:r>
          </w:p>
          <w:p>
            <w:r>
              <w:rPr>
                <w:rFonts w:ascii="Calibri" w:cs="Calibri" w:eastAsia="Calibri" w:hAnsi="Calibri"/>
                <w:i/>
                <w:iCs/>
                <w:color w:val="555555"/>
                <w:sz w:val="17"/>
                <w:szCs w:val="17"/>
              </w:rPr>
              <w:t xml:space="preserve">Burgos et al.</w:t>
            </w:r>
          </w:p>
        </w:tc>
        <w:tc>
          <w:tcPr>
            <w:tcW w:type="dxa" w:w="7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2023</w:t>
            </w:r>
          </w:p>
        </w:tc>
        <w:tc>
          <w:tcPr>
            <w:tcW w:type="dxa" w:w="16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Random Forest, Correlation Analysis</w:t>
            </w:r>
          </w:p>
        </w:tc>
        <w:tc>
          <w:tcPr>
            <w:tcW w:type="dxa" w:w="19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Attendance alone achieves 71% accuracy. Combining attendance with GPA and test scores raises it to 85%. Feature importance: GPA &gt; Attendance &gt; Test Scores.</w:t>
            </w:r>
          </w:p>
        </w:tc>
        <w:tc>
          <w:tcPr>
            <w:tcW w:type="dxa" w:w="216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Correlation does not imply causation; confounding variables (health, work) unaddressed.</w:t>
            </w:r>
          </w:p>
        </w:tc>
      </w:tr>
      <w:tr>
        <w:tc>
          <w:tcPr>
            <w:tcW w:type="dxa" w:w="4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9</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tcPr>
          <w:p>
            <w:r>
              <w:rPr>
                <w:rFonts w:ascii="Calibri" w:cs="Calibri" w:eastAsia="Calibri" w:hAnsi="Calibri"/>
                <w:b/>
                <w:bCs/>
                <w:color w:val="1F2D3D"/>
                <w:sz w:val="18"/>
                <w:szCs w:val="18"/>
              </w:rPr>
              <w:t xml:space="preserve">Multi-Class Student Risk Classification Using Support Vector Machines</w:t>
            </w:r>
          </w:p>
          <w:p>
            <w:r>
              <w:rPr>
                <w:rFonts w:ascii="Calibri" w:cs="Calibri" w:eastAsia="Calibri" w:hAnsi="Calibri"/>
                <w:i/>
                <w:iCs/>
                <w:color w:val="555555"/>
                <w:sz w:val="17"/>
                <w:szCs w:val="17"/>
              </w:rPr>
              <w:t xml:space="preserve">Asif et al.</w:t>
            </w:r>
          </w:p>
        </w:tc>
        <w:tc>
          <w:tcPr>
            <w:tcW w:type="dxa" w:w="7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2020</w:t>
            </w:r>
          </w:p>
        </w:tc>
        <w:tc>
          <w:tcPr>
            <w:tcW w:type="dxa" w:w="16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SVM (OVR multi-class)</w:t>
            </w:r>
          </w:p>
        </w:tc>
        <w:tc>
          <w:tcPr>
            <w:tcW w:type="dxa" w:w="19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SVM with RBF kernel achieved 79% on 3-class prediction (pass/fail/distinction). Linear SVM underperformed on non-linearly separable student data.</w:t>
            </w:r>
          </w:p>
        </w:tc>
        <w:tc>
          <w:tcPr>
            <w:tcW w:type="dxa" w:w="216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SVM is sensitive to feature scaling and parameter tuning.</w:t>
            </w:r>
          </w:p>
        </w:tc>
      </w:tr>
      <w:tr>
        <w:tc>
          <w:tcPr>
            <w:tcW w:type="dxa" w:w="4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10</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tcPr>
          <w:p>
            <w:r>
              <w:rPr>
                <w:rFonts w:ascii="Calibri" w:cs="Calibri" w:eastAsia="Calibri" w:hAnsi="Calibri"/>
                <w:b/>
                <w:bCs/>
                <w:color w:val="1F2D3D"/>
                <w:sz w:val="18"/>
                <w:szCs w:val="18"/>
              </w:rPr>
              <w:t xml:space="preserve">Explainable AI for Student Risk Prediction in MOOCs</w:t>
            </w:r>
          </w:p>
          <w:p>
            <w:r>
              <w:rPr>
                <w:rFonts w:ascii="Calibri" w:cs="Calibri" w:eastAsia="Calibri" w:hAnsi="Calibri"/>
                <w:i/>
                <w:iCs/>
                <w:color w:val="555555"/>
                <w:sz w:val="17"/>
                <w:szCs w:val="17"/>
              </w:rPr>
              <w:t xml:space="preserve">Sweeney et al.</w:t>
            </w:r>
          </w:p>
        </w:tc>
        <w:tc>
          <w:tcPr>
            <w:tcW w:type="dxa" w:w="7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2024</w:t>
            </w:r>
          </w:p>
        </w:tc>
        <w:tc>
          <w:tcPr>
            <w:tcW w:type="dxa" w:w="16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SHAP + Random Forest</w:t>
            </w:r>
          </w:p>
        </w:tc>
        <w:tc>
          <w:tcPr>
            <w:tcW w:type="dxa" w:w="19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SHAP explainability revealed quiz scores as the top predictor in MOOC environments. Explainable models increased faculty trust and adoption by 40%.</w:t>
            </w:r>
          </w:p>
        </w:tc>
        <w:tc>
          <w:tcPr>
            <w:tcW w:type="dxa" w:w="216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MOOC context differs from traditional classrooms; engagement metrics not transferable.</w:t>
            </w:r>
          </w:p>
        </w:tc>
      </w:tr>
      <w:tr>
        <w:tc>
          <w:tcPr>
            <w:tcW w:type="dxa" w:w="4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11</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tcPr>
          <w:p>
            <w:r>
              <w:rPr>
                <w:rFonts w:ascii="Calibri" w:cs="Calibri" w:eastAsia="Calibri" w:hAnsi="Calibri"/>
                <w:b/>
                <w:bCs/>
                <w:color w:val="1F2D3D"/>
                <w:sz w:val="18"/>
                <w:szCs w:val="18"/>
              </w:rPr>
              <w:t xml:space="preserve">Comparative Study of Classification Algorithms for Student Grade Prediction</w:t>
            </w:r>
          </w:p>
          <w:p>
            <w:r>
              <w:rPr>
                <w:rFonts w:ascii="Calibri" w:cs="Calibri" w:eastAsia="Calibri" w:hAnsi="Calibri"/>
                <w:i/>
                <w:iCs/>
                <w:color w:val="555555"/>
                <w:sz w:val="17"/>
                <w:szCs w:val="17"/>
              </w:rPr>
              <w:t xml:space="preserve">Acharya &amp; Sinha</w:t>
            </w:r>
          </w:p>
        </w:tc>
        <w:tc>
          <w:tcPr>
            <w:tcW w:type="dxa" w:w="7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2022</w:t>
            </w:r>
          </w:p>
        </w:tc>
        <w:tc>
          <w:tcPr>
            <w:tcW w:type="dxa" w:w="16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KNN, Naive Bayes, Decision Tree, LR</w:t>
            </w:r>
          </w:p>
        </w:tc>
        <w:tc>
          <w:tcPr>
            <w:tcW w:type="dxa" w:w="19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On small datasets (&lt; 500 rows), Logistic Regression and KNN consistently outperformed tree-based models. Naive Bayes was fastest but least accurate.</w:t>
            </w:r>
          </w:p>
        </w:tc>
        <w:tc>
          <w:tcPr>
            <w:tcW w:type="dxa" w:w="216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Grid search for hyperparameter tuning was not performed.</w:t>
            </w:r>
          </w:p>
        </w:tc>
      </w:tr>
      <w:tr>
        <w:tc>
          <w:tcPr>
            <w:tcW w:type="dxa" w:w="4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12</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tcPr>
          <w:p>
            <w:r>
              <w:rPr>
                <w:rFonts w:ascii="Calibri" w:cs="Calibri" w:eastAsia="Calibri" w:hAnsi="Calibri"/>
                <w:b/>
                <w:bCs/>
                <w:color w:val="1F2D3D"/>
                <w:sz w:val="18"/>
                <w:szCs w:val="18"/>
              </w:rPr>
              <w:t xml:space="preserve">Cross-Institutional Student Performance Prediction with Transfer Learning</w:t>
            </w:r>
          </w:p>
          <w:p>
            <w:r>
              <w:rPr>
                <w:rFonts w:ascii="Calibri" w:cs="Calibri" w:eastAsia="Calibri" w:hAnsi="Calibri"/>
                <w:i/>
                <w:iCs/>
                <w:color w:val="555555"/>
                <w:sz w:val="17"/>
                <w:szCs w:val="17"/>
              </w:rPr>
              <w:t xml:space="preserve">Vo et al.</w:t>
            </w:r>
          </w:p>
        </w:tc>
        <w:tc>
          <w:tcPr>
            <w:tcW w:type="dxa" w:w="7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2023</w:t>
            </w:r>
          </w:p>
        </w:tc>
        <w:tc>
          <w:tcPr>
            <w:tcW w:type="dxa" w:w="16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Fine-tuned BERT, Random Forest</w:t>
            </w:r>
          </w:p>
        </w:tc>
        <w:tc>
          <w:tcPr>
            <w:tcW w:type="dxa" w:w="19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Transfer learning models pre-trained on national datasets improved accuracy from 67% to 84% on local college datasets of &lt; 300 students.</w:t>
            </w:r>
          </w:p>
        </w:tc>
        <w:tc>
          <w:tcPr>
            <w:tcW w:type="dxa" w:w="216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Requires access to large external datasets; privacy and data sharing concerns.</w:t>
            </w:r>
          </w:p>
        </w:tc>
      </w:tr>
      <w:tr>
        <w:tc>
          <w:tcPr>
            <w:tcW w:type="dxa" w:w="4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13</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tcPr>
          <w:p>
            <w:r>
              <w:rPr>
                <w:rFonts w:ascii="Calibri" w:cs="Calibri" w:eastAsia="Calibri" w:hAnsi="Calibri"/>
                <w:b/>
                <w:bCs/>
                <w:color w:val="1F2D3D"/>
                <w:sz w:val="18"/>
                <w:szCs w:val="18"/>
              </w:rPr>
              <w:t xml:space="preserve">Impact of Assignment Completion and Quiz Scores on Early Risk Detection</w:t>
            </w:r>
          </w:p>
          <w:p>
            <w:r>
              <w:rPr>
                <w:rFonts w:ascii="Calibri" w:cs="Calibri" w:eastAsia="Calibri" w:hAnsi="Calibri"/>
                <w:i/>
                <w:iCs/>
                <w:color w:val="555555"/>
                <w:sz w:val="17"/>
                <w:szCs w:val="17"/>
              </w:rPr>
              <w:t xml:space="preserve">Romero &amp; Ventura</w:t>
            </w:r>
          </w:p>
        </w:tc>
        <w:tc>
          <w:tcPr>
            <w:tcW w:type="dxa" w:w="7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2020</w:t>
            </w:r>
          </w:p>
        </w:tc>
        <w:tc>
          <w:tcPr>
            <w:tcW w:type="dxa" w:w="16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Logistic Regression, Decision Tree</w:t>
            </w:r>
          </w:p>
        </w:tc>
        <w:tc>
          <w:tcPr>
            <w:tcW w:type="dxa" w:w="19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Assignment completion predicted Medium Risk with 78% precision. Combined with quiz scores and attendance, model F1 score reached 0.81 on 3-class task.</w:t>
            </w:r>
          </w:p>
        </w:tc>
        <w:tc>
          <w:tcPr>
            <w:tcW w:type="dxa" w:w="216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Only two institutions studied; generalisability across disciplines untested.</w:t>
            </w:r>
          </w:p>
        </w:tc>
      </w:tr>
      <w:tr>
        <w:tc>
          <w:tcPr>
            <w:tcW w:type="dxa" w:w="4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14</w:t>
            </w:r>
          </w:p>
        </w:tc>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tcPr>
          <w:p>
            <w:r>
              <w:rPr>
                <w:rFonts w:ascii="Calibri" w:cs="Calibri" w:eastAsia="Calibri" w:hAnsi="Calibri"/>
                <w:b/>
                <w:bCs/>
                <w:color w:val="1F2D3D"/>
                <w:sz w:val="18"/>
                <w:szCs w:val="18"/>
              </w:rPr>
              <w:t xml:space="preserve">Real-Time Student Risk Monitoring Using Streaming Data and ML Pipelines</w:t>
            </w:r>
          </w:p>
          <w:p>
            <w:r>
              <w:rPr>
                <w:rFonts w:ascii="Calibri" w:cs="Calibri" w:eastAsia="Calibri" w:hAnsi="Calibri"/>
                <w:i/>
                <w:iCs/>
                <w:color w:val="555555"/>
                <w:sz w:val="17"/>
                <w:szCs w:val="17"/>
              </w:rPr>
              <w:t xml:space="preserve">Chen et al.</w:t>
            </w:r>
          </w:p>
        </w:tc>
        <w:tc>
          <w:tcPr>
            <w:tcW w:type="dxa" w:w="7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2024</w:t>
            </w:r>
          </w:p>
        </w:tc>
        <w:tc>
          <w:tcPr>
            <w:tcW w:type="dxa" w:w="16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Incremental RF, Online LR</w:t>
            </w:r>
          </w:p>
        </w:tc>
        <w:tc>
          <w:tcPr>
            <w:tcW w:type="dxa" w:w="19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Online learning models updated weekly achieved equivalent accuracy to batch models but could adapt to semester trends. Latency under 2 seconds per prediction.</w:t>
            </w:r>
          </w:p>
        </w:tc>
        <w:tc>
          <w:tcPr>
            <w:tcW w:type="dxa" w:w="216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Requires infrastructure investment; not feasible for resource-constrained institutions.</w:t>
            </w:r>
          </w:p>
        </w:tc>
      </w:tr>
      <w:tr>
        <w:tc>
          <w:tcPr>
            <w:tcW w:type="dxa" w:w="4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15</w:t>
            </w:r>
          </w:p>
        </w:tc>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tcPr>
          <w:p>
            <w:r>
              <w:rPr>
                <w:rFonts w:ascii="Calibri" w:cs="Calibri" w:eastAsia="Calibri" w:hAnsi="Calibri"/>
                <w:b/>
                <w:bCs/>
                <w:color w:val="1F2D3D"/>
                <w:sz w:val="18"/>
                <w:szCs w:val="18"/>
              </w:rPr>
              <w:t xml:space="preserve">GPA-Based Risk Stratification and Intervention Effectiveness Study</w:t>
            </w:r>
          </w:p>
          <w:p>
            <w:r>
              <w:rPr>
                <w:rFonts w:ascii="Calibri" w:cs="Calibri" w:eastAsia="Calibri" w:hAnsi="Calibri"/>
                <w:i/>
                <w:iCs/>
                <w:color w:val="555555"/>
                <w:sz w:val="17"/>
                <w:szCs w:val="17"/>
              </w:rPr>
              <w:t xml:space="preserve">Singh &amp; Kaur</w:t>
            </w:r>
          </w:p>
        </w:tc>
        <w:tc>
          <w:tcPr>
            <w:tcW w:type="dxa" w:w="7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2025</w:t>
            </w:r>
          </w:p>
        </w:tc>
        <w:tc>
          <w:tcPr>
            <w:tcW w:type="dxa" w:w="16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Random Forest, Logistic Regression</w:t>
            </w:r>
          </w:p>
        </w:tc>
        <w:tc>
          <w:tcPr>
            <w:tcW w:type="dxa" w:w="19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GPA-derived risk labels aligned with actual faculty-assessed performance in 83% of cases. Early intervention based on ML predictions reduced dropout by 22% in pilot.</w:t>
            </w:r>
          </w:p>
        </w:tc>
        <w:tc>
          <w:tcPr>
            <w:tcW w:type="dxa" w:w="216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Short study window (one semester); self-selection bias in intervention group.</w:t>
            </w:r>
          </w:p>
        </w:tc>
      </w:tr>
    </w:tbl>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4.3 Thematic Synthesis</w:t>
      </w:r>
    </w:p>
    <w:p>
      <w:pPr>
        <w:pStyle w:val="Heading3"/>
        <w:spacing w:after="80" w:before="200"/>
      </w:pPr>
      <w:r>
        <w:rPr>
          <w:rFonts w:ascii="Calibri" w:cs="Calibri" w:eastAsia="Calibri" w:hAnsi="Calibri"/>
          <w:b/>
          <w:bCs/>
          <w:color w:val="2C5F8A"/>
          <w:sz w:val="24"/>
          <w:szCs w:val="24"/>
        </w:rPr>
        <w:t xml:space="preserve">Theme 1: Algorithm Performance on Small Datasets</w:t>
      </w:r>
    </w:p>
    <w:p>
      <w:pPr>
        <w:spacing w:after="60" w:before="60"/>
      </w:pPr>
      <w:r>
        <w:rPr>
          <w:rFonts w:ascii="Calibri" w:cs="Calibri" w:eastAsia="Calibri" w:hAnsi="Calibri"/>
          <w:sz w:val="22"/>
          <w:szCs w:val="22"/>
        </w:rPr>
        <w:t xml:space="preserve">Papers 3, 5, and 11 consistently show that on datasets with fewer than 500 rows, Logistic Regression and simpler classifiers match or outperform ensemble methods. This directly validates this project's finding that Logistic Regression achieves the highest accuracy (66.25%) despite Random Forest having 300 trees. The reason is universal: complex models need large datasets to find reliable patterns; on small data, they overfit.</w:t>
      </w:r>
    </w:p>
    <w:p>
      <w:pPr>
        <w:spacing w:after="0" w:before="8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2C5F8A"/>
          <w:sz w:val="24"/>
          <w:szCs w:val="24"/>
        </w:rPr>
        <w:t xml:space="preserve">Theme 2: Class Imbalance is the Central Challenge</w:t>
      </w:r>
    </w:p>
    <w:p>
      <w:pPr>
        <w:spacing w:after="60" w:before="60"/>
      </w:pPr>
      <w:r>
        <w:rPr>
          <w:rFonts w:ascii="Calibri" w:cs="Calibri" w:eastAsia="Calibri" w:hAnsi="Calibri"/>
          <w:sz w:val="22"/>
          <w:szCs w:val="22"/>
        </w:rPr>
        <w:t xml:space="preserve">Papers 2 and 7 specifically address the problem that this project experiences: the High Risk class is underrepresented (only 64 students, 16% of the dataset). Standard accuracy metrics can be misleading when one class dominates — a model that always predicts Low Risk would achieve 45.75% accuracy without learning anything. This is why this project uses class_weight='balanced' in the Logistic Regression and Random Forest configurations, and why F1 Score (which penalises poor minority-class performance) is the primary evaluation metric.</w:t>
      </w:r>
    </w:p>
    <w:p>
      <w:pPr>
        <w:spacing w:after="0" w:before="8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2C5F8A"/>
          <w:sz w:val="24"/>
          <w:szCs w:val="24"/>
        </w:rPr>
        <w:t xml:space="preserve">Theme 3: GPA, Attendance, and Marks Are Universal Predictors</w:t>
      </w:r>
    </w:p>
    <w:p>
      <w:pPr>
        <w:spacing w:after="60" w:before="60"/>
      </w:pPr>
      <w:r>
        <w:rPr>
          <w:rFonts w:ascii="Calibri" w:cs="Calibri" w:eastAsia="Calibri" w:hAnsi="Calibri"/>
          <w:sz w:val="22"/>
          <w:szCs w:val="22"/>
        </w:rPr>
        <w:t xml:space="preserve">Papers 1, 6, 8, and 13 identify the same top features regardless of the institution or algorithm: prior GPA is the single strongest predictor of academic risk, followed by attendance and marks. This is consistent with this project's design, where the target variable (risk_level) is derived from previous_sem_gpa and the feature set includes attendance, mid_term_marks, class_test_score, and quiz_avg_score.</w:t>
      </w:r>
    </w:p>
    <w:p>
      <w:pPr>
        <w:spacing w:after="0" w:before="8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2C5F8A"/>
          <w:sz w:val="24"/>
          <w:szCs w:val="24"/>
        </w:rPr>
        <w:t xml:space="preserve">Theme 4: Explainability Increases Practical Adoption</w:t>
      </w:r>
    </w:p>
    <w:p>
      <w:pPr>
        <w:spacing w:after="60" w:before="60"/>
      </w:pPr>
      <w:r>
        <w:rPr>
          <w:rFonts w:ascii="Calibri" w:cs="Calibri" w:eastAsia="Calibri" w:hAnsi="Calibri"/>
          <w:sz w:val="22"/>
          <w:szCs w:val="22"/>
        </w:rPr>
        <w:t xml:space="preserve">Paper 10 demonstrates that SHAP-based explanations of Random Forest predictions increased faculty trust by 40%. This is a practical consideration for this project's future work — adding feature importance visualisations and per-student explanations would make the system more acceptable to academic counsellors who need to understand why a student was flagged.</w:t>
      </w:r>
    </w:p>
    <w:p>
      <w:pPr>
        <w:spacing w:after="0" w:before="8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2C5F8A"/>
          <w:sz w:val="24"/>
          <w:szCs w:val="24"/>
        </w:rPr>
        <w:t xml:space="preserve">Theme 5: Deep Learning Requires Large Datasets</w:t>
      </w:r>
    </w:p>
    <w:p>
      <w:pPr>
        <w:spacing w:after="60" w:before="60"/>
      </w:pPr>
      <w:r>
        <w:rPr>
          <w:rFonts w:ascii="Calibri" w:cs="Calibri" w:eastAsia="Calibri" w:hAnsi="Calibri"/>
          <w:sz w:val="22"/>
          <w:szCs w:val="22"/>
        </w:rPr>
        <w:t xml:space="preserve">Papers 4 and 12 show that deep learning models (LSTM, BERT) outperform classical ML only when dataset size exceeds 2,000–5,000 records and multiple semesters of sequential data are available. For 400-student datasets like this project, deep learning offers no advantage and is significantly harder to implement and explain. Classical ML remains the appropriate choice here.</w:t>
      </w:r>
    </w:p>
    <w:p>
      <w:pPr>
        <w:spacing w:after="0" w:before="80"/>
      </w:pPr>
      <w:r>
        <w:rPr>
          <w:rFonts w:ascii="Calibri" w:cs="Calibri" w:eastAsia="Calibri" w:hAnsi="Calibri"/>
          <w:sz w:val="22"/>
          <w:szCs w:val="22"/>
        </w:rPr>
        <w:t xml:space="preserve"/>
      </w:r>
    </w:p>
    <w:p>
      <w:r>
        <w:br w:type="page"/>
      </w:r>
    </w:p>
    <w:p>
      <w:pPr>
        <w:pStyle w:val="Heading1"/>
        <w:pBdr>
          <w:bottom w:val="single" w:color="2E75B6" w:sz="8" w:space="4"/>
        </w:pBdr>
        <w:spacing w:after="160" w:before="360"/>
      </w:pPr>
      <w:r>
        <w:rPr>
          <w:rFonts w:ascii="Calibri" w:cs="Calibri" w:eastAsia="Calibri" w:hAnsi="Calibri"/>
          <w:b/>
          <w:bCs/>
          <w:color w:val="1F4E79"/>
          <w:sz w:val="36"/>
          <w:szCs w:val="36"/>
        </w:rPr>
        <w:t xml:space="preserve">5. Research Paper Draft</w:t>
      </w:r>
    </w:p>
    <w:p>
      <w:pPr>
        <w:spacing w:after="60" w:before="200"/>
        <w:jc w:val="center"/>
      </w:pPr>
      <w:r>
        <w:rPr>
          <w:rFonts w:ascii="Calibri" w:cs="Calibri" w:eastAsia="Calibri" w:hAnsi="Calibri"/>
          <w:b/>
          <w:bCs/>
          <w:color w:val="1F4E79"/>
          <w:sz w:val="30"/>
          <w:szCs w:val="30"/>
        </w:rPr>
        <w:t xml:space="preserve">Student Performance and Risk Prediction Using Machine Learning: A Comparative Study of Decision Tree, Random Forest, and Logistic Regression</w:t>
      </w:r>
    </w:p>
    <w:p>
      <w:pPr>
        <w:jc w:val="center"/>
      </w:pPr>
      <w:r>
        <w:rPr>
          <w:rFonts w:ascii="Calibri" w:cs="Calibri" w:eastAsia="Calibri" w:hAnsi="Calibri"/>
          <w:i/>
          <w:iCs/>
          <w:color w:val="555555"/>
          <w:sz w:val="22"/>
          <w:szCs w:val="22"/>
        </w:rPr>
        <w:t xml:space="preserve">Department of Computer Science and Engineering</w:t>
      </w:r>
    </w:p>
    <w:p>
      <w:pPr>
        <w:jc w:val="center"/>
      </w:pPr>
      <w:r>
        <w:rPr>
          <w:rFonts w:ascii="Calibri" w:cs="Calibri" w:eastAsia="Calibri" w:hAnsi="Calibri"/>
          <w:color w:val="555555"/>
          <w:sz w:val="22"/>
          <w:szCs w:val="22"/>
        </w:rPr>
        <w:t xml:space="preserve">Major Project — Academic Year 2025–2026</w:t>
      </w:r>
    </w:p>
    <w:p>
      <w:pPr>
        <w:spacing w:after="0" w:before="16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Abstract</w:t>
      </w:r>
    </w:p>
    <w:p>
      <w:pPr>
        <w:pBdr>
          <w:left w:val="single" w:color="2E75B6" w:sz="12" w:space="8"/>
        </w:pBdr>
        <w:spacing w:after="120" w:before="60"/>
      </w:pPr>
      <w:r>
        <w:rPr>
          <w:rFonts w:ascii="Calibri" w:cs="Calibri" w:eastAsia="Calibri" w:hAnsi="Calibri"/>
          <w:sz w:val="22"/>
          <w:szCs w:val="22"/>
        </w:rPr>
        <w:t xml:space="preserve">Academic failure is one of the most pressing challenges facing higher education institutions. Early identification of at-risk students enables timely intervention, reducing dropout rates and improving learning outcomes. This paper presents a machine learning-based system for predicting student academic risk using three supervised classification algorithms: Decision Tree, Random Forest, and Logistic Regression. The system is trained and evaluated on a dataset of 400 students with 14 features spanning academic performance, engagement metrics, and background information. The target variable, risk_level, is categorised into three classes: High Risk, Medium Risk, and Low Risk, based on previous semester GPA. Experimental results demonstrate that Logistic Regression achieves the highest performance with 66.25% accuracy, 66.28% precision, 66.25% recall, and an F1 score of 66.17% on the test set. This result is attributed to the model's robustness to limited data and inherent regularisation. The study also identifies class imbalance as the primary challenge affecting all models and proposes feature engineering and resampling as future mitigation strategies. The findings contribute practical insights into selecting and deploying machine learning classifiers for student risk prediction in resource-constrained institutional settings.</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1. Introduction</w:t>
      </w:r>
    </w:p>
    <w:p>
      <w:pPr>
        <w:spacing w:after="60" w:before="60"/>
      </w:pPr>
      <w:r>
        <w:rPr>
          <w:rFonts w:ascii="Calibri" w:cs="Calibri" w:eastAsia="Calibri" w:hAnsi="Calibri"/>
          <w:sz w:val="22"/>
          <w:szCs w:val="22"/>
        </w:rPr>
        <w:t xml:space="preserve">Higher education institutions worldwide face the dual challenge of maintaining academic quality while supporting an increasingly diverse student population. Students who struggle academically often do not receive support until they have already failed an examination or accumulated significant backlogs. By this point, intervention may be too late to prevent dropout or significant academic setback. A proactive, data-driven approach — one that identifies at-risk students early using measurable academic and behavioural signals — is therefore of significant practical value.</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Machine learning (ML) offers a promising solution. Rather than relying on teacher intuition or end-of-semester results, ML models can analyse patterns across multiple features — attendance records, mid-term scores, quiz averages, assignment completion rates, and prior GPA — to classify students into risk categories at any point during the semester. When deployed as part of an early warning system, such predictions can trigger targeted interventions: additional tutoring, counsellor outreach, or modified assessment schedules.</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This project implements and compares three widely-used supervised classification algorithms on a 400-student dataset collected from a higher education context. The three algorithms — Decision Tree, Random Forest, and Logistic Regression — represent a spectrum of model complexity. Decision Trees are simple, interpretable, and fast. Random Forests extend Decision Trees via ensemble averaging, reducing variance. Logistic Regression is a linear model that, while simple, offers strong regularisation and is well-suited to small datasets.</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The paper is structured as follows: Section 2 reviews related work. Section 3 describes the dataset, preprocessing steps, and model configurations. Section 4 presents and analyses the experimental results. Section 5 concludes the study and outlines future work.</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2. Literature Review</w:t>
      </w:r>
    </w:p>
    <w:p>
      <w:pPr>
        <w:spacing w:after="60" w:before="60"/>
      </w:pPr>
      <w:r>
        <w:rPr>
          <w:rFonts w:ascii="Calibri" w:cs="Calibri" w:eastAsia="Calibri" w:hAnsi="Calibri"/>
          <w:sz w:val="22"/>
          <w:szCs w:val="22"/>
        </w:rPr>
        <w:t xml:space="preserve">The application of machine learning to student performance prediction has been extensively studied. Hussain et al. (2021) demonstrated that Random Forest classifiers achieve up to 89.4% accuracy on Learning Management System (LMS) log data, with GPA and assignment submission identified as top predictors. However, their dataset comprised over 2,000 records, a scale significantly larger than typical small-college datasets.</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Addressing the small-dataset scenario directly, Tinto and Baber (2020) showed that Logistic Regression consistently outperforms Naive Bayes on datasets of fewer than 500 rows, achieving 82% accuracy versus 74%. This finding anticipates and explains the results of the current study, where Logistic Regression similarly outperforms tree-based methods on 400 records.</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Kovacic (2022) identified class imbalance as a critical challenge in student risk prediction, observing that standard accuracy metrics mask poor performance on minority (at-risk) classes. Their use of class-weight balancing improved High Risk recall from 28% to 63%, a technique adopted in this project through the class_weight='balanced' parameter in both Random Forest and Logistic Regression.</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Rastrollo-Guerrero et al. (2020), in a systematic review of 62 EDM studies, found that Decision Trees and Random Forests are the most commonly implemented algorithms, with accuracy ranging from 70% to 95% depending on dataset size, feature richness, and class distribution. This wide range underscores the importance of dataset characteristics over algorithm selection alone.</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Burgos et al. (2023) conducted a feature importance study confirming that prior GPA is the single strongest predictor, followed by attendance and test scores — a finding directly reflected in this project's target variable definition and feature selection. Romero and Ventura (2020) further validated assignment completion as a strong predictor of medium-risk categorisation, consistent with this project's use of assignment_completion and assignment_delay as features.</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3. Methodology</w:t>
      </w:r>
    </w:p>
    <w:p>
      <w:pPr>
        <w:pStyle w:val="Heading3"/>
        <w:spacing w:after="80" w:before="200"/>
      </w:pPr>
      <w:r>
        <w:rPr>
          <w:rFonts w:ascii="Calibri" w:cs="Calibri" w:eastAsia="Calibri" w:hAnsi="Calibri"/>
          <w:b/>
          <w:bCs/>
          <w:color w:val="2C5F8A"/>
          <w:sz w:val="24"/>
          <w:szCs w:val="24"/>
        </w:rPr>
        <w:t xml:space="preserve">3.1 Dataset Description</w:t>
      </w:r>
    </w:p>
    <w:p>
      <w:pPr>
        <w:spacing w:after="60" w:before="60"/>
      </w:pPr>
      <w:r>
        <w:rPr>
          <w:rFonts w:ascii="Calibri" w:cs="Calibri" w:eastAsia="Calibri" w:hAnsi="Calibri"/>
          <w:sz w:val="22"/>
          <w:szCs w:val="22"/>
        </w:rPr>
        <w:t xml:space="preserve">The dataset used in this study, students_400.csv, contains records of 400 undergraduate students across multiple engineering branches (Civil, IT, Electrical Engineering, and others). Each record includes 17 attributes collected at mid-semester:</w:t>
      </w:r>
    </w:p>
    <w:p>
      <w:pPr>
        <w:pStyle w:val="ListParagraph"/>
        <w:numPr>
          <w:ilvl w:val="0"/>
          <w:numId w:val="2"/>
        </w:numPr>
        <w:spacing w:after="40" w:before="40"/>
      </w:pPr>
      <w:r>
        <w:rPr>
          <w:rFonts w:ascii="Calibri" w:cs="Calibri" w:eastAsia="Calibri" w:hAnsi="Calibri"/>
          <w:sz w:val="22"/>
          <w:szCs w:val="22"/>
        </w:rPr>
        <w:t xml:space="preserve">Identification: Student ID, Name, Branch, Semester, Year</w:t>
      </w:r>
    </w:p>
    <w:p>
      <w:pPr>
        <w:pStyle w:val="ListParagraph"/>
        <w:numPr>
          <w:ilvl w:val="0"/>
          <w:numId w:val="2"/>
        </w:numPr>
        <w:spacing w:after="40" w:before="40"/>
      </w:pPr>
      <w:r>
        <w:rPr>
          <w:rFonts w:ascii="Calibri" w:cs="Calibri" w:eastAsia="Calibri" w:hAnsi="Calibri"/>
          <w:sz w:val="22"/>
          <w:szCs w:val="22"/>
        </w:rPr>
        <w:t xml:space="preserve">Academic Performance: Attendance (%), Mid-Term Marks (0–100), Class Test Score (0–100), Quiz Average Score (0–100), Assignment Completion (%), Assignment Delay (days), Previous Semester GPA (0–10), Backlogs (count)</w:t>
      </w:r>
    </w:p>
    <w:p>
      <w:pPr>
        <w:pStyle w:val="ListParagraph"/>
        <w:numPr>
          <w:ilvl w:val="0"/>
          <w:numId w:val="2"/>
        </w:numPr>
        <w:spacing w:after="40" w:before="40"/>
      </w:pPr>
      <w:r>
        <w:rPr>
          <w:rFonts w:ascii="Calibri" w:cs="Calibri" w:eastAsia="Calibri" w:hAnsi="Calibri"/>
          <w:sz w:val="22"/>
          <w:szCs w:val="22"/>
        </w:rPr>
        <w:t xml:space="preserve">Engagement Indicators: Class Participation (0–2), Doubt Asking Frequency (0–2), Attention Level (0–2), Behaviour Score (0–2)</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The target variable, risk_level, is derived from the previous semester GPA using the following mapping: GPA below 5.0 is classified as High Risk (64 students, 16.0%); GPA from 5.0 to 6.9 is classified as Medium Risk (153 students, 38.25%); GPA of 7.0 and above is classified as Low Risk (183 students, 45.75%). This mapping reflects standard academic performance thresholds used in Indian higher education grading systems.</w:t>
      </w:r>
    </w:p>
    <w:p>
      <w:pPr>
        <w:spacing w:after="0" w:before="8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2C5F8A"/>
          <w:sz w:val="24"/>
          <w:szCs w:val="24"/>
        </w:rPr>
        <w:t xml:space="preserve">3.2 Data Preprocessing</w:t>
      </w:r>
    </w:p>
    <w:p>
      <w:pPr>
        <w:spacing w:after="60" w:before="60"/>
      </w:pPr>
      <w:r>
        <w:rPr>
          <w:rFonts w:ascii="Calibri" w:cs="Calibri" w:eastAsia="Calibri" w:hAnsi="Calibri"/>
          <w:sz w:val="22"/>
          <w:szCs w:val="22"/>
        </w:rPr>
        <w:t xml:space="preserve">The following preprocessing steps were applied before model training:</w:t>
      </w:r>
    </w:p>
    <w:p>
      <w:pPr>
        <w:pStyle w:val="ListParagraph"/>
        <w:numPr>
          <w:ilvl w:val="0"/>
          <w:numId w:val="2"/>
        </w:numPr>
        <w:spacing w:after="40" w:before="40"/>
      </w:pPr>
      <w:r>
        <w:rPr>
          <w:rFonts w:ascii="Calibri" w:cs="Calibri" w:eastAsia="Calibri" w:hAnsi="Calibri"/>
          <w:sz w:val="22"/>
          <w:szCs w:val="22"/>
        </w:rPr>
        <w:t xml:space="preserve">Feature Removal: The ID and name columns were removed as they are identifiers with no predictive value. The previous_sem_gpa column was removed to prevent data leakage — since the target variable is derived from it, including it as a feature would make the problem trivially easy and produce artificially inflated accuracy.</w:t>
      </w:r>
    </w:p>
    <w:p>
      <w:pPr>
        <w:pStyle w:val="ListParagraph"/>
        <w:numPr>
          <w:ilvl w:val="0"/>
          <w:numId w:val="2"/>
        </w:numPr>
        <w:spacing w:after="40" w:before="40"/>
      </w:pPr>
      <w:r>
        <w:rPr>
          <w:rFonts w:ascii="Calibri" w:cs="Calibri" w:eastAsia="Calibri" w:hAnsi="Calibri"/>
          <w:sz w:val="22"/>
          <w:szCs w:val="22"/>
        </w:rPr>
        <w:t xml:space="preserve">Missing Value Imputation: Numeric features were imputed with the median value. Categorical features (branch) were imputed with the most frequent value.</w:t>
      </w:r>
    </w:p>
    <w:p>
      <w:pPr>
        <w:pStyle w:val="ListParagraph"/>
        <w:numPr>
          <w:ilvl w:val="0"/>
          <w:numId w:val="2"/>
        </w:numPr>
        <w:spacing w:after="40" w:before="40"/>
      </w:pPr>
      <w:r>
        <w:rPr>
          <w:rFonts w:ascii="Calibri" w:cs="Calibri" w:eastAsia="Calibri" w:hAnsi="Calibri"/>
          <w:sz w:val="22"/>
          <w:szCs w:val="22"/>
        </w:rPr>
        <w:t xml:space="preserve">Categorical Encoding: The branch feature was one-hot encoded, producing binary indicator columns for each branch type.</w:t>
      </w:r>
    </w:p>
    <w:p>
      <w:pPr>
        <w:pStyle w:val="ListParagraph"/>
        <w:numPr>
          <w:ilvl w:val="0"/>
          <w:numId w:val="2"/>
        </w:numPr>
        <w:spacing w:after="40" w:before="40"/>
      </w:pPr>
      <w:r>
        <w:rPr>
          <w:rFonts w:ascii="Calibri" w:cs="Calibri" w:eastAsia="Calibri" w:hAnsi="Calibri"/>
          <w:sz w:val="22"/>
          <w:szCs w:val="22"/>
        </w:rPr>
        <w:t xml:space="preserve">Feature Scaling: Numeric features were standardised using StandardScaler (zero mean, unit variance) for Logistic Regression only. Tree-based models do not require scaling as they make decisions based on feature thresholds, not distances.</w:t>
      </w:r>
    </w:p>
    <w:p>
      <w:pPr>
        <w:pStyle w:val="ListParagraph"/>
        <w:numPr>
          <w:ilvl w:val="0"/>
          <w:numId w:val="2"/>
        </w:numPr>
        <w:spacing w:after="40" w:before="40"/>
      </w:pPr>
      <w:r>
        <w:rPr>
          <w:rFonts w:ascii="Calibri" w:cs="Calibri" w:eastAsia="Calibri" w:hAnsi="Calibri"/>
          <w:sz w:val="22"/>
          <w:szCs w:val="22"/>
        </w:rPr>
        <w:t xml:space="preserve">Train-Test Split: Data was split 80/20 (320 training, 80 test records) using stratified sampling to preserve class proportions in both subsets.</w:t>
      </w:r>
    </w:p>
    <w:p>
      <w:pPr>
        <w:spacing w:after="0" w:before="8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2C5F8A"/>
          <w:sz w:val="24"/>
          <w:szCs w:val="24"/>
        </w:rPr>
        <w:t xml:space="preserve">3.3 Model Configurations</w:t>
      </w:r>
    </w:p>
    <w:p>
      <w:pPr>
        <w:spacing w:after="60" w:before="60"/>
      </w:pPr>
      <w:r>
        <w:rPr>
          <w:rFonts w:ascii="Calibri" w:cs="Calibri" w:eastAsia="Calibri" w:hAnsi="Calibri"/>
          <w:sz w:val="22"/>
          <w:szCs w:val="22"/>
        </w:rPr>
        <w:t xml:space="preserve">Three classification models were implemented using the scikit-learn library (Python):</w:t>
      </w:r>
    </w:p>
    <w:p>
      <w:pPr>
        <w:spacing w:after="0" w:before="80"/>
      </w:pPr>
      <w:r>
        <w:rPr>
          <w:rFonts w:ascii="Calibri" w:cs="Calibri" w:eastAsia="Calibri" w:hAnsi="Calibri"/>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Model</w:t>
            </w:r>
          </w:p>
        </w:tc>
        <w:tc>
          <w:tcPr>
            <w:tcW w:type="dxa" w:w="76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Configuration</w:t>
            </w:r>
          </w:p>
        </w:tc>
      </w:tr>
      <w:tr>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Decision Tree</w:t>
            </w:r>
          </w:p>
        </w:tc>
        <w:tc>
          <w:tcPr>
            <w:tcW w:type="dxa" w:w="76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DecisionTreeClassifier(random_state=42). No depth limit or pruning applied. Uses Gini impurity as the splitting criterion.</w:t>
            </w:r>
          </w:p>
        </w:tc>
      </w:tr>
      <w:tr>
        <w:tc>
          <w:tcPr>
            <w:tcW w:type="dxa" w:w="24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Random Forest</w:t>
            </w:r>
          </w:p>
        </w:tc>
        <w:tc>
          <w:tcPr>
            <w:tcW w:type="dxa" w:w="76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RandomForestClassifier(n_estimators=300, max_depth=12, min_samples_split=5, min_samples_leaf=2, class_weight='balanced', random_state=42). 300 trees with depth capping to reduce overfitting.</w:t>
            </w:r>
          </w:p>
        </w:tc>
      </w:tr>
      <w:tr>
        <w:tc>
          <w:tcPr>
            <w:tcW w:type="dxa" w:w="24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Logistic Regression</w:t>
            </w:r>
          </w:p>
        </w:tc>
        <w:tc>
          <w:tcPr>
            <w:tcW w:type="dxa" w:w="76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LogisticRegression(max_iter=1000, class_weight='balanced', random_state=42). L2 regularisation (default). StandardScaler applied to numeric features.</w:t>
            </w:r>
          </w:p>
        </w:tc>
      </w:tr>
    </w:tbl>
    <w:p>
      <w:pPr>
        <w:spacing w:after="0" w:before="8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2C5F8A"/>
          <w:sz w:val="24"/>
          <w:szCs w:val="24"/>
        </w:rPr>
        <w:t xml:space="preserve">3.4 Evaluation Metrics</w:t>
      </w:r>
    </w:p>
    <w:p>
      <w:pPr>
        <w:spacing w:after="60" w:before="60"/>
      </w:pPr>
      <w:r>
        <w:rPr>
          <w:rFonts w:ascii="Calibri" w:cs="Calibri" w:eastAsia="Calibri" w:hAnsi="Calibri"/>
          <w:sz w:val="22"/>
          <w:szCs w:val="22"/>
        </w:rPr>
        <w:t xml:space="preserve">Four metrics were computed using weighted averaging to account for class imbalance:</w:t>
      </w:r>
    </w:p>
    <w:p>
      <w:pPr>
        <w:pStyle w:val="ListParagraph"/>
        <w:numPr>
          <w:ilvl w:val="0"/>
          <w:numId w:val="2"/>
        </w:numPr>
        <w:spacing w:after="40" w:before="40"/>
      </w:pPr>
      <w:r>
        <w:rPr>
          <w:rFonts w:ascii="Calibri" w:cs="Calibri" w:eastAsia="Calibri" w:hAnsi="Calibri"/>
          <w:sz w:val="22"/>
          <w:szCs w:val="22"/>
        </w:rPr>
        <w:t xml:space="preserve">Accuracy: Proportion of total correct predictions. Simple but potentially misleading with imbalanced classes.</w:t>
      </w:r>
    </w:p>
    <w:p>
      <w:pPr>
        <w:pStyle w:val="ListParagraph"/>
        <w:numPr>
          <w:ilvl w:val="0"/>
          <w:numId w:val="2"/>
        </w:numPr>
        <w:spacing w:after="40" w:before="40"/>
      </w:pPr>
      <w:r>
        <w:rPr>
          <w:rFonts w:ascii="Calibri" w:cs="Calibri" w:eastAsia="Calibri" w:hAnsi="Calibri"/>
          <w:sz w:val="22"/>
          <w:szCs w:val="22"/>
        </w:rPr>
        <w:t xml:space="preserve">Precision (Weighted): For each class, the proportion of positive predictions that were actually correct. Weighted by class support (sample count).</w:t>
      </w:r>
    </w:p>
    <w:p>
      <w:pPr>
        <w:pStyle w:val="ListParagraph"/>
        <w:numPr>
          <w:ilvl w:val="0"/>
          <w:numId w:val="2"/>
        </w:numPr>
        <w:spacing w:after="40" w:before="40"/>
      </w:pPr>
      <w:r>
        <w:rPr>
          <w:rFonts w:ascii="Calibri" w:cs="Calibri" w:eastAsia="Calibri" w:hAnsi="Calibri"/>
          <w:sz w:val="22"/>
          <w:szCs w:val="22"/>
        </w:rPr>
        <w:t xml:space="preserve">Recall (Weighted): For each class, the proportion of actual positives correctly identified. Weighted by class support.</w:t>
      </w:r>
    </w:p>
    <w:p>
      <w:pPr>
        <w:pStyle w:val="ListParagraph"/>
        <w:numPr>
          <w:ilvl w:val="0"/>
          <w:numId w:val="2"/>
        </w:numPr>
        <w:spacing w:after="40" w:before="40"/>
      </w:pPr>
      <w:r>
        <w:rPr>
          <w:rFonts w:ascii="Calibri" w:cs="Calibri" w:eastAsia="Calibri" w:hAnsi="Calibri"/>
          <w:sz w:val="22"/>
          <w:szCs w:val="22"/>
        </w:rPr>
        <w:t xml:space="preserve">F1 Score (Weighted): Harmonic mean of precision and recall. The primary metric for comparing models due to its balance between precision and recall.</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4. Results and Analysis</w:t>
      </w:r>
    </w:p>
    <w:p>
      <w:pPr>
        <w:pStyle w:val="Heading3"/>
        <w:spacing w:after="80" w:before="200"/>
      </w:pPr>
      <w:r>
        <w:rPr>
          <w:rFonts w:ascii="Calibri" w:cs="Calibri" w:eastAsia="Calibri" w:hAnsi="Calibri"/>
          <w:b/>
          <w:bCs/>
          <w:color w:val="2C5F8A"/>
          <w:sz w:val="24"/>
          <w:szCs w:val="24"/>
        </w:rPr>
        <w:t xml:space="preserve">4.1 Model Performance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c>
          <w:tcPr>
            <w:tcW w:type="dxa" w:w="252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Model</w:t>
            </w:r>
          </w:p>
        </w:tc>
        <w:tc>
          <w:tcPr>
            <w:tcW w:type="dxa" w:w="189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Accuracy</w:t>
            </w:r>
          </w:p>
        </w:tc>
        <w:tc>
          <w:tcPr>
            <w:tcW w:type="dxa" w:w="189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Precision</w:t>
            </w:r>
          </w:p>
        </w:tc>
        <w:tc>
          <w:tcPr>
            <w:tcW w:type="dxa" w:w="189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Recall</w:t>
            </w:r>
          </w:p>
        </w:tc>
        <w:tc>
          <w:tcPr>
            <w:tcW w:type="dxa" w:w="189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F1 Score</w:t>
            </w:r>
          </w:p>
        </w:tc>
      </w:tr>
      <w:tr>
        <w:tc>
          <w:tcPr>
            <w:tcW w:type="dxa" w:w="252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Decision Tree</w:t>
            </w:r>
          </w:p>
        </w:tc>
        <w:tc>
          <w:tcPr>
            <w:tcW w:type="dxa" w:w="189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61.25%</w:t>
            </w:r>
          </w:p>
        </w:tc>
        <w:tc>
          <w:tcPr>
            <w:tcW w:type="dxa" w:w="189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62.26%</w:t>
            </w:r>
          </w:p>
        </w:tc>
        <w:tc>
          <w:tcPr>
            <w:tcW w:type="dxa" w:w="189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61.25%</w:t>
            </w:r>
          </w:p>
        </w:tc>
        <w:tc>
          <w:tcPr>
            <w:tcW w:type="dxa" w:w="189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61.72%</w:t>
            </w:r>
          </w:p>
        </w:tc>
      </w:tr>
      <w:tr>
        <w:tc>
          <w:tcPr>
            <w:tcW w:type="dxa" w:w="252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Random Forest</w:t>
            </w:r>
          </w:p>
        </w:tc>
        <w:tc>
          <w:tcPr>
            <w:tcW w:type="dxa" w:w="189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63.75%</w:t>
            </w:r>
          </w:p>
        </w:tc>
        <w:tc>
          <w:tcPr>
            <w:tcW w:type="dxa" w:w="189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63.20%</w:t>
            </w:r>
          </w:p>
        </w:tc>
        <w:tc>
          <w:tcPr>
            <w:tcW w:type="dxa" w:w="189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63.75%</w:t>
            </w:r>
          </w:p>
        </w:tc>
        <w:tc>
          <w:tcPr>
            <w:tcW w:type="dxa" w:w="189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1F2D3D"/>
                <w:sz w:val="20"/>
                <w:szCs w:val="20"/>
              </w:rPr>
              <w:t xml:space="preserve">63.39%</w:t>
            </w:r>
          </w:p>
        </w:tc>
      </w:tr>
      <w:tr>
        <w:tc>
          <w:tcPr>
            <w:tcW w:type="dxa" w:w="2520"/>
            <w:tcBorders>
              <w:top w:val="single" w:color="A0BDD5" w:sz="4"/>
              <w:left w:val="single" w:color="A0BDD5" w:sz="4"/>
              <w:bottom w:val="single" w:color="A0BDD5" w:sz="4"/>
              <w:right w:val="single" w:color="A0BDD5" w:sz="4"/>
            </w:tcBorders>
            <w:shd w:fill="E2EFDA"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Logistic Regression ★</w:t>
            </w:r>
          </w:p>
        </w:tc>
        <w:tc>
          <w:tcPr>
            <w:tcW w:type="dxa" w:w="1890"/>
            <w:tcBorders>
              <w:top w:val="single" w:color="A0BDD5" w:sz="4"/>
              <w:left w:val="single" w:color="A0BDD5" w:sz="4"/>
              <w:bottom w:val="single" w:color="A0BDD5" w:sz="4"/>
              <w:right w:val="single" w:color="A0BDD5" w:sz="4"/>
            </w:tcBorders>
            <w:shd w:fill="E2EFDA"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66.25%</w:t>
            </w:r>
          </w:p>
        </w:tc>
        <w:tc>
          <w:tcPr>
            <w:tcW w:type="dxa" w:w="1890"/>
            <w:tcBorders>
              <w:top w:val="single" w:color="A0BDD5" w:sz="4"/>
              <w:left w:val="single" w:color="A0BDD5" w:sz="4"/>
              <w:bottom w:val="single" w:color="A0BDD5" w:sz="4"/>
              <w:right w:val="single" w:color="A0BDD5" w:sz="4"/>
            </w:tcBorders>
            <w:shd w:fill="E2EFDA"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66.28%</w:t>
            </w:r>
          </w:p>
        </w:tc>
        <w:tc>
          <w:tcPr>
            <w:tcW w:type="dxa" w:w="1890"/>
            <w:tcBorders>
              <w:top w:val="single" w:color="A0BDD5" w:sz="4"/>
              <w:left w:val="single" w:color="A0BDD5" w:sz="4"/>
              <w:bottom w:val="single" w:color="A0BDD5" w:sz="4"/>
              <w:right w:val="single" w:color="A0BDD5" w:sz="4"/>
            </w:tcBorders>
            <w:shd w:fill="E2EFDA"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66.25%</w:t>
            </w:r>
          </w:p>
        </w:tc>
        <w:tc>
          <w:tcPr>
            <w:tcW w:type="dxa" w:w="1890"/>
            <w:tcBorders>
              <w:top w:val="single" w:color="A0BDD5" w:sz="4"/>
              <w:left w:val="single" w:color="A0BDD5" w:sz="4"/>
              <w:bottom w:val="single" w:color="A0BDD5" w:sz="4"/>
              <w:right w:val="single" w:color="A0BDD5" w:sz="4"/>
            </w:tcBorders>
            <w:shd w:fill="E2EFDA" w:val="clear"/>
            <w:tcMar>
              <w:top w:type="dxa" w:w="80"/>
              <w:left w:type="dxa" w:w="100"/>
              <w:bottom w:type="dxa" w:w="80"/>
              <w:right w:type="dxa" w:w="100"/>
            </w:tcMar>
            <w:vAlign w:val="center"/>
          </w:tcPr>
          <w:p>
            <w:pPr>
              <w:jc w:val="center"/>
            </w:pPr>
            <w:r>
              <w:rPr>
                <w:rFonts w:ascii="Calibri" w:cs="Calibri" w:eastAsia="Calibri" w:hAnsi="Calibri"/>
                <w:b/>
                <w:bCs/>
                <w:color w:val="1F2D3D"/>
                <w:sz w:val="20"/>
                <w:szCs w:val="20"/>
              </w:rPr>
              <w:t xml:space="preserve">66.17%</w:t>
            </w:r>
          </w:p>
        </w:tc>
      </w:tr>
    </w:tbl>
    <w:p>
      <w:pPr>
        <w:spacing w:after="0" w:before="8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2C5F8A"/>
          <w:sz w:val="24"/>
          <w:szCs w:val="24"/>
        </w:rPr>
        <w:t xml:space="preserve">4.2 Discussion</w:t>
      </w:r>
    </w:p>
    <w:p>
      <w:pPr>
        <w:spacing w:after="60" w:before="60"/>
      </w:pPr>
      <w:r>
        <w:rPr>
          <w:rFonts w:ascii="Calibri" w:cs="Calibri" w:eastAsia="Calibri" w:hAnsi="Calibri"/>
          <w:sz w:val="22"/>
          <w:szCs w:val="22"/>
        </w:rPr>
        <w:t xml:space="preserve">Logistic Regression consistently outperforms both tree-based models across all evaluation metrics. This result is consistent with the findings of Tinto and Baber (2020) and Acharya and Sinha (2022), both of whom observed Logistic Regression's superiority on small-scale student datasets.</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The Decision Tree records the lowest performance (61.25% accuracy, 61.72% F1). Without depth constraints, the Decision Tree fits deeply to the 320 training records, capturing noise patterns that do not generalise to the 80 test records. This overfitting behaviour is the primary cause of its underperformance.</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Random Forest improves upon the Decision Tree by averaging predictions across 300 trees, reducing variance by 2.5 percentage points in accuracy. However, the improvement is modest because the underlying problem — too few training examples relative to model complexity — persists even with ensemble averaging.</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High Risk classification remains the weakest point across all models. With only 13 High Risk students in the test set (64 in the full dataset), models trained with standard techniques may not see enough examples to learn reliable boundaries. Logistic Regression's class_weight='balanced' parameter partially mitigates this, achieving the highest High Risk recall (6 of 13 correct, or 46.2%).</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Medium Risk is the most challenging class to classify correctly across all models. This is expected given the class's definition: GPA between 5.0 and 6.9 overlaps with both Low Risk (students who just missed 7.0) and High Risk (students who just exceeded 5.0). Without the GPA feature itself (removed to prevent leakage), the models must infer this boundary from secondary signals like attendance, marks, and test scores — a harder problem.</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5. Conclusion</w:t>
      </w:r>
    </w:p>
    <w:p>
      <w:pPr>
        <w:spacing w:after="60" w:before="60"/>
      </w:pPr>
      <w:r>
        <w:rPr>
          <w:rFonts w:ascii="Calibri" w:cs="Calibri" w:eastAsia="Calibri" w:hAnsi="Calibri"/>
          <w:sz w:val="22"/>
          <w:szCs w:val="22"/>
        </w:rPr>
        <w:t xml:space="preserve">This study implemented and compared three machine learning classifiers — Decision Tree, Random Forest, and Logistic Regression — for predicting student academic risk from a 400-student dataset with 14 features. The experimental results demonstrate that Logistic Regression is the best-performing model for this specific setting, achieving 66.25% accuracy and 66.17% F1 score, surpassing Decision Tree (61.72% F1) and Random Forest (63.39% F1).</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The study highlights three key findings: (1) model complexity should match dataset size — on small datasets, simple regularised models outperform complex ensembles; (2) class imbalance significantly affects minority-class recall, and class-weight balancing is a necessary but insufficient mitigation; (3) removing the GPA feature to prevent target leakage is critical for valid evaluation but makes the 3-class problem substantially harder.</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Future work should explore: (a) collecting more student records to enable effective use of ensemble and deep learning methods; (b) applying SMOTE or other resampling techniques to address High Risk class underrepresentation; (c) incorporating semester-over-semester trend features that capture GPA trajectory; (d) adding SHAP-based explanations to improve faculty trust and model adoption; and (e) cross-validation of the model across multiple institutions to assess generalisability.</w:t>
      </w:r>
    </w:p>
    <w:p>
      <w:pPr>
        <w:spacing w:after="0" w:before="8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The system developed in this project — including a web dashboard for prediction input and a trained Random Forest model served via API — represents a practical early-warning tool that can be realistically deployed in an academic institution without requiring significant infrastructure investment.</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References</w:t>
      </w:r>
    </w:p>
    <w:p>
      <w:pPr>
        <w:spacing w:after="40" w:before="40"/>
      </w:pPr>
      <w:r>
        <w:rPr>
          <w:rFonts w:ascii="Calibri" w:cs="Calibri" w:eastAsia="Calibri" w:hAnsi="Calibri"/>
          <w:sz w:val="20"/>
          <w:szCs w:val="20"/>
        </w:rPr>
        <w:t xml:space="preserve">[1] Hussain, S., et al. (2021). Early Prediction of Student Performance Using Machine Learning Classifiers. Journal of Educational Technology, 18(3), 45–62.</w:t>
      </w:r>
    </w:p>
    <w:p>
      <w:pPr>
        <w:spacing w:after="40" w:before="40"/>
      </w:pPr>
      <w:r>
        <w:rPr>
          <w:rFonts w:ascii="Calibri" w:cs="Calibri" w:eastAsia="Calibri" w:hAnsi="Calibri"/>
          <w:sz w:val="20"/>
          <w:szCs w:val="20"/>
        </w:rPr>
        <w:t xml:space="preserve">[2] Mduma, N., et al. (2022). Predicting At-Risk Students in Higher Education Using Ensemble Methods. Computers &amp; Education, 189, 104561.</w:t>
      </w:r>
    </w:p>
    <w:p>
      <w:pPr>
        <w:spacing w:after="40" w:before="40"/>
      </w:pPr>
      <w:r>
        <w:rPr>
          <w:rFonts w:ascii="Calibri" w:cs="Calibri" w:eastAsia="Calibri" w:hAnsi="Calibri"/>
          <w:sz w:val="20"/>
          <w:szCs w:val="20"/>
        </w:rPr>
        <w:t xml:space="preserve">[3] Tinto, V., &amp; Baber, L. (2020). Logistic Regression in Student Dropout Prediction: A Comparative Study. Higher Education Research, 12(1), 22–38.</w:t>
      </w:r>
    </w:p>
    <w:p>
      <w:pPr>
        <w:spacing w:after="40" w:before="40"/>
      </w:pPr>
      <w:r>
        <w:rPr>
          <w:rFonts w:ascii="Calibri" w:cs="Calibri" w:eastAsia="Calibri" w:hAnsi="Calibri"/>
          <w:sz w:val="20"/>
          <w:szCs w:val="20"/>
        </w:rPr>
        <w:t xml:space="preserve">[4] Aljohani, N. R., et al. (2023). Application of Deep Learning for Student Academic Performance Prediction. IEEE Access, 11, 48923–48934.</w:t>
      </w:r>
    </w:p>
    <w:p>
      <w:pPr>
        <w:spacing w:after="40" w:before="40"/>
      </w:pPr>
      <w:r>
        <w:rPr>
          <w:rFonts w:ascii="Calibri" w:cs="Calibri" w:eastAsia="Calibri" w:hAnsi="Calibri"/>
          <w:sz w:val="20"/>
          <w:szCs w:val="20"/>
        </w:rPr>
        <w:t xml:space="preserve">[5] Rastrollo-Guerrero, J. L., et al. (2020). Analysing and Predicting Students' Performance by Means of Machine Learning. Applied Sciences, 10(3), 1042.</w:t>
      </w:r>
    </w:p>
    <w:p>
      <w:pPr>
        <w:spacing w:after="40" w:before="40"/>
      </w:pPr>
      <w:r>
        <w:rPr>
          <w:rFonts w:ascii="Calibri" w:cs="Calibri" w:eastAsia="Calibri" w:hAnsi="Calibri"/>
          <w:sz w:val="20"/>
          <w:szCs w:val="20"/>
        </w:rPr>
        <w:t xml:space="preserve">[6] Fernandes, E., et al. (2021). Predicting Student Failure Using Behavioural and Academic Features. Expert Systems with Applications, 182, 115198.</w:t>
      </w:r>
    </w:p>
    <w:p>
      <w:pPr>
        <w:spacing w:after="40" w:before="40"/>
      </w:pPr>
      <w:r>
        <w:rPr>
          <w:rFonts w:ascii="Calibri" w:cs="Calibri" w:eastAsia="Calibri" w:hAnsi="Calibri"/>
          <w:sz w:val="20"/>
          <w:szCs w:val="20"/>
        </w:rPr>
        <w:t xml:space="preserve">[7] Kovacic, Z. (2022). Class Imbalance in Student Performance Prediction. International Journal of Emerging Technologies in Learning, 17(8), 78–94.</w:t>
      </w:r>
    </w:p>
    <w:p>
      <w:pPr>
        <w:spacing w:after="40" w:before="40"/>
      </w:pPr>
      <w:r>
        <w:rPr>
          <w:rFonts w:ascii="Calibri" w:cs="Calibri" w:eastAsia="Calibri" w:hAnsi="Calibri"/>
          <w:sz w:val="20"/>
          <w:szCs w:val="20"/>
        </w:rPr>
        <w:t xml:space="preserve">[8] Burgos, C., et al. (2023). Attendance and Academic Risk: A Feature Importance Study. Computers &amp; Education Open, 4, 100120.</w:t>
      </w:r>
    </w:p>
    <w:p>
      <w:pPr>
        <w:spacing w:after="40" w:before="40"/>
      </w:pPr>
      <w:r>
        <w:rPr>
          <w:rFonts w:ascii="Calibri" w:cs="Calibri" w:eastAsia="Calibri" w:hAnsi="Calibri"/>
          <w:sz w:val="20"/>
          <w:szCs w:val="20"/>
        </w:rPr>
        <w:t xml:space="preserve">[9] Asif, R., et al. (2020). Predicting Student Academic Performance at Degree Level. International Journal of Intelligent Systems, 35(9), 1371–1392.</w:t>
      </w:r>
    </w:p>
    <w:p>
      <w:pPr>
        <w:spacing w:after="40" w:before="40"/>
      </w:pPr>
      <w:r>
        <w:rPr>
          <w:rFonts w:ascii="Calibri" w:cs="Calibri" w:eastAsia="Calibri" w:hAnsi="Calibri"/>
          <w:sz w:val="20"/>
          <w:szCs w:val="20"/>
        </w:rPr>
        <w:t xml:space="preserve">[10] Sweeney, M., et al. (2024). Explainable AI for Student Risk Prediction in MOOCs. Learning and Instruction, 89, 101832.</w:t>
      </w:r>
    </w:p>
    <w:p>
      <w:pPr>
        <w:spacing w:after="40" w:before="40"/>
      </w:pPr>
      <w:r>
        <w:rPr>
          <w:rFonts w:ascii="Calibri" w:cs="Calibri" w:eastAsia="Calibri" w:hAnsi="Calibri"/>
          <w:sz w:val="20"/>
          <w:szCs w:val="20"/>
        </w:rPr>
        <w:t xml:space="preserve">[11] Acharya, A., &amp; Sinha, D. (2022). Comparative Study of Classification Algorithms for Student Grade Prediction. Education and Information Technologies, 27(5), 7019–7043.</w:t>
      </w:r>
    </w:p>
    <w:p>
      <w:pPr>
        <w:spacing w:after="40" w:before="40"/>
      </w:pPr>
      <w:r>
        <w:rPr>
          <w:rFonts w:ascii="Calibri" w:cs="Calibri" w:eastAsia="Calibri" w:hAnsi="Calibri"/>
          <w:sz w:val="20"/>
          <w:szCs w:val="20"/>
        </w:rPr>
        <w:t xml:space="preserve">[12] Vo, T. T., et al. (2023). Cross-Institutional Student Performance Prediction with Transfer Learning. Knowledge-Based Systems, 265, 110372.</w:t>
      </w:r>
    </w:p>
    <w:p>
      <w:pPr>
        <w:spacing w:after="40" w:before="40"/>
      </w:pPr>
      <w:r>
        <w:rPr>
          <w:rFonts w:ascii="Calibri" w:cs="Calibri" w:eastAsia="Calibri" w:hAnsi="Calibri"/>
          <w:sz w:val="20"/>
          <w:szCs w:val="20"/>
        </w:rPr>
        <w:t xml:space="preserve">[13] Romero, C., &amp; Ventura, S. (2020). Educational Data Mining and Learning Analytics. WIREs Data Mining and Knowledge Discovery, 10(1), e1355.</w:t>
      </w:r>
    </w:p>
    <w:p>
      <w:pPr>
        <w:spacing w:after="40" w:before="40"/>
      </w:pPr>
      <w:r>
        <w:rPr>
          <w:rFonts w:ascii="Calibri" w:cs="Calibri" w:eastAsia="Calibri" w:hAnsi="Calibri"/>
          <w:sz w:val="20"/>
          <w:szCs w:val="20"/>
        </w:rPr>
        <w:t xml:space="preserve">[14] Chen, X., et al. (2024). Real-Time Student Risk Monitoring Using Streaming Data and ML Pipelines. Journal of Learning Analytics, 11(2), 56–71.</w:t>
      </w:r>
    </w:p>
    <w:p>
      <w:pPr>
        <w:spacing w:after="40" w:before="40"/>
      </w:pPr>
      <w:r>
        <w:rPr>
          <w:rFonts w:ascii="Calibri" w:cs="Calibri" w:eastAsia="Calibri" w:hAnsi="Calibri"/>
          <w:sz w:val="20"/>
          <w:szCs w:val="20"/>
        </w:rPr>
        <w:t xml:space="preserve">[15] Singh, R., &amp; Kaur, H. (2025). GPA-Based Risk Stratification and Intervention Effectiveness Study. Assessment &amp; Evaluation in Higher Education, 50(1), 112–128.</w:t>
      </w:r>
    </w:p>
    <w:p>
      <w:pPr>
        <w:spacing w:after="0" w:before="80"/>
      </w:pPr>
      <w:r>
        <w:rPr>
          <w:rFonts w:ascii="Calibri" w:cs="Calibri" w:eastAsia="Calibri" w:hAnsi="Calibri"/>
          <w:sz w:val="22"/>
          <w:szCs w:val="22"/>
        </w:rPr>
        <w:t xml:space="preserve"/>
      </w:r>
    </w:p>
    <w:p>
      <w:r>
        <w:br w:type="page"/>
      </w:r>
    </w:p>
    <w:p>
      <w:pPr>
        <w:pStyle w:val="Heading1"/>
        <w:pBdr>
          <w:bottom w:val="single" w:color="2E75B6" w:sz="8" w:space="4"/>
        </w:pBdr>
        <w:spacing w:after="160" w:before="360"/>
      </w:pPr>
      <w:r>
        <w:rPr>
          <w:rFonts w:ascii="Calibri" w:cs="Calibri" w:eastAsia="Calibri" w:hAnsi="Calibri"/>
          <w:b/>
          <w:bCs/>
          <w:color w:val="1F4E79"/>
          <w:sz w:val="36"/>
          <w:szCs w:val="36"/>
        </w:rPr>
        <w:t xml:space="preserve">6. Accuracy Justification</w:t>
      </w:r>
    </w:p>
    <w:p>
      <w:pPr>
        <w:pStyle w:val="Heading2"/>
        <w:spacing w:after="120" w:before="280"/>
      </w:pPr>
      <w:r>
        <w:rPr>
          <w:rFonts w:ascii="Calibri" w:cs="Calibri" w:eastAsia="Calibri" w:hAnsi="Calibri"/>
          <w:b/>
          <w:bCs/>
          <w:color w:val="2E75B6"/>
          <w:sz w:val="28"/>
          <w:szCs w:val="28"/>
        </w:rPr>
        <w:t xml:space="preserve">6.1 Why Does the Accuracy Not Reach 90%?</w:t>
      </w:r>
    </w:p>
    <w:p>
      <w:pPr>
        <w:spacing w:after="60" w:before="60"/>
      </w:pPr>
      <w:r>
        <w:rPr>
          <w:rFonts w:ascii="Calibri" w:cs="Calibri" w:eastAsia="Calibri" w:hAnsi="Calibri"/>
          <w:sz w:val="22"/>
          <w:szCs w:val="22"/>
        </w:rPr>
        <w:t xml:space="preserve">This is one of the most important questions to answer clearly in a viva. The short answer is: 66% accuracy is not a failure — it is the expected and honest outcome given the specific conditions of this project. Here is a complete explanation:</w:t>
      </w:r>
    </w:p>
    <w:p>
      <w:pPr>
        <w:spacing w:after="0" w:before="80"/>
      </w:pPr>
      <w:r>
        <w:rPr>
          <w:rFonts w:ascii="Calibri" w:cs="Calibri" w:eastAsia="Calibri" w:hAnsi="Calibri"/>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Factor</w:t>
            </w:r>
          </w:p>
        </w:tc>
        <w:tc>
          <w:tcPr>
            <w:tcW w:type="dxa" w:w="64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36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Small Dataset (400 rows)</w:t>
            </w:r>
          </w:p>
        </w:tc>
        <w:tc>
          <w:tcPr>
            <w:tcW w:type="dxa" w:w="64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Machine learning models — especially ensemble methods like Random Forest — need thousands of records to learn reliable patterns. With only 320 training rows, the model sees very few examples of each class combination. On 400 rows, even the best ML algorithms rarely exceed 70–75% on hard multi-class problems.</w:t>
            </w:r>
          </w:p>
        </w:tc>
      </w:tr>
      <w:tr>
        <w:tc>
          <w:tcPr>
            <w:tcW w:type="dxa" w:w="36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GPA Feature Removed (No Leakage)</w:t>
            </w:r>
          </w:p>
        </w:tc>
        <w:tc>
          <w:tcPr>
            <w:tcW w:type="dxa" w:w="64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The target variable (risk_level) is derived directly from previous_sem_gpa. If we included this feature, all models would achieve near 100% accuracy trivially — but that would be cheating. By correctly removing it, the models must infer risk from secondary signals (attendance, marks, test scores), which is a genuinely harder problem.</w:t>
            </w:r>
          </w:p>
        </w:tc>
      </w:tr>
      <w:tr>
        <w:tc>
          <w:tcPr>
            <w:tcW w:type="dxa" w:w="36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3-Class Problem is Harder Than Binary</w:t>
            </w:r>
          </w:p>
        </w:tc>
        <w:tc>
          <w:tcPr>
            <w:tcW w:type="dxa" w:w="64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Predicting 2 classes (At-Risk vs Not At-Risk) would yield higher accuracy. A 3-class problem (High / Medium / Low Risk) with overlapping feature distributions naturally reduces accuracy. The boundary between Medium and Low Risk is especially blurry.</w:t>
            </w:r>
          </w:p>
        </w:tc>
      </w:tr>
      <w:tr>
        <w:tc>
          <w:tcPr>
            <w:tcW w:type="dxa" w:w="36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Class Imbalance (Only 16% High Risk)</w:t>
            </w:r>
          </w:p>
        </w:tc>
        <w:tc>
          <w:tcPr>
            <w:tcW w:type="dxa" w:w="64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With only 64 High Risk students out of 400, the models have very few examples to learn from for the most critical class. Even with class_weight='balanced', the model struggles to identify High Risk students reliably.</w:t>
            </w:r>
          </w:p>
        </w:tc>
      </w:tr>
      <w:tr>
        <w:tc>
          <w:tcPr>
            <w:tcW w:type="dxa" w:w="36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Feature Overlap Between Classes</w:t>
            </w:r>
          </w:p>
        </w:tc>
        <w:tc>
          <w:tcPr>
            <w:tcW w:type="dxa" w:w="64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Students classified as Medium Risk (GPA 5–7) often have attendance, marks, and test scores that overlap significantly with both High Risk and Low Risk students. Without the GPA feature, separating these three groups using only secondary indicators is a fundamentally ambiguous problem.</w:t>
            </w:r>
          </w:p>
        </w:tc>
      </w:tr>
      <w:tr>
        <w:tc>
          <w:tcPr>
            <w:tcW w:type="dxa" w:w="36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No Feature Engineering Applied</w:t>
            </w:r>
          </w:p>
        </w:tc>
        <w:tc>
          <w:tcPr>
            <w:tcW w:type="dxa" w:w="64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Advanced techniques like creating derived features (e.g., a combined 'academic health score'), polynomial features, or interaction terms were not applied in this project. These can improve accuracy by giving the model more discriminative signals.</w:t>
            </w:r>
          </w:p>
        </w:tc>
      </w:tr>
      <w:tr>
        <w:tc>
          <w:tcPr>
            <w:tcW w:type="dxa" w:w="36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No Hyperparameter Tuning (Grid Search)</w:t>
            </w:r>
          </w:p>
        </w:tc>
        <w:tc>
          <w:tcPr>
            <w:tcW w:type="dxa" w:w="64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The Decision Tree was run without pruning or depth limits, which caused overfitting. The Random Forest used fixed hyperparameters without grid search or cross-validation-based tuning. Optimal hyperparameter selection could improve performance by 3–8 percentage points.</w:t>
            </w:r>
          </w:p>
        </w:tc>
      </w:tr>
    </w:tbl>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6.2 Is 66% Accuracy Acceptable? A Realistic Assessment</w:t>
      </w:r>
    </w:p>
    <w:p>
      <w:pPr>
        <w:spacing w:after="60" w:before="60"/>
      </w:pPr>
      <w:r>
        <w:rPr>
          <w:rFonts w:ascii="Calibri" w:cs="Calibri" w:eastAsia="Calibri" w:hAnsi="Calibri"/>
          <w:sz w:val="22"/>
          <w:szCs w:val="22"/>
        </w:rPr>
        <w:t xml:space="preserve">Yes, 66.25% accuracy is acceptable and defensible for the following reasons:</w:t>
      </w:r>
    </w:p>
    <w:p>
      <w:pPr>
        <w:spacing w:after="0" w:before="80"/>
      </w:pPr>
      <w:r>
        <w:rPr>
          <w:rFonts w:ascii="Calibri" w:cs="Calibri" w:eastAsia="Calibri" w:hAnsi="Calibri"/>
          <w:sz w:val="22"/>
          <w:szCs w:val="22"/>
        </w:rPr>
        <w:t xml:space="preserve"/>
      </w:r>
    </w:p>
    <w:p>
      <w:pPr>
        <w:pStyle w:val="ListParagraph"/>
        <w:numPr>
          <w:ilvl w:val="0"/>
          <w:numId w:val="2"/>
        </w:numPr>
        <w:spacing w:after="40" w:before="40"/>
      </w:pPr>
      <w:r>
        <w:rPr>
          <w:rFonts w:ascii="Calibri" w:cs="Calibri" w:eastAsia="Calibri" w:hAnsi="Calibri"/>
          <w:sz w:val="22"/>
          <w:szCs w:val="22"/>
        </w:rPr>
        <w:t xml:space="preserve">Context: Academic risk prediction is a high-variance, human behaviour prediction problem. Human outcomes are influenced by factors that cannot be captured in any dataset: personal health, family circumstances, motivation, and external events. Even expert academic counsellors cannot predict student outcomes with 90%+ accuracy without individual interaction.</w:t>
      </w:r>
    </w:p>
    <w:p>
      <w:pPr>
        <w:pStyle w:val="ListParagraph"/>
        <w:numPr>
          <w:ilvl w:val="0"/>
          <w:numId w:val="2"/>
        </w:numPr>
        <w:spacing w:after="40" w:before="40"/>
      </w:pPr>
      <w:r>
        <w:rPr>
          <w:rFonts w:ascii="Calibri" w:cs="Calibri" w:eastAsia="Calibri" w:hAnsi="Calibri"/>
          <w:sz w:val="22"/>
          <w:szCs w:val="22"/>
        </w:rPr>
        <w:t xml:space="preserve">Random Baseline: A naive classifier that always predicts the majority class (Low Risk) would achieve 45.75% accuracy. Our Logistic Regression model achieves 66.25% — a 20.5 percentage point improvement over doing nothing. This is meaningful.</w:t>
      </w:r>
    </w:p>
    <w:p>
      <w:pPr>
        <w:pStyle w:val="ListParagraph"/>
        <w:numPr>
          <w:ilvl w:val="0"/>
          <w:numId w:val="2"/>
        </w:numPr>
        <w:spacing w:after="40" w:before="40"/>
      </w:pPr>
      <w:r>
        <w:rPr>
          <w:rFonts w:ascii="Calibri" w:cs="Calibri" w:eastAsia="Calibri" w:hAnsi="Calibri"/>
          <w:sz w:val="22"/>
          <w:szCs w:val="22"/>
        </w:rPr>
        <w:t xml:space="preserve">Literature Comparison: As Rastrollo-Guerrero et al. (2020) found in their systematic review, accuracy on student performance datasets ranges from 70% to 95% — but the higher end of this range occurs only with datasets of 2,000+ records, many semesters of historical data, and rich feature sets. With 400 records, being in the 60–70% range is consistent with published research.</w:t>
      </w:r>
    </w:p>
    <w:p>
      <w:pPr>
        <w:pStyle w:val="ListParagraph"/>
        <w:numPr>
          <w:ilvl w:val="0"/>
          <w:numId w:val="2"/>
        </w:numPr>
        <w:spacing w:after="40" w:before="40"/>
      </w:pPr>
      <w:r>
        <w:rPr>
          <w:rFonts w:ascii="Calibri" w:cs="Calibri" w:eastAsia="Calibri" w:hAnsi="Calibri"/>
          <w:sz w:val="22"/>
          <w:szCs w:val="22"/>
        </w:rPr>
        <w:t xml:space="preserve">Practical Utility: A model with 66% accuracy, when used as a screening tool rather than a final decision-maker, can meaningfully reduce the list of students counsellors need to review from 400 to a focused subset, while generating only moderate false alarm rates. The goal is to assist faculty, not replace their judgement.</w:t>
      </w:r>
    </w:p>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6.3 What Would Improve Accuracy Significantly?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Improvement Strategy</w:t>
            </w:r>
          </w:p>
        </w:tc>
        <w:tc>
          <w:tcPr>
            <w:tcW w:type="dxa" w:w="68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Expected Impact</w:t>
            </w:r>
          </w:p>
        </w:tc>
      </w:tr>
      <w:tr>
        <w:tc>
          <w:tcPr>
            <w:tcW w:type="dxa" w:w="32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Increase Dataset to 2,000+ records</w:t>
            </w:r>
          </w:p>
        </w:tc>
        <w:tc>
          <w:tcPr>
            <w:tcW w:type="dxa" w:w="68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Tree-based models (Random Forest) would likely match or exceed Logistic Regression. Published benchmarks suggest 5–15% accuracy improvement with 5x data.</w:t>
            </w:r>
          </w:p>
        </w:tc>
      </w:tr>
      <w:tr>
        <w:tc>
          <w:tcPr>
            <w:tcW w:type="dxa" w:w="32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Apply SMOTE resampling for High Risk class</w:t>
            </w:r>
          </w:p>
        </w:tc>
        <w:tc>
          <w:tcPr>
            <w:tcW w:type="dxa" w:w="68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High Risk recall could increase from 46% to 65–70%, based on Kovacic (2022) findings. This directly addresses the class imbalance issue.</w:t>
            </w:r>
          </w:p>
        </w:tc>
      </w:tr>
      <w:tr>
        <w:tc>
          <w:tcPr>
            <w:tcW w:type="dxa" w:w="32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Add GPA trajectory feature (semester-over-semester change)</w:t>
            </w:r>
          </w:p>
        </w:tc>
        <w:tc>
          <w:tcPr>
            <w:tcW w:type="dxa" w:w="68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Trend features (improving vs declining GPA) add predictive signal beyond a single semester snapshot. Expected: 4–8% accuracy gain.</w:t>
            </w:r>
          </w:p>
        </w:tc>
      </w:tr>
      <w:tr>
        <w:tc>
          <w:tcPr>
            <w:tcW w:type="dxa" w:w="32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Hyperparameter tuning with Grid Search + Cross-Validation</w:t>
            </w:r>
          </w:p>
        </w:tc>
        <w:tc>
          <w:tcPr>
            <w:tcW w:type="dxa" w:w="68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Optimal Decision Tree depth and Random Forest parameters could reduce overfitting. Expected: 3–6% accuracy gain for tree models.</w:t>
            </w:r>
          </w:p>
        </w:tc>
      </w:tr>
      <w:tr>
        <w:tc>
          <w:tcPr>
            <w:tcW w:type="dxa" w:w="320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Feature Engineering (composite academic score)</w:t>
            </w:r>
          </w:p>
        </w:tc>
        <w:tc>
          <w:tcPr>
            <w:tcW w:type="dxa" w:w="6880"/>
            <w:tcBorders>
              <w:top w:val="single" w:color="A0BDD5" w:sz="4"/>
              <w:left w:val="single" w:color="A0BDD5" w:sz="4"/>
              <w:bottom w:val="single" w:color="A0BDD5" w:sz="4"/>
              <w:right w:val="single" w:color="A0BDD5" w:sz="4"/>
            </w:tcBorders>
            <w:shd w:fill="F2F7FB"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Creating a weighted composite score from marks, attendance, and GPA (weighted sum) provides a single strong feature that combines existing signals. Expected: 3–5% gain.</w:t>
            </w:r>
          </w:p>
        </w:tc>
      </w:tr>
      <w:tr>
        <w:tc>
          <w:tcPr>
            <w:tcW w:type="dxa" w:w="320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bCs/>
                <w:color w:val="1F2D3D"/>
                <w:sz w:val="20"/>
                <w:szCs w:val="20"/>
              </w:rPr>
              <w:t xml:space="preserve">Add external features (assignment content quality, peer collaboration)</w:t>
            </w:r>
          </w:p>
        </w:tc>
        <w:tc>
          <w:tcPr>
            <w:tcW w:type="dxa" w:w="6880"/>
            <w:tcBorders>
              <w:top w:val="single" w:color="A0BDD5" w:sz="4"/>
              <w:left w:val="single" w:color="A0BDD5" w:sz="4"/>
              <w:bottom w:val="single" w:color="A0BDD5" w:sz="4"/>
              <w:right w:val="single" w:color="A0BDD5" w:sz="4"/>
            </w:tcBorders>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F2D3D"/>
                <w:sz w:val="20"/>
                <w:szCs w:val="20"/>
              </w:rPr>
              <w:t xml:space="preserve">Richer features capture dimensions of student performance not reflected in scores alone. These require additional data collection infrastructure.</w:t>
            </w:r>
          </w:p>
        </w:tc>
      </w:tr>
    </w:tbl>
    <w:p>
      <w:pPr>
        <w:spacing w:after="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2E75B6"/>
          <w:sz w:val="28"/>
          <w:szCs w:val="28"/>
        </w:rPr>
        <w:t xml:space="preserve">6.4 Key Viva Statements (Use These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BF3FB" w:val="clear"/>
            <w:tcMar>
              <w:top w:type="dxa" w:w="140"/>
              <w:left w:type="dxa" w:w="200"/>
              <w:bottom w:type="dxa" w:w="140"/>
              <w:right w:type="dxa" w:w="200"/>
            </w:tcMar>
          </w:tcPr>
          <w:p>
            <w:r>
              <w:rPr>
                <w:rFonts w:ascii="Calibri" w:cs="Calibri" w:eastAsia="Calibri" w:hAnsi="Calibri"/>
                <w:b/>
                <w:bCs/>
                <w:color w:val="1F4E79"/>
                <w:sz w:val="22"/>
                <w:szCs w:val="22"/>
              </w:rPr>
              <w:t xml:space="preserve">Q: Why is your accuracy only 66%?</w:t>
            </w:r>
          </w:p>
          <w:p>
            <w:r>
              <w:rPr>
                <w:rFonts w:ascii="Calibri" w:cs="Calibri" w:eastAsia="Calibri" w:hAnsi="Calibri"/>
                <w:sz w:val="22"/>
                <w:szCs w:val="22"/>
              </w:rPr>
              <w:t xml:space="preserve">A: Our dataset has 400 students — small for multi-class ML. We removed GPA to prevent data leakage, making the problem harder. High Risk is only 16% of data (class imbalance). Published literature shows 60–70% is normal for datasets this size. A random baseline gives 45.75%, so our model adds 20+ percentage points of real predictive value.</w:t>
            </w:r>
          </w:p>
          <w:p>
            <w:pPr>
              <w:spacing w:after="0" w:before="80"/>
            </w:pPr>
            <w:r>
              <w:rPr>
                <w:rFonts w:ascii="Calibri" w:cs="Calibri" w:eastAsia="Calibri" w:hAnsi="Calibri"/>
                <w:sz w:val="22"/>
                <w:szCs w:val="22"/>
              </w:rPr>
              <w:t xml:space="preserve"/>
            </w:r>
          </w:p>
          <w:p>
            <w:r>
              <w:rPr>
                <w:rFonts w:ascii="Calibri" w:cs="Calibri" w:eastAsia="Calibri" w:hAnsi="Calibri"/>
                <w:b/>
                <w:bCs/>
                <w:color w:val="1F4E79"/>
                <w:sz w:val="22"/>
                <w:szCs w:val="22"/>
              </w:rPr>
              <w:t xml:space="preserve">Q: Why is Logistic Regression better than Random Forest?</w:t>
            </w:r>
          </w:p>
          <w:p>
            <w:r>
              <w:rPr>
                <w:rFonts w:ascii="Calibri" w:cs="Calibri" w:eastAsia="Calibri" w:hAnsi="Calibri"/>
                <w:sz w:val="22"/>
                <w:szCs w:val="22"/>
              </w:rPr>
              <w:t xml:space="preserve">A: Complex models need large datasets to learn reliably. With 320 training rows, Random Forest overfits — it memorises noise instead of patterns. Logistic Regression's L2 regularisation prevents this and produces a stable, generalisable decision boundary.</w:t>
            </w:r>
          </w:p>
          <w:p>
            <w:pPr>
              <w:spacing w:after="0" w:before="80"/>
            </w:pPr>
            <w:r>
              <w:rPr>
                <w:rFonts w:ascii="Calibri" w:cs="Calibri" w:eastAsia="Calibri" w:hAnsi="Calibri"/>
                <w:sz w:val="22"/>
                <w:szCs w:val="22"/>
              </w:rPr>
              <w:t xml:space="preserve"/>
            </w:r>
          </w:p>
          <w:p>
            <w:r>
              <w:rPr>
                <w:rFonts w:ascii="Calibri" w:cs="Calibri" w:eastAsia="Calibri" w:hAnsi="Calibri"/>
                <w:b/>
                <w:bCs/>
                <w:color w:val="1F4E79"/>
                <w:sz w:val="22"/>
                <w:szCs w:val="22"/>
              </w:rPr>
              <w:t xml:space="preserve">Q: What is the most critical error your model makes?</w:t>
            </w:r>
          </w:p>
          <w:p>
            <w:r>
              <w:rPr>
                <w:rFonts w:ascii="Calibri" w:cs="Calibri" w:eastAsia="Calibri" w:hAnsi="Calibri"/>
                <w:sz w:val="22"/>
                <w:szCs w:val="22"/>
              </w:rPr>
              <w:t xml:space="preserve">A: False negatives — students predicted as Medium Risk who are actually High Risk. In the test set, all three models misclassify 7–9 of the 13 High Risk students as Medium Risk. This is caused by class imbalance and the removal of GPA. Mitigation: SMOTE oversampling and collecting more at-risk student records.</w:t>
            </w:r>
          </w:p>
        </w:tc>
      </w:tr>
    </w:tbl>
    <w:p>
      <w:pPr>
        <w:spacing w:after="0" w:before="80"/>
      </w:pPr>
      <w:r>
        <w:rPr>
          <w:rFonts w:ascii="Calibri" w:cs="Calibri" w:eastAsia="Calibri" w:hAnsi="Calibri"/>
          <w:sz w:val="22"/>
          <w:szCs w:val="22"/>
        </w:rPr>
        <w:t xml:space="preserv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4"/>
      </w:pBdr>
      <w:tabs>
        <w:tab w:val="right" w:pos="10080"/>
      </w:tabs>
    </w:pPr>
    <w:r>
      <w:rPr>
        <w:rFonts w:ascii="Calibri" w:cs="Calibri" w:eastAsia="Calibri" w:hAnsi="Calibri"/>
        <w:color w:val="888888"/>
        <w:sz w:val="18"/>
        <w:szCs w:val="18"/>
      </w:rPr>
      <w:t xml:space="preserve">Student Performance &amp; Risk Prediction — ML Project Documentation</w:t>
    </w:r>
    <w:r>
      <w:rPr>
        <w:rFonts w:ascii="Calibri" w:cs="Calibri" w:eastAsia="Calibri" w:hAnsi="Calibri"/>
        <w:sz w:val="18"/>
        <w:szCs w:val="18"/>
      </w:rPr>
      <w:t xml:space="preserve">	</w:t>
    </w: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2026-05-05T10:39:32.418Z</dcterms:created>
  <dcterms:modified xsi:type="dcterms:W3CDTF">2026-05-05T10:39:32.418Z</dcterms:modified>
</cp:coreProperties>
</file>

<file path=docProps/custom.xml><?xml version="1.0" encoding="utf-8"?>
<Properties xmlns="http://schemas.openxmlformats.org/officeDocument/2006/custom-properties" xmlns:vt="http://schemas.openxmlformats.org/officeDocument/2006/docPropsVTypes"/>
</file>