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D0FB02" w14:textId="2C824D8D" w:rsidR="007D46CE" w:rsidRPr="00CD2782" w:rsidRDefault="007D46CE" w:rsidP="007D46CE">
      <w:pPr>
        <w:jc w:val="center"/>
        <w:rPr>
          <w:rFonts w:ascii="Arial" w:hAnsi="Arial" w:cs="Arial"/>
          <w:b/>
          <w:sz w:val="18"/>
          <w:szCs w:val="18"/>
          <w:u w:val="single"/>
        </w:rPr>
      </w:pPr>
      <w:r w:rsidRPr="00CD2782">
        <w:rPr>
          <w:rFonts w:ascii="Arial" w:hAnsi="Arial" w:cs="Arial"/>
          <w:b/>
          <w:sz w:val="18"/>
          <w:szCs w:val="18"/>
          <w:u w:val="single"/>
        </w:rPr>
        <w:t>Enrollment Guidelines</w:t>
      </w:r>
      <w:r w:rsidR="00EF433D" w:rsidRPr="002473D9">
        <w:rPr>
          <w:rFonts w:ascii="Arial" w:hAnsi="Arial" w:cs="Arial"/>
          <w:b/>
          <w:sz w:val="18"/>
          <w:szCs w:val="18"/>
          <w:u w:val="single"/>
        </w:rPr>
        <w:t>: Students Must Reside Within Tuscaloosa City School Zones</w:t>
      </w:r>
      <w:r w:rsidRPr="00CD2782">
        <w:rPr>
          <w:rFonts w:ascii="Arial" w:hAnsi="Arial" w:cs="Arial"/>
          <w:b/>
          <w:sz w:val="18"/>
          <w:szCs w:val="18"/>
          <w:u w:val="single"/>
        </w:rPr>
        <w:t xml:space="preserve"> </w:t>
      </w:r>
    </w:p>
    <w:p w14:paraId="7B3A7302" w14:textId="77777777" w:rsidR="007D46CE" w:rsidRPr="00CD2782" w:rsidRDefault="007D46CE" w:rsidP="007D46CE">
      <w:pPr>
        <w:rPr>
          <w:rFonts w:ascii="Arial" w:hAnsi="Arial" w:cs="Arial"/>
          <w:sz w:val="18"/>
          <w:szCs w:val="18"/>
        </w:rPr>
      </w:pPr>
      <w:r w:rsidRPr="00CD2782">
        <w:rPr>
          <w:rFonts w:ascii="Arial" w:hAnsi="Arial" w:cs="Arial"/>
          <w:b/>
          <w:sz w:val="18"/>
          <w:szCs w:val="18"/>
        </w:rPr>
        <w:t>A.</w:t>
      </w:r>
      <w:r w:rsidRPr="00CD2782">
        <w:rPr>
          <w:rFonts w:ascii="Arial" w:hAnsi="Arial" w:cs="Arial"/>
          <w:sz w:val="18"/>
          <w:szCs w:val="18"/>
        </w:rPr>
        <w:tab/>
      </w:r>
      <w:r w:rsidRPr="00CD2782">
        <w:rPr>
          <w:rFonts w:ascii="Arial" w:hAnsi="Arial" w:cs="Arial"/>
          <w:b/>
          <w:sz w:val="18"/>
          <w:szCs w:val="18"/>
        </w:rPr>
        <w:t>School Overview</w:t>
      </w:r>
    </w:p>
    <w:p w14:paraId="0C5B1A87" w14:textId="79E315AA" w:rsidR="007D46CE" w:rsidRPr="00CD2782" w:rsidRDefault="007D46CE" w:rsidP="00CD2782">
      <w:pPr>
        <w:ind w:left="720" w:hanging="720"/>
        <w:rPr>
          <w:rFonts w:ascii="Arial" w:hAnsi="Arial" w:cs="Arial"/>
          <w:sz w:val="18"/>
          <w:szCs w:val="18"/>
        </w:rPr>
      </w:pPr>
      <w:r w:rsidRPr="00CD2782">
        <w:rPr>
          <w:rFonts w:ascii="Arial" w:hAnsi="Arial" w:cs="Arial"/>
          <w:sz w:val="18"/>
          <w:szCs w:val="18"/>
        </w:rPr>
        <w:tab/>
        <w:t>The Alberta School of Performing Arts is a K – 8 school with a curriculum focused on exposure and specialized instruction in dance, theatre, music and the visual arts. Grades K – 3 are populated by students living in the Alberta school zone only. Grades 4 – 5 are populated first with Alberta-zoned students and remaining seats are available to students across the Tuscaloosa City School (TCS) zones</w:t>
      </w:r>
      <w:r w:rsidR="00247C8C" w:rsidRPr="00CD2782">
        <w:rPr>
          <w:rFonts w:ascii="Arial" w:hAnsi="Arial" w:cs="Arial"/>
          <w:sz w:val="18"/>
          <w:szCs w:val="18"/>
        </w:rPr>
        <w:t xml:space="preserve"> </w:t>
      </w:r>
      <w:r w:rsidR="00247C8C" w:rsidRPr="002473D9">
        <w:rPr>
          <w:rFonts w:ascii="Arial" w:hAnsi="Arial" w:cs="Arial"/>
          <w:sz w:val="18"/>
          <w:szCs w:val="18"/>
        </w:rPr>
        <w:t>through application and audition</w:t>
      </w:r>
      <w:r w:rsidRPr="002473D9">
        <w:rPr>
          <w:rFonts w:ascii="Arial" w:hAnsi="Arial" w:cs="Arial"/>
          <w:sz w:val="18"/>
          <w:szCs w:val="18"/>
        </w:rPr>
        <w:t>.</w:t>
      </w:r>
      <w:r w:rsidRPr="00CD2782">
        <w:rPr>
          <w:rFonts w:ascii="Arial" w:hAnsi="Arial" w:cs="Arial"/>
          <w:sz w:val="18"/>
          <w:szCs w:val="18"/>
        </w:rPr>
        <w:t xml:space="preserve"> Grades 6 – 8 will provide in-depth and specialized instruction in dance, music, theatre and visual arts. As such, these grades are open to enrollment for all TCS students only through audition. Students of incoming grades 6, 7, and 8 living within the Alberta K – 5 school zone will attend Eastwood Middle School unless accepted to Alberta through audition. </w:t>
      </w:r>
    </w:p>
    <w:p w14:paraId="1E1557D4" w14:textId="77777777" w:rsidR="007D46CE" w:rsidRPr="00CD2782" w:rsidRDefault="007D46CE" w:rsidP="007D46CE">
      <w:pPr>
        <w:rPr>
          <w:rFonts w:ascii="Arial" w:hAnsi="Arial" w:cs="Arial"/>
          <w:sz w:val="18"/>
          <w:szCs w:val="18"/>
        </w:rPr>
      </w:pPr>
      <w:r w:rsidRPr="00CD2782">
        <w:rPr>
          <w:rFonts w:ascii="Arial" w:hAnsi="Arial" w:cs="Arial"/>
          <w:b/>
          <w:sz w:val="18"/>
          <w:szCs w:val="18"/>
        </w:rPr>
        <w:t>B.</w:t>
      </w:r>
      <w:r w:rsidRPr="00CD2782">
        <w:rPr>
          <w:rFonts w:ascii="Arial" w:hAnsi="Arial" w:cs="Arial"/>
          <w:sz w:val="18"/>
          <w:szCs w:val="18"/>
        </w:rPr>
        <w:t xml:space="preserve"> </w:t>
      </w:r>
      <w:r w:rsidRPr="00CD2782">
        <w:rPr>
          <w:rFonts w:ascii="Arial" w:hAnsi="Arial" w:cs="Arial"/>
          <w:sz w:val="18"/>
          <w:szCs w:val="18"/>
        </w:rPr>
        <w:tab/>
      </w:r>
      <w:r w:rsidRPr="00CD2782">
        <w:rPr>
          <w:rFonts w:ascii="Arial" w:hAnsi="Arial" w:cs="Arial"/>
          <w:b/>
          <w:sz w:val="18"/>
          <w:szCs w:val="18"/>
        </w:rPr>
        <w:t>Admission Policy</w:t>
      </w:r>
    </w:p>
    <w:p w14:paraId="33D72EFE" w14:textId="77777777" w:rsidR="007D46CE" w:rsidRPr="00CD2782" w:rsidRDefault="007D46CE" w:rsidP="00CD2782">
      <w:pPr>
        <w:ind w:left="720" w:hanging="720"/>
        <w:rPr>
          <w:rFonts w:ascii="Arial" w:hAnsi="Arial" w:cs="Arial"/>
          <w:sz w:val="18"/>
          <w:szCs w:val="18"/>
        </w:rPr>
      </w:pPr>
      <w:r w:rsidRPr="00CD2782">
        <w:rPr>
          <w:rFonts w:ascii="Arial" w:hAnsi="Arial" w:cs="Arial"/>
          <w:sz w:val="18"/>
          <w:szCs w:val="18"/>
        </w:rPr>
        <w:tab/>
        <w:t>Students residing in any Tuscaloosa City School zone are eligible to apply for enrollment at The Alberta School of Performing Arts in grades 4 through 8. See eligibility, application and selection process below.</w:t>
      </w:r>
    </w:p>
    <w:p w14:paraId="61328AFB" w14:textId="77777777" w:rsidR="007D46CE" w:rsidRPr="00CD2782" w:rsidRDefault="007D46CE" w:rsidP="007D46CE">
      <w:pPr>
        <w:rPr>
          <w:rFonts w:ascii="Arial" w:hAnsi="Arial" w:cs="Arial"/>
          <w:b/>
          <w:sz w:val="18"/>
          <w:szCs w:val="18"/>
        </w:rPr>
      </w:pPr>
      <w:r w:rsidRPr="00CD2782">
        <w:rPr>
          <w:rFonts w:ascii="Arial" w:hAnsi="Arial" w:cs="Arial"/>
          <w:b/>
          <w:sz w:val="18"/>
          <w:szCs w:val="18"/>
        </w:rPr>
        <w:t>C.</w:t>
      </w:r>
      <w:r w:rsidRPr="00CD2782">
        <w:rPr>
          <w:rFonts w:ascii="Arial" w:hAnsi="Arial" w:cs="Arial"/>
          <w:b/>
          <w:sz w:val="18"/>
          <w:szCs w:val="18"/>
        </w:rPr>
        <w:tab/>
        <w:t>Student Eligibility</w:t>
      </w:r>
    </w:p>
    <w:p w14:paraId="6B0AAEAD" w14:textId="77777777" w:rsidR="007D46CE" w:rsidRPr="00CD2782" w:rsidRDefault="007D46CE" w:rsidP="004D5F31">
      <w:pPr>
        <w:pStyle w:val="ListParagraph"/>
        <w:numPr>
          <w:ilvl w:val="0"/>
          <w:numId w:val="6"/>
        </w:numPr>
        <w:ind w:left="720"/>
        <w:rPr>
          <w:rFonts w:ascii="Arial" w:hAnsi="Arial" w:cs="Arial"/>
          <w:sz w:val="18"/>
          <w:szCs w:val="18"/>
        </w:rPr>
      </w:pPr>
      <w:r w:rsidRPr="00CD2782">
        <w:rPr>
          <w:rFonts w:ascii="Arial" w:hAnsi="Arial" w:cs="Arial"/>
          <w:sz w:val="18"/>
          <w:szCs w:val="18"/>
        </w:rPr>
        <w:t>Incoming K – 5 students already zoned for Alberta through established attendance zones need not apply other than through regular enrollment.</w:t>
      </w:r>
    </w:p>
    <w:p w14:paraId="13DC077B" w14:textId="661124AC" w:rsidR="007D46CE" w:rsidRPr="00CD2782" w:rsidRDefault="007D46CE" w:rsidP="004D5F31">
      <w:pPr>
        <w:pStyle w:val="ListParagraph"/>
        <w:numPr>
          <w:ilvl w:val="0"/>
          <w:numId w:val="6"/>
        </w:numPr>
        <w:ind w:left="720"/>
        <w:rPr>
          <w:rFonts w:ascii="Arial" w:hAnsi="Arial" w:cs="Arial"/>
          <w:sz w:val="18"/>
          <w:szCs w:val="18"/>
        </w:rPr>
      </w:pPr>
      <w:r w:rsidRPr="00CD2782">
        <w:rPr>
          <w:rFonts w:ascii="Arial" w:hAnsi="Arial" w:cs="Arial"/>
          <w:sz w:val="18"/>
          <w:szCs w:val="18"/>
        </w:rPr>
        <w:t xml:space="preserve">Incoming </w:t>
      </w:r>
      <w:r w:rsidRPr="006D0A2C">
        <w:rPr>
          <w:rFonts w:ascii="Arial" w:hAnsi="Arial" w:cs="Arial"/>
          <w:strike/>
          <w:sz w:val="18"/>
          <w:szCs w:val="18"/>
        </w:rPr>
        <w:t>4</w:t>
      </w:r>
      <w:r w:rsidRPr="006D0A2C">
        <w:rPr>
          <w:rFonts w:ascii="Arial" w:hAnsi="Arial" w:cs="Arial"/>
          <w:strike/>
          <w:sz w:val="18"/>
          <w:szCs w:val="18"/>
          <w:vertAlign w:val="superscript"/>
        </w:rPr>
        <w:t>th</w:t>
      </w:r>
      <w:r w:rsidR="006D0A2C">
        <w:rPr>
          <w:rFonts w:ascii="Arial" w:hAnsi="Arial" w:cs="Arial"/>
          <w:sz w:val="18"/>
          <w:szCs w:val="18"/>
        </w:rPr>
        <w:t xml:space="preserve"> </w:t>
      </w:r>
      <w:r w:rsidR="00F949FA" w:rsidRPr="007A5440">
        <w:rPr>
          <w:rFonts w:ascii="Arial" w:hAnsi="Arial" w:cs="Arial"/>
          <w:sz w:val="18"/>
          <w:szCs w:val="18"/>
        </w:rPr>
        <w:t>through 8</w:t>
      </w:r>
      <w:r w:rsidR="00F949FA" w:rsidRPr="007A5440">
        <w:rPr>
          <w:rFonts w:ascii="Arial" w:hAnsi="Arial" w:cs="Arial"/>
          <w:sz w:val="18"/>
          <w:szCs w:val="18"/>
          <w:vertAlign w:val="superscript"/>
        </w:rPr>
        <w:t>th</w:t>
      </w:r>
      <w:r w:rsidR="00F949FA" w:rsidRPr="00CD2782">
        <w:rPr>
          <w:rFonts w:ascii="Arial" w:hAnsi="Arial" w:cs="Arial"/>
          <w:color w:val="FF0000"/>
          <w:sz w:val="18"/>
          <w:szCs w:val="18"/>
        </w:rPr>
        <w:t xml:space="preserve"> </w:t>
      </w:r>
      <w:r w:rsidRPr="00CD2782">
        <w:rPr>
          <w:rFonts w:ascii="Arial" w:hAnsi="Arial" w:cs="Arial"/>
          <w:sz w:val="18"/>
          <w:szCs w:val="18"/>
        </w:rPr>
        <w:t xml:space="preserve">grade students living within all other Tuscaloosa City School zones are eligible to apply with: </w:t>
      </w:r>
    </w:p>
    <w:p w14:paraId="560A5330" w14:textId="0BCCC8F3" w:rsidR="007D46CE" w:rsidRPr="00CD2782" w:rsidRDefault="007D46CE" w:rsidP="00994D03">
      <w:pPr>
        <w:pStyle w:val="ListParagraph"/>
        <w:numPr>
          <w:ilvl w:val="1"/>
          <w:numId w:val="6"/>
        </w:numPr>
        <w:ind w:left="1170"/>
        <w:rPr>
          <w:rFonts w:ascii="Arial" w:hAnsi="Arial" w:cs="Arial"/>
          <w:dstrike/>
          <w:sz w:val="18"/>
          <w:szCs w:val="18"/>
        </w:rPr>
      </w:pPr>
      <w:r w:rsidRPr="00CD2782">
        <w:rPr>
          <w:rFonts w:ascii="Arial" w:hAnsi="Arial" w:cs="Arial"/>
          <w:sz w:val="18"/>
          <w:szCs w:val="18"/>
        </w:rPr>
        <w:t xml:space="preserve">An </w:t>
      </w:r>
      <w:r w:rsidR="00F949FA" w:rsidRPr="007A5440">
        <w:rPr>
          <w:rFonts w:ascii="Arial" w:hAnsi="Arial" w:cs="Arial"/>
          <w:sz w:val="18"/>
          <w:szCs w:val="18"/>
        </w:rPr>
        <w:t>audition process</w:t>
      </w:r>
      <w:r w:rsidR="004009AA" w:rsidRPr="007A5440">
        <w:rPr>
          <w:rFonts w:ascii="Arial" w:hAnsi="Arial" w:cs="Arial"/>
          <w:sz w:val="18"/>
          <w:szCs w:val="18"/>
        </w:rPr>
        <w:t xml:space="preserve"> in </w:t>
      </w:r>
      <w:r w:rsidR="00F949FA" w:rsidRPr="007A5440">
        <w:rPr>
          <w:rFonts w:ascii="Arial" w:hAnsi="Arial" w:cs="Arial"/>
          <w:sz w:val="18"/>
          <w:szCs w:val="18"/>
        </w:rPr>
        <w:t xml:space="preserve">two of the fine arts disciplines of </w:t>
      </w:r>
      <w:r w:rsidR="004009AA" w:rsidRPr="007A5440">
        <w:rPr>
          <w:rFonts w:ascii="Arial" w:hAnsi="Arial" w:cs="Arial"/>
          <w:sz w:val="18"/>
          <w:szCs w:val="18"/>
        </w:rPr>
        <w:t>dance, music, theatre, or visual art.</w:t>
      </w:r>
    </w:p>
    <w:p w14:paraId="459F8899" w14:textId="77777777" w:rsidR="007A5440" w:rsidRDefault="007D46CE" w:rsidP="007A5440">
      <w:pPr>
        <w:pStyle w:val="ListParagraph"/>
        <w:numPr>
          <w:ilvl w:val="1"/>
          <w:numId w:val="6"/>
        </w:numPr>
        <w:ind w:left="1170"/>
        <w:rPr>
          <w:rFonts w:ascii="Arial" w:hAnsi="Arial" w:cs="Arial"/>
          <w:sz w:val="18"/>
          <w:szCs w:val="18"/>
        </w:rPr>
      </w:pPr>
      <w:r w:rsidRPr="00CD2782">
        <w:rPr>
          <w:rFonts w:ascii="Arial" w:hAnsi="Arial" w:cs="Arial"/>
          <w:sz w:val="18"/>
          <w:szCs w:val="18"/>
        </w:rPr>
        <w:t xml:space="preserve">Eligibility will be determined by such factors as artistic potential, skill, talent, interest, conduct and attendance. </w:t>
      </w:r>
    </w:p>
    <w:p w14:paraId="2B52E32A" w14:textId="1771AECF" w:rsidR="0062365F" w:rsidRPr="007A5440" w:rsidRDefault="007D46CE" w:rsidP="007A5440">
      <w:pPr>
        <w:pStyle w:val="ListParagraph"/>
        <w:numPr>
          <w:ilvl w:val="0"/>
          <w:numId w:val="6"/>
        </w:numPr>
        <w:ind w:left="720"/>
        <w:rPr>
          <w:rFonts w:ascii="Arial" w:hAnsi="Arial" w:cs="Arial"/>
          <w:sz w:val="18"/>
          <w:szCs w:val="18"/>
        </w:rPr>
      </w:pPr>
      <w:r w:rsidRPr="007A5440">
        <w:rPr>
          <w:rFonts w:ascii="Arial" w:hAnsi="Arial" w:cs="Arial"/>
          <w:sz w:val="18"/>
          <w:szCs w:val="18"/>
        </w:rPr>
        <w:t>Home school or private school students who live in the zone of the Tuscaloosa City Schools but not currently attending a Tuscaloosa City School are eligibl</w:t>
      </w:r>
      <w:r w:rsidR="004D5F31" w:rsidRPr="007A5440">
        <w:rPr>
          <w:rFonts w:ascii="Arial" w:hAnsi="Arial" w:cs="Arial"/>
          <w:sz w:val="18"/>
          <w:szCs w:val="18"/>
        </w:rPr>
        <w:t xml:space="preserve">e to apply under </w:t>
      </w:r>
      <w:r w:rsidRPr="007A5440">
        <w:rPr>
          <w:rFonts w:ascii="Arial" w:hAnsi="Arial" w:cs="Arial"/>
          <w:sz w:val="18"/>
          <w:szCs w:val="18"/>
        </w:rPr>
        <w:t>guideline</w:t>
      </w:r>
      <w:r w:rsidR="007A5440">
        <w:rPr>
          <w:rFonts w:ascii="Arial" w:hAnsi="Arial" w:cs="Arial"/>
          <w:sz w:val="18"/>
          <w:szCs w:val="18"/>
        </w:rPr>
        <w:t xml:space="preserve"> </w:t>
      </w:r>
      <w:r w:rsidR="00F949FA" w:rsidRPr="007A5440">
        <w:rPr>
          <w:rFonts w:ascii="Arial" w:hAnsi="Arial" w:cs="Arial"/>
          <w:sz w:val="18"/>
          <w:szCs w:val="18"/>
        </w:rPr>
        <w:t>2</w:t>
      </w:r>
      <w:r w:rsidR="00D35207" w:rsidRPr="007A5440">
        <w:rPr>
          <w:rFonts w:ascii="Arial" w:hAnsi="Arial" w:cs="Arial"/>
          <w:sz w:val="18"/>
          <w:szCs w:val="18"/>
        </w:rPr>
        <w:t xml:space="preserve"> </w:t>
      </w:r>
      <w:r w:rsidR="004D5F31" w:rsidRPr="007A5440">
        <w:rPr>
          <w:rFonts w:ascii="Arial" w:hAnsi="Arial" w:cs="Arial"/>
          <w:sz w:val="18"/>
          <w:szCs w:val="18"/>
        </w:rPr>
        <w:t>above</w:t>
      </w:r>
      <w:r w:rsidRPr="007A5440">
        <w:rPr>
          <w:rFonts w:ascii="Arial" w:hAnsi="Arial" w:cs="Arial"/>
          <w:sz w:val="18"/>
          <w:szCs w:val="18"/>
        </w:rPr>
        <w:t>; however, verification of residence must be provided at time of</w:t>
      </w:r>
      <w:r w:rsidR="00CD2782" w:rsidRPr="007A5440">
        <w:rPr>
          <w:rFonts w:ascii="Arial" w:hAnsi="Arial" w:cs="Arial"/>
          <w:sz w:val="18"/>
          <w:szCs w:val="18"/>
        </w:rPr>
        <w:t xml:space="preserve"> acceptance</w:t>
      </w:r>
      <w:r w:rsidR="0062365F" w:rsidRPr="007A5440">
        <w:rPr>
          <w:rFonts w:ascii="Arial" w:hAnsi="Arial" w:cs="Arial"/>
          <w:sz w:val="18"/>
          <w:szCs w:val="18"/>
        </w:rPr>
        <w:t xml:space="preserve"> to the attendance office at the Tuscaloosa City Board of Education</w:t>
      </w:r>
      <w:r w:rsidR="00F949FA" w:rsidRPr="007A5440">
        <w:rPr>
          <w:rFonts w:ascii="Arial" w:hAnsi="Arial" w:cs="Arial"/>
          <w:sz w:val="18"/>
          <w:szCs w:val="18"/>
        </w:rPr>
        <w:t>, including:</w:t>
      </w:r>
      <w:r w:rsidR="0012328E" w:rsidRPr="007A5440">
        <w:rPr>
          <w:rFonts w:ascii="Arial" w:hAnsi="Arial" w:cs="Arial"/>
          <w:sz w:val="18"/>
          <w:szCs w:val="18"/>
        </w:rPr>
        <w:t xml:space="preserve"> </w:t>
      </w:r>
    </w:p>
    <w:p w14:paraId="271DEBAA" w14:textId="014196C2" w:rsidR="004D5F31" w:rsidRPr="007A5440" w:rsidRDefault="0062365F" w:rsidP="0062365F">
      <w:pPr>
        <w:pStyle w:val="ListParagraph"/>
        <w:numPr>
          <w:ilvl w:val="0"/>
          <w:numId w:val="11"/>
        </w:numPr>
        <w:spacing w:after="0"/>
        <w:rPr>
          <w:rFonts w:ascii="Arial" w:hAnsi="Arial" w:cs="Arial"/>
          <w:sz w:val="18"/>
          <w:szCs w:val="18"/>
        </w:rPr>
      </w:pPr>
      <w:r w:rsidRPr="007A5440">
        <w:rPr>
          <w:rFonts w:ascii="Arial" w:hAnsi="Arial" w:cs="Arial"/>
          <w:sz w:val="18"/>
          <w:szCs w:val="18"/>
        </w:rPr>
        <w:t>Pro</w:t>
      </w:r>
      <w:r w:rsidR="004E3CD8" w:rsidRPr="007A5440">
        <w:rPr>
          <w:rFonts w:ascii="Arial" w:hAnsi="Arial" w:cs="Arial"/>
          <w:sz w:val="18"/>
          <w:szCs w:val="18"/>
        </w:rPr>
        <w:t>of of r</w:t>
      </w:r>
      <w:r w:rsidRPr="007A5440">
        <w:rPr>
          <w:rFonts w:ascii="Arial" w:hAnsi="Arial" w:cs="Arial"/>
          <w:sz w:val="18"/>
          <w:szCs w:val="18"/>
        </w:rPr>
        <w:t xml:space="preserve">esidence </w:t>
      </w:r>
      <w:r w:rsidR="004E3CD8" w:rsidRPr="007A5440">
        <w:rPr>
          <w:rFonts w:ascii="Arial" w:hAnsi="Arial" w:cs="Arial"/>
          <w:sz w:val="18"/>
          <w:szCs w:val="18"/>
        </w:rPr>
        <w:t>within Tuscaloosa City Schools attendance z</w:t>
      </w:r>
      <w:r w:rsidRPr="007A5440">
        <w:rPr>
          <w:rFonts w:ascii="Arial" w:hAnsi="Arial" w:cs="Arial"/>
          <w:sz w:val="18"/>
          <w:szCs w:val="18"/>
        </w:rPr>
        <w:t>one</w:t>
      </w:r>
    </w:p>
    <w:p w14:paraId="0EEACA52" w14:textId="06543FCA" w:rsidR="0062365F" w:rsidRPr="007A5440" w:rsidRDefault="0062365F" w:rsidP="0062365F">
      <w:pPr>
        <w:pStyle w:val="ListParagraph"/>
        <w:numPr>
          <w:ilvl w:val="0"/>
          <w:numId w:val="11"/>
        </w:numPr>
        <w:rPr>
          <w:rFonts w:ascii="Arial" w:hAnsi="Arial" w:cs="Arial"/>
          <w:sz w:val="18"/>
          <w:szCs w:val="18"/>
        </w:rPr>
      </w:pPr>
      <w:r w:rsidRPr="007A5440">
        <w:rPr>
          <w:rFonts w:ascii="Arial" w:hAnsi="Arial" w:cs="Arial"/>
          <w:sz w:val="18"/>
          <w:szCs w:val="18"/>
        </w:rPr>
        <w:t>C</w:t>
      </w:r>
      <w:r w:rsidR="004E3CD8" w:rsidRPr="007A5440">
        <w:rPr>
          <w:rFonts w:ascii="Arial" w:hAnsi="Arial" w:cs="Arial"/>
          <w:sz w:val="18"/>
          <w:szCs w:val="18"/>
        </w:rPr>
        <w:t>urrent report c</w:t>
      </w:r>
      <w:r w:rsidRPr="007A5440">
        <w:rPr>
          <w:rFonts w:ascii="Arial" w:hAnsi="Arial" w:cs="Arial"/>
          <w:sz w:val="18"/>
          <w:szCs w:val="18"/>
        </w:rPr>
        <w:t>ard</w:t>
      </w:r>
    </w:p>
    <w:p w14:paraId="1135CDF0" w14:textId="6E375956" w:rsidR="002C641D" w:rsidRPr="007A5440" w:rsidRDefault="002C641D" w:rsidP="002C641D">
      <w:pPr>
        <w:pStyle w:val="ListParagraph"/>
        <w:numPr>
          <w:ilvl w:val="0"/>
          <w:numId w:val="6"/>
        </w:numPr>
        <w:ind w:left="720"/>
        <w:rPr>
          <w:rFonts w:ascii="Arial" w:hAnsi="Arial" w:cs="Arial"/>
          <w:sz w:val="18"/>
          <w:szCs w:val="18"/>
        </w:rPr>
      </w:pPr>
      <w:r w:rsidRPr="007A5440">
        <w:rPr>
          <w:rFonts w:ascii="Arial" w:hAnsi="Arial" w:cs="Arial"/>
          <w:sz w:val="18"/>
          <w:szCs w:val="18"/>
        </w:rPr>
        <w:t xml:space="preserve">Children in grades K - 5 of teachers currently employed at The Alberta School of Performing Arts will be allowed to enroll and attend the school according to board policy. </w:t>
      </w:r>
    </w:p>
    <w:p w14:paraId="7145E73C" w14:textId="067F6335" w:rsidR="00CD2782" w:rsidRPr="007A5440" w:rsidRDefault="002C641D" w:rsidP="002C6DCA">
      <w:pPr>
        <w:pStyle w:val="ListParagraph"/>
        <w:numPr>
          <w:ilvl w:val="1"/>
          <w:numId w:val="6"/>
        </w:numPr>
        <w:ind w:left="1080" w:hanging="360"/>
        <w:rPr>
          <w:rFonts w:ascii="Arial" w:hAnsi="Arial" w:cs="Arial"/>
          <w:sz w:val="18"/>
          <w:szCs w:val="18"/>
        </w:rPr>
      </w:pPr>
      <w:r w:rsidRPr="007A5440">
        <w:rPr>
          <w:rFonts w:ascii="Arial" w:hAnsi="Arial" w:cs="Arial"/>
          <w:sz w:val="18"/>
          <w:szCs w:val="18"/>
        </w:rPr>
        <w:t xml:space="preserve">Children in grades 6 – 8 of teachers currently employed at The Alberta School of Performing Arts will be allowed to enroll and attend the school if they fulfill the requirements for student eligibility 2.1 and 2.2 above. </w:t>
      </w:r>
    </w:p>
    <w:p w14:paraId="7E9591DC" w14:textId="1D389D4A" w:rsidR="007D46CE" w:rsidRPr="004132E9" w:rsidRDefault="007A5440" w:rsidP="00C53E1B">
      <w:pPr>
        <w:jc w:val="center"/>
        <w:rPr>
          <w:rFonts w:ascii="Arial" w:hAnsi="Arial" w:cs="Arial"/>
          <w:sz w:val="18"/>
          <w:szCs w:val="18"/>
        </w:rPr>
      </w:pPr>
      <w:r w:rsidRPr="004132E9">
        <w:rPr>
          <w:rFonts w:ascii="Arial" w:hAnsi="Arial" w:cs="Arial"/>
          <w:b/>
          <w:sz w:val="18"/>
          <w:szCs w:val="18"/>
        </w:rPr>
        <w:t xml:space="preserve">Alberta K – 8: </w:t>
      </w:r>
      <w:r w:rsidR="007D46CE" w:rsidRPr="004132E9">
        <w:rPr>
          <w:rFonts w:ascii="Arial" w:hAnsi="Arial" w:cs="Arial"/>
          <w:b/>
          <w:sz w:val="18"/>
          <w:szCs w:val="18"/>
        </w:rPr>
        <w:t>Eligibility Table</w:t>
      </w:r>
    </w:p>
    <w:tbl>
      <w:tblPr>
        <w:tblStyle w:val="TableGrid"/>
        <w:tblW w:w="0" w:type="auto"/>
        <w:jc w:val="center"/>
        <w:tblLook w:val="04A0" w:firstRow="1" w:lastRow="0" w:firstColumn="1" w:lastColumn="0" w:noHBand="0" w:noVBand="1"/>
      </w:tblPr>
      <w:tblGrid>
        <w:gridCol w:w="2564"/>
        <w:gridCol w:w="2634"/>
        <w:gridCol w:w="2776"/>
      </w:tblGrid>
      <w:tr w:rsidR="007D46CE" w:rsidRPr="004132E9" w14:paraId="56A8E53B" w14:textId="77777777" w:rsidTr="00261E89">
        <w:trPr>
          <w:jc w:val="center"/>
        </w:trPr>
        <w:tc>
          <w:tcPr>
            <w:tcW w:w="2564" w:type="dxa"/>
          </w:tcPr>
          <w:p w14:paraId="4B09ACEB" w14:textId="77777777" w:rsidR="007D46CE" w:rsidRPr="004132E9" w:rsidRDefault="007D46CE" w:rsidP="007D46CE">
            <w:pPr>
              <w:spacing w:after="0" w:line="240" w:lineRule="auto"/>
              <w:jc w:val="center"/>
              <w:rPr>
                <w:rFonts w:ascii="Arial" w:hAnsi="Arial" w:cs="Arial"/>
                <w:b/>
                <w:sz w:val="18"/>
                <w:szCs w:val="18"/>
              </w:rPr>
            </w:pPr>
            <w:r w:rsidRPr="004132E9">
              <w:rPr>
                <w:rFonts w:ascii="Arial" w:hAnsi="Arial" w:cs="Arial"/>
                <w:b/>
                <w:sz w:val="18"/>
                <w:szCs w:val="18"/>
              </w:rPr>
              <w:t>Incoming Grades</w:t>
            </w:r>
          </w:p>
          <w:p w14:paraId="4D3B80EC" w14:textId="77777777" w:rsidR="007D46CE" w:rsidRPr="004132E9" w:rsidRDefault="007D46CE" w:rsidP="007D46CE">
            <w:pPr>
              <w:spacing w:after="0" w:line="240" w:lineRule="auto"/>
              <w:jc w:val="center"/>
              <w:rPr>
                <w:rFonts w:ascii="Arial" w:hAnsi="Arial" w:cs="Arial"/>
                <w:b/>
                <w:sz w:val="18"/>
                <w:szCs w:val="18"/>
              </w:rPr>
            </w:pPr>
            <w:r w:rsidRPr="004132E9">
              <w:rPr>
                <w:rFonts w:ascii="Arial" w:hAnsi="Arial" w:cs="Arial"/>
                <w:b/>
                <w:sz w:val="18"/>
                <w:szCs w:val="18"/>
              </w:rPr>
              <w:t>K, 1, 2, 3</w:t>
            </w:r>
          </w:p>
        </w:tc>
        <w:tc>
          <w:tcPr>
            <w:tcW w:w="2634" w:type="dxa"/>
          </w:tcPr>
          <w:p w14:paraId="7ECDB77F" w14:textId="77777777" w:rsidR="007D46CE" w:rsidRPr="004132E9" w:rsidRDefault="007D46CE" w:rsidP="007D46CE">
            <w:pPr>
              <w:spacing w:after="0" w:line="240" w:lineRule="auto"/>
              <w:jc w:val="center"/>
              <w:rPr>
                <w:rFonts w:ascii="Arial" w:hAnsi="Arial" w:cs="Arial"/>
                <w:b/>
                <w:sz w:val="18"/>
                <w:szCs w:val="18"/>
              </w:rPr>
            </w:pPr>
            <w:r w:rsidRPr="004132E9">
              <w:rPr>
                <w:rFonts w:ascii="Arial" w:hAnsi="Arial" w:cs="Arial"/>
                <w:b/>
                <w:sz w:val="18"/>
                <w:szCs w:val="18"/>
              </w:rPr>
              <w:t>Incoming Grades</w:t>
            </w:r>
          </w:p>
          <w:p w14:paraId="35057434" w14:textId="77777777" w:rsidR="007D46CE" w:rsidRPr="004132E9" w:rsidRDefault="007D46CE" w:rsidP="007D46CE">
            <w:pPr>
              <w:spacing w:after="0" w:line="240" w:lineRule="auto"/>
              <w:jc w:val="center"/>
              <w:rPr>
                <w:rFonts w:ascii="Arial" w:hAnsi="Arial" w:cs="Arial"/>
                <w:b/>
                <w:sz w:val="18"/>
                <w:szCs w:val="18"/>
              </w:rPr>
            </w:pPr>
            <w:r w:rsidRPr="004132E9">
              <w:rPr>
                <w:rFonts w:ascii="Arial" w:hAnsi="Arial" w:cs="Arial"/>
                <w:b/>
                <w:sz w:val="18"/>
                <w:szCs w:val="18"/>
              </w:rPr>
              <w:t>4, 5</w:t>
            </w:r>
          </w:p>
        </w:tc>
        <w:tc>
          <w:tcPr>
            <w:tcW w:w="2776" w:type="dxa"/>
            <w:tcBorders>
              <w:bottom w:val="single" w:sz="4" w:space="0" w:color="auto"/>
              <w:right w:val="single" w:sz="4" w:space="0" w:color="auto"/>
            </w:tcBorders>
          </w:tcPr>
          <w:p w14:paraId="2D47CC7A" w14:textId="77777777" w:rsidR="007D46CE" w:rsidRPr="004132E9" w:rsidRDefault="007D46CE" w:rsidP="007D46CE">
            <w:pPr>
              <w:spacing w:after="0" w:line="240" w:lineRule="auto"/>
              <w:jc w:val="center"/>
              <w:rPr>
                <w:rFonts w:ascii="Arial" w:hAnsi="Arial" w:cs="Arial"/>
                <w:b/>
                <w:sz w:val="18"/>
                <w:szCs w:val="18"/>
              </w:rPr>
            </w:pPr>
            <w:r w:rsidRPr="004132E9">
              <w:rPr>
                <w:rFonts w:ascii="Arial" w:hAnsi="Arial" w:cs="Arial"/>
                <w:b/>
                <w:sz w:val="18"/>
                <w:szCs w:val="18"/>
              </w:rPr>
              <w:t>Incoming Grades</w:t>
            </w:r>
          </w:p>
          <w:p w14:paraId="367C3924" w14:textId="77777777" w:rsidR="007D46CE" w:rsidRPr="004132E9" w:rsidRDefault="007D46CE" w:rsidP="007D46CE">
            <w:pPr>
              <w:spacing w:after="0" w:line="240" w:lineRule="auto"/>
              <w:jc w:val="center"/>
              <w:rPr>
                <w:rFonts w:ascii="Arial" w:hAnsi="Arial" w:cs="Arial"/>
                <w:b/>
                <w:sz w:val="18"/>
                <w:szCs w:val="18"/>
              </w:rPr>
            </w:pPr>
            <w:r w:rsidRPr="004132E9">
              <w:rPr>
                <w:rFonts w:ascii="Arial" w:hAnsi="Arial" w:cs="Arial"/>
                <w:b/>
                <w:sz w:val="18"/>
                <w:szCs w:val="18"/>
              </w:rPr>
              <w:t>6, 7, 8</w:t>
            </w:r>
          </w:p>
        </w:tc>
      </w:tr>
      <w:tr w:rsidR="007D46CE" w:rsidRPr="004132E9" w14:paraId="42221A3B" w14:textId="77777777" w:rsidTr="007A5440">
        <w:trPr>
          <w:jc w:val="center"/>
        </w:trPr>
        <w:tc>
          <w:tcPr>
            <w:tcW w:w="2564" w:type="dxa"/>
            <w:tcBorders>
              <w:bottom w:val="single" w:sz="4" w:space="0" w:color="auto"/>
            </w:tcBorders>
            <w:shd w:val="clear" w:color="auto" w:fill="92D050"/>
          </w:tcPr>
          <w:p w14:paraId="286EE964" w14:textId="77777777" w:rsidR="007D46CE" w:rsidRPr="004132E9" w:rsidRDefault="007D46CE" w:rsidP="007D46CE">
            <w:pPr>
              <w:spacing w:after="0" w:line="240" w:lineRule="auto"/>
              <w:jc w:val="center"/>
              <w:rPr>
                <w:rFonts w:ascii="Arial" w:hAnsi="Arial" w:cs="Arial"/>
                <w:sz w:val="18"/>
                <w:szCs w:val="18"/>
              </w:rPr>
            </w:pPr>
            <w:r w:rsidRPr="004132E9">
              <w:rPr>
                <w:rFonts w:ascii="Arial" w:hAnsi="Arial" w:cs="Arial"/>
                <w:sz w:val="18"/>
                <w:szCs w:val="18"/>
              </w:rPr>
              <w:t>Alberta Zone Only</w:t>
            </w:r>
          </w:p>
        </w:tc>
        <w:tc>
          <w:tcPr>
            <w:tcW w:w="2634" w:type="dxa"/>
            <w:tcBorders>
              <w:bottom w:val="single" w:sz="4" w:space="0" w:color="auto"/>
            </w:tcBorders>
            <w:shd w:val="clear" w:color="auto" w:fill="92D050"/>
          </w:tcPr>
          <w:p w14:paraId="41FC7CD1" w14:textId="77777777" w:rsidR="007D46CE" w:rsidRPr="004132E9" w:rsidRDefault="007D46CE" w:rsidP="007D46CE">
            <w:pPr>
              <w:spacing w:after="0" w:line="240" w:lineRule="auto"/>
              <w:jc w:val="center"/>
              <w:rPr>
                <w:rFonts w:ascii="Arial" w:hAnsi="Arial" w:cs="Arial"/>
                <w:sz w:val="18"/>
                <w:szCs w:val="18"/>
              </w:rPr>
            </w:pPr>
            <w:r w:rsidRPr="004132E9">
              <w:rPr>
                <w:rFonts w:ascii="Arial" w:hAnsi="Arial" w:cs="Arial"/>
                <w:sz w:val="18"/>
                <w:szCs w:val="18"/>
              </w:rPr>
              <w:t>Alberta Zone</w:t>
            </w:r>
          </w:p>
        </w:tc>
        <w:tc>
          <w:tcPr>
            <w:tcW w:w="2776" w:type="dxa"/>
            <w:tcBorders>
              <w:right w:val="single" w:sz="4" w:space="0" w:color="auto"/>
            </w:tcBorders>
            <w:shd w:val="clear" w:color="auto" w:fill="92D050"/>
          </w:tcPr>
          <w:p w14:paraId="0E4D2F73" w14:textId="77777777" w:rsidR="007D46CE" w:rsidRPr="004132E9" w:rsidRDefault="007D46CE" w:rsidP="007D46CE">
            <w:pPr>
              <w:spacing w:after="0" w:line="240" w:lineRule="auto"/>
              <w:jc w:val="center"/>
              <w:rPr>
                <w:rFonts w:ascii="Arial" w:hAnsi="Arial" w:cs="Arial"/>
                <w:sz w:val="18"/>
                <w:szCs w:val="18"/>
              </w:rPr>
            </w:pPr>
            <w:r w:rsidRPr="004132E9">
              <w:rPr>
                <w:rFonts w:ascii="Arial" w:hAnsi="Arial" w:cs="Arial"/>
                <w:sz w:val="18"/>
                <w:szCs w:val="18"/>
              </w:rPr>
              <w:t>All TCS Zones</w:t>
            </w:r>
          </w:p>
        </w:tc>
      </w:tr>
      <w:tr w:rsidR="007D46CE" w:rsidRPr="004132E9" w14:paraId="16AD82D8" w14:textId="77777777" w:rsidTr="007A5440">
        <w:trPr>
          <w:jc w:val="center"/>
        </w:trPr>
        <w:tc>
          <w:tcPr>
            <w:tcW w:w="2564" w:type="dxa"/>
            <w:tcBorders>
              <w:top w:val="nil"/>
              <w:left w:val="nil"/>
              <w:bottom w:val="nil"/>
              <w:right w:val="single" w:sz="4" w:space="0" w:color="auto"/>
            </w:tcBorders>
            <w:shd w:val="clear" w:color="auto" w:fill="auto"/>
          </w:tcPr>
          <w:p w14:paraId="31551FE7" w14:textId="77777777" w:rsidR="007D46CE" w:rsidRPr="004132E9" w:rsidRDefault="007D46CE" w:rsidP="007D46CE">
            <w:pPr>
              <w:spacing w:after="0" w:line="240" w:lineRule="auto"/>
              <w:jc w:val="center"/>
              <w:rPr>
                <w:rFonts w:ascii="Arial" w:hAnsi="Arial" w:cs="Arial"/>
                <w:sz w:val="18"/>
                <w:szCs w:val="18"/>
              </w:rPr>
            </w:pPr>
          </w:p>
        </w:tc>
        <w:tc>
          <w:tcPr>
            <w:tcW w:w="2634" w:type="dxa"/>
            <w:tcBorders>
              <w:top w:val="single" w:sz="4" w:space="0" w:color="auto"/>
              <w:left w:val="single" w:sz="4" w:space="0" w:color="auto"/>
              <w:bottom w:val="single" w:sz="4" w:space="0" w:color="auto"/>
            </w:tcBorders>
            <w:shd w:val="clear" w:color="auto" w:fill="FFFFFF" w:themeFill="background1"/>
          </w:tcPr>
          <w:p w14:paraId="29B5ABEC" w14:textId="77777777" w:rsidR="007D46CE" w:rsidRPr="004132E9" w:rsidRDefault="007D46CE" w:rsidP="007D46CE">
            <w:pPr>
              <w:spacing w:after="0" w:line="240" w:lineRule="auto"/>
              <w:jc w:val="center"/>
              <w:rPr>
                <w:rFonts w:ascii="Arial" w:hAnsi="Arial" w:cs="Arial"/>
                <w:sz w:val="18"/>
                <w:szCs w:val="18"/>
              </w:rPr>
            </w:pPr>
            <w:r w:rsidRPr="004132E9">
              <w:rPr>
                <w:rFonts w:ascii="Arial" w:hAnsi="Arial" w:cs="Arial"/>
                <w:sz w:val="18"/>
                <w:szCs w:val="18"/>
              </w:rPr>
              <w:t>+</w:t>
            </w:r>
          </w:p>
        </w:tc>
        <w:tc>
          <w:tcPr>
            <w:tcW w:w="2776" w:type="dxa"/>
            <w:tcBorders>
              <w:bottom w:val="single" w:sz="4" w:space="0" w:color="auto"/>
              <w:right w:val="single" w:sz="4" w:space="0" w:color="auto"/>
            </w:tcBorders>
            <w:shd w:val="clear" w:color="auto" w:fill="FFFFFF" w:themeFill="background1"/>
          </w:tcPr>
          <w:p w14:paraId="39914FC1" w14:textId="7EA09667" w:rsidR="007D46CE" w:rsidRPr="004132E9" w:rsidRDefault="007D46CE" w:rsidP="007D46CE">
            <w:pPr>
              <w:spacing w:after="0" w:line="240" w:lineRule="auto"/>
              <w:jc w:val="center"/>
              <w:rPr>
                <w:rFonts w:ascii="Arial" w:hAnsi="Arial" w:cs="Arial"/>
                <w:sz w:val="18"/>
                <w:szCs w:val="18"/>
              </w:rPr>
            </w:pPr>
            <w:r w:rsidRPr="004132E9">
              <w:rPr>
                <w:rFonts w:ascii="Arial" w:hAnsi="Arial" w:cs="Arial"/>
                <w:sz w:val="18"/>
                <w:szCs w:val="18"/>
              </w:rPr>
              <w:t>- Application</w:t>
            </w:r>
            <w:r w:rsidR="007A5440" w:rsidRPr="004132E9">
              <w:rPr>
                <w:rFonts w:ascii="Arial" w:hAnsi="Arial" w:cs="Arial"/>
                <w:sz w:val="18"/>
                <w:szCs w:val="18"/>
              </w:rPr>
              <w:t xml:space="preserve"> and Audition</w:t>
            </w:r>
          </w:p>
        </w:tc>
      </w:tr>
      <w:tr w:rsidR="007A5440" w:rsidRPr="004132E9" w14:paraId="530D469C" w14:textId="77777777" w:rsidTr="00261E89">
        <w:trPr>
          <w:gridAfter w:val="1"/>
          <w:wAfter w:w="2776" w:type="dxa"/>
          <w:jc w:val="center"/>
        </w:trPr>
        <w:tc>
          <w:tcPr>
            <w:tcW w:w="2564" w:type="dxa"/>
            <w:tcBorders>
              <w:top w:val="nil"/>
              <w:left w:val="nil"/>
              <w:bottom w:val="nil"/>
              <w:right w:val="single" w:sz="4" w:space="0" w:color="auto"/>
            </w:tcBorders>
            <w:shd w:val="clear" w:color="auto" w:fill="auto"/>
          </w:tcPr>
          <w:p w14:paraId="1981693E" w14:textId="77777777" w:rsidR="007A5440" w:rsidRPr="004132E9" w:rsidRDefault="007A5440" w:rsidP="007D46CE">
            <w:pPr>
              <w:spacing w:after="0" w:line="240" w:lineRule="auto"/>
              <w:jc w:val="center"/>
              <w:rPr>
                <w:rFonts w:ascii="Arial" w:hAnsi="Arial" w:cs="Arial"/>
                <w:sz w:val="18"/>
                <w:szCs w:val="18"/>
              </w:rPr>
            </w:pPr>
          </w:p>
        </w:tc>
        <w:tc>
          <w:tcPr>
            <w:tcW w:w="2634" w:type="dxa"/>
            <w:tcBorders>
              <w:top w:val="single" w:sz="4" w:space="0" w:color="auto"/>
              <w:left w:val="single" w:sz="4" w:space="0" w:color="auto"/>
            </w:tcBorders>
            <w:shd w:val="pct15" w:color="auto" w:fill="FFFFFF" w:themeFill="background1"/>
          </w:tcPr>
          <w:p w14:paraId="14AF4206" w14:textId="77777777" w:rsidR="007A5440" w:rsidRPr="004132E9" w:rsidRDefault="007A5440" w:rsidP="007D46CE">
            <w:pPr>
              <w:spacing w:after="0" w:line="240" w:lineRule="auto"/>
              <w:jc w:val="center"/>
              <w:rPr>
                <w:rFonts w:ascii="Arial" w:hAnsi="Arial" w:cs="Arial"/>
                <w:sz w:val="18"/>
                <w:szCs w:val="18"/>
              </w:rPr>
            </w:pPr>
            <w:r w:rsidRPr="004132E9">
              <w:rPr>
                <w:rFonts w:ascii="Arial" w:hAnsi="Arial" w:cs="Arial"/>
                <w:sz w:val="18"/>
                <w:szCs w:val="18"/>
              </w:rPr>
              <w:t>Other TCS Zones</w:t>
            </w:r>
          </w:p>
        </w:tc>
      </w:tr>
      <w:tr w:rsidR="007A5440" w:rsidRPr="004132E9" w14:paraId="37EC3331" w14:textId="77777777" w:rsidTr="00261E89">
        <w:trPr>
          <w:gridAfter w:val="1"/>
          <w:wAfter w:w="2776" w:type="dxa"/>
          <w:jc w:val="center"/>
        </w:trPr>
        <w:tc>
          <w:tcPr>
            <w:tcW w:w="2564" w:type="dxa"/>
            <w:tcBorders>
              <w:top w:val="nil"/>
              <w:left w:val="nil"/>
              <w:bottom w:val="nil"/>
              <w:right w:val="single" w:sz="4" w:space="0" w:color="auto"/>
            </w:tcBorders>
          </w:tcPr>
          <w:p w14:paraId="3F5A9E8C" w14:textId="77777777" w:rsidR="007A5440" w:rsidRPr="004132E9" w:rsidRDefault="007A5440" w:rsidP="007D46CE">
            <w:pPr>
              <w:spacing w:after="0" w:line="240" w:lineRule="auto"/>
              <w:jc w:val="center"/>
              <w:rPr>
                <w:rFonts w:ascii="Arial" w:hAnsi="Arial" w:cs="Arial"/>
                <w:sz w:val="18"/>
                <w:szCs w:val="18"/>
              </w:rPr>
            </w:pPr>
          </w:p>
        </w:tc>
        <w:tc>
          <w:tcPr>
            <w:tcW w:w="2634" w:type="dxa"/>
            <w:tcBorders>
              <w:left w:val="single" w:sz="4" w:space="0" w:color="auto"/>
            </w:tcBorders>
          </w:tcPr>
          <w:p w14:paraId="12812C77" w14:textId="148C86FA" w:rsidR="007A5440" w:rsidRPr="004132E9" w:rsidRDefault="007A5440" w:rsidP="007D46CE">
            <w:pPr>
              <w:spacing w:after="0" w:line="240" w:lineRule="auto"/>
              <w:jc w:val="center"/>
              <w:rPr>
                <w:rFonts w:ascii="Arial" w:hAnsi="Arial" w:cs="Arial"/>
                <w:sz w:val="18"/>
                <w:szCs w:val="18"/>
              </w:rPr>
            </w:pPr>
            <w:r w:rsidRPr="004132E9">
              <w:rPr>
                <w:rFonts w:ascii="Arial" w:hAnsi="Arial" w:cs="Arial"/>
                <w:sz w:val="18"/>
                <w:szCs w:val="18"/>
              </w:rPr>
              <w:t>- Application and Audition</w:t>
            </w:r>
          </w:p>
        </w:tc>
      </w:tr>
    </w:tbl>
    <w:p w14:paraId="600D8FE4" w14:textId="77777777" w:rsidR="007A5440" w:rsidRDefault="007A5440" w:rsidP="007D46CE">
      <w:pPr>
        <w:rPr>
          <w:rFonts w:ascii="Arial" w:hAnsi="Arial" w:cs="Arial"/>
          <w:b/>
          <w:sz w:val="18"/>
          <w:szCs w:val="18"/>
        </w:rPr>
      </w:pPr>
    </w:p>
    <w:p w14:paraId="7EE2DB3B" w14:textId="77777777" w:rsidR="007D46CE" w:rsidRPr="00CD2782" w:rsidRDefault="007D46CE" w:rsidP="007D46CE">
      <w:pPr>
        <w:rPr>
          <w:rFonts w:ascii="Arial" w:hAnsi="Arial" w:cs="Arial"/>
          <w:b/>
          <w:sz w:val="18"/>
          <w:szCs w:val="18"/>
        </w:rPr>
      </w:pPr>
      <w:r w:rsidRPr="00CD2782">
        <w:rPr>
          <w:rFonts w:ascii="Arial" w:hAnsi="Arial" w:cs="Arial"/>
          <w:b/>
          <w:sz w:val="18"/>
          <w:szCs w:val="18"/>
        </w:rPr>
        <w:t>D.</w:t>
      </w:r>
      <w:r w:rsidRPr="00CD2782">
        <w:rPr>
          <w:rFonts w:ascii="Arial" w:hAnsi="Arial" w:cs="Arial"/>
          <w:b/>
          <w:sz w:val="18"/>
          <w:szCs w:val="18"/>
        </w:rPr>
        <w:tab/>
        <w:t>Application Process</w:t>
      </w:r>
    </w:p>
    <w:p w14:paraId="3FDD147A" w14:textId="5D036F21" w:rsidR="007D46CE" w:rsidRDefault="00176EBB" w:rsidP="002A43A8">
      <w:pPr>
        <w:ind w:left="630" w:hanging="270"/>
        <w:rPr>
          <w:rFonts w:ascii="Arial" w:hAnsi="Arial" w:cs="Arial"/>
          <w:sz w:val="18"/>
          <w:szCs w:val="18"/>
        </w:rPr>
      </w:pPr>
      <w:r w:rsidRPr="007A5440">
        <w:rPr>
          <w:rFonts w:ascii="Arial" w:hAnsi="Arial" w:cs="Arial"/>
          <w:sz w:val="18"/>
          <w:szCs w:val="18"/>
        </w:rPr>
        <w:t xml:space="preserve">1.  A </w:t>
      </w:r>
      <w:r w:rsidR="007D46CE" w:rsidRPr="007A5440">
        <w:rPr>
          <w:rFonts w:ascii="Arial" w:hAnsi="Arial" w:cs="Arial"/>
          <w:sz w:val="18"/>
          <w:szCs w:val="18"/>
        </w:rPr>
        <w:t xml:space="preserve">Completed </w:t>
      </w:r>
      <w:r w:rsidR="0012328E" w:rsidRPr="007A5440">
        <w:rPr>
          <w:rFonts w:ascii="Arial" w:hAnsi="Arial" w:cs="Arial"/>
          <w:sz w:val="18"/>
          <w:szCs w:val="18"/>
        </w:rPr>
        <w:t xml:space="preserve">application </w:t>
      </w:r>
      <w:r w:rsidR="007D46CE" w:rsidRPr="007A5440">
        <w:rPr>
          <w:rFonts w:ascii="Arial" w:hAnsi="Arial" w:cs="Arial"/>
          <w:sz w:val="18"/>
          <w:szCs w:val="18"/>
        </w:rPr>
        <w:t>include</w:t>
      </w:r>
      <w:r w:rsidRPr="007A5440">
        <w:rPr>
          <w:rFonts w:ascii="Arial" w:hAnsi="Arial" w:cs="Arial"/>
          <w:sz w:val="18"/>
          <w:szCs w:val="18"/>
        </w:rPr>
        <w:t>s</w:t>
      </w:r>
      <w:r w:rsidR="007D46CE" w:rsidRPr="007A5440">
        <w:rPr>
          <w:rFonts w:ascii="Arial" w:hAnsi="Arial" w:cs="Arial"/>
          <w:sz w:val="18"/>
          <w:szCs w:val="18"/>
        </w:rPr>
        <w:t xml:space="preserve"> meeting deadlines for </w:t>
      </w:r>
      <w:r w:rsidR="0012328E" w:rsidRPr="007A5440">
        <w:rPr>
          <w:rFonts w:ascii="Arial" w:hAnsi="Arial" w:cs="Arial"/>
          <w:sz w:val="18"/>
          <w:szCs w:val="18"/>
        </w:rPr>
        <w:t>registration, auditions</w:t>
      </w:r>
      <w:r w:rsidRPr="007A5440">
        <w:rPr>
          <w:rFonts w:ascii="Arial" w:hAnsi="Arial" w:cs="Arial"/>
          <w:sz w:val="18"/>
          <w:szCs w:val="18"/>
        </w:rPr>
        <w:t>,</w:t>
      </w:r>
      <w:r w:rsidR="0012328E" w:rsidRPr="007A5440">
        <w:rPr>
          <w:rFonts w:ascii="Arial" w:hAnsi="Arial" w:cs="Arial"/>
          <w:sz w:val="18"/>
          <w:szCs w:val="18"/>
        </w:rPr>
        <w:t xml:space="preserve"> </w:t>
      </w:r>
      <w:r w:rsidR="007D46CE" w:rsidRPr="007A5440">
        <w:rPr>
          <w:rFonts w:ascii="Arial" w:hAnsi="Arial" w:cs="Arial"/>
          <w:sz w:val="18"/>
          <w:szCs w:val="18"/>
        </w:rPr>
        <w:t>and letters of intent for acceptance</w:t>
      </w:r>
      <w:r w:rsidR="0042428F" w:rsidRPr="007A5440">
        <w:rPr>
          <w:rFonts w:ascii="Arial" w:hAnsi="Arial" w:cs="Arial"/>
          <w:sz w:val="18"/>
          <w:szCs w:val="18"/>
        </w:rPr>
        <w:t>.</w:t>
      </w:r>
    </w:p>
    <w:p w14:paraId="67CB1DED" w14:textId="77777777" w:rsidR="002A43A8" w:rsidRDefault="002A43A8" w:rsidP="002A43A8">
      <w:pPr>
        <w:ind w:left="630" w:hanging="270"/>
        <w:rPr>
          <w:rFonts w:ascii="Arial" w:hAnsi="Arial" w:cs="Arial"/>
          <w:sz w:val="18"/>
          <w:szCs w:val="18"/>
        </w:rPr>
      </w:pPr>
    </w:p>
    <w:p w14:paraId="7647FE3D" w14:textId="77777777" w:rsidR="002A43A8" w:rsidRDefault="002A43A8" w:rsidP="002A43A8">
      <w:pPr>
        <w:ind w:left="630" w:hanging="270"/>
        <w:rPr>
          <w:rFonts w:ascii="Arial" w:hAnsi="Arial" w:cs="Arial"/>
          <w:sz w:val="18"/>
          <w:szCs w:val="18"/>
        </w:rPr>
      </w:pPr>
    </w:p>
    <w:p w14:paraId="42F14EA4" w14:textId="77777777" w:rsidR="002A43A8" w:rsidRPr="002A43A8" w:rsidRDefault="002A43A8" w:rsidP="002A43A8">
      <w:pPr>
        <w:ind w:left="630" w:hanging="270"/>
        <w:rPr>
          <w:rFonts w:ascii="Arial" w:hAnsi="Arial" w:cs="Arial"/>
          <w:sz w:val="18"/>
          <w:szCs w:val="18"/>
        </w:rPr>
      </w:pPr>
    </w:p>
    <w:p w14:paraId="1F675095" w14:textId="77777777" w:rsidR="007D46CE" w:rsidRPr="00CD2782" w:rsidRDefault="007D46CE" w:rsidP="007D46CE">
      <w:pPr>
        <w:rPr>
          <w:rFonts w:ascii="Arial" w:hAnsi="Arial" w:cs="Arial"/>
          <w:b/>
          <w:sz w:val="18"/>
          <w:szCs w:val="18"/>
        </w:rPr>
      </w:pPr>
      <w:r w:rsidRPr="00CD2782">
        <w:rPr>
          <w:rFonts w:ascii="Arial" w:hAnsi="Arial" w:cs="Arial"/>
          <w:b/>
          <w:sz w:val="18"/>
          <w:szCs w:val="18"/>
        </w:rPr>
        <w:lastRenderedPageBreak/>
        <w:t>E.</w:t>
      </w:r>
      <w:r w:rsidRPr="00CD2782">
        <w:rPr>
          <w:rFonts w:ascii="Arial" w:hAnsi="Arial" w:cs="Arial"/>
          <w:b/>
          <w:sz w:val="18"/>
          <w:szCs w:val="18"/>
        </w:rPr>
        <w:tab/>
        <w:t>Selection Process</w:t>
      </w:r>
    </w:p>
    <w:p w14:paraId="598B29D0" w14:textId="77777777" w:rsidR="007D46CE" w:rsidRPr="00CD2782" w:rsidRDefault="007D46CE" w:rsidP="004D5F31">
      <w:pPr>
        <w:pStyle w:val="ListParagraph"/>
        <w:numPr>
          <w:ilvl w:val="0"/>
          <w:numId w:val="8"/>
        </w:numPr>
        <w:ind w:left="720"/>
        <w:rPr>
          <w:rFonts w:ascii="Arial" w:hAnsi="Arial" w:cs="Arial"/>
          <w:sz w:val="18"/>
          <w:szCs w:val="18"/>
        </w:rPr>
      </w:pPr>
      <w:r w:rsidRPr="00CD2782">
        <w:rPr>
          <w:rFonts w:ascii="Arial" w:hAnsi="Arial" w:cs="Arial"/>
          <w:sz w:val="18"/>
          <w:szCs w:val="18"/>
        </w:rPr>
        <w:t xml:space="preserve">Following the review of applications, student auditions will be scheduled as early as February. </w:t>
      </w:r>
    </w:p>
    <w:p w14:paraId="4ACFE78E" w14:textId="3EBE4DD1" w:rsidR="007D46CE" w:rsidRPr="00CD2782" w:rsidRDefault="007D46CE" w:rsidP="004D5F31">
      <w:pPr>
        <w:pStyle w:val="ListParagraph"/>
        <w:numPr>
          <w:ilvl w:val="0"/>
          <w:numId w:val="8"/>
        </w:numPr>
        <w:ind w:left="720"/>
        <w:rPr>
          <w:rFonts w:ascii="Arial" w:hAnsi="Arial" w:cs="Arial"/>
          <w:sz w:val="18"/>
          <w:szCs w:val="18"/>
        </w:rPr>
      </w:pPr>
      <w:r w:rsidRPr="00CD2782">
        <w:rPr>
          <w:rFonts w:ascii="Arial" w:hAnsi="Arial" w:cs="Arial"/>
          <w:sz w:val="18"/>
          <w:szCs w:val="18"/>
        </w:rPr>
        <w:t>Letters of intent t</w:t>
      </w:r>
      <w:r w:rsidR="00454E9B" w:rsidRPr="00CD2782">
        <w:rPr>
          <w:rFonts w:ascii="Arial" w:hAnsi="Arial" w:cs="Arial"/>
          <w:sz w:val="18"/>
          <w:szCs w:val="18"/>
        </w:rPr>
        <w:t>o enroll must be returned to</w:t>
      </w:r>
      <w:r w:rsidRPr="00CD2782">
        <w:rPr>
          <w:rFonts w:ascii="Arial" w:hAnsi="Arial" w:cs="Arial"/>
          <w:sz w:val="18"/>
          <w:szCs w:val="18"/>
        </w:rPr>
        <w:t xml:space="preserve"> The Alberta School of Performing Arts no later than the time specified in the acceptance letter.</w:t>
      </w:r>
    </w:p>
    <w:p w14:paraId="24F30802" w14:textId="77777777" w:rsidR="007D46CE" w:rsidRPr="00CD2782" w:rsidRDefault="007D46CE" w:rsidP="004D5F31">
      <w:pPr>
        <w:pStyle w:val="ListParagraph"/>
        <w:numPr>
          <w:ilvl w:val="0"/>
          <w:numId w:val="8"/>
        </w:numPr>
        <w:ind w:left="720"/>
        <w:rPr>
          <w:rFonts w:ascii="Arial" w:hAnsi="Arial" w:cs="Arial"/>
          <w:sz w:val="18"/>
          <w:szCs w:val="18"/>
        </w:rPr>
      </w:pPr>
      <w:r w:rsidRPr="00CD2782">
        <w:rPr>
          <w:rFonts w:ascii="Arial" w:hAnsi="Arial" w:cs="Arial"/>
          <w:sz w:val="18"/>
          <w:szCs w:val="18"/>
        </w:rPr>
        <w:t>Failure to respond to an offer of acceptance by the specified timeframe will render the outcome as a parent/legal guardian decline.</w:t>
      </w:r>
    </w:p>
    <w:p w14:paraId="1A86EAE7" w14:textId="3E62B362" w:rsidR="007D46CE" w:rsidRPr="00CD2782" w:rsidRDefault="007D46CE" w:rsidP="004D5F31">
      <w:pPr>
        <w:pStyle w:val="ListParagraph"/>
        <w:numPr>
          <w:ilvl w:val="0"/>
          <w:numId w:val="8"/>
        </w:numPr>
        <w:ind w:left="720"/>
        <w:rPr>
          <w:rFonts w:ascii="Arial" w:hAnsi="Arial" w:cs="Arial"/>
          <w:sz w:val="18"/>
          <w:szCs w:val="18"/>
        </w:rPr>
      </w:pPr>
      <w:r w:rsidRPr="00CD2782">
        <w:rPr>
          <w:rFonts w:ascii="Arial" w:hAnsi="Arial" w:cs="Arial"/>
          <w:sz w:val="18"/>
          <w:szCs w:val="18"/>
        </w:rPr>
        <w:t xml:space="preserve">K – 5 children of staff employed at the school will be accepted pursuant to board policy. Children of staff grades 6 – 8 will be considered with audition. </w:t>
      </w:r>
    </w:p>
    <w:p w14:paraId="44EE5FE8" w14:textId="709E7648" w:rsidR="007D46CE" w:rsidRPr="00CD2782" w:rsidRDefault="007D46CE" w:rsidP="004D5F31">
      <w:pPr>
        <w:pStyle w:val="ListParagraph"/>
        <w:numPr>
          <w:ilvl w:val="0"/>
          <w:numId w:val="8"/>
        </w:numPr>
        <w:ind w:left="720"/>
        <w:rPr>
          <w:rFonts w:ascii="Arial" w:hAnsi="Arial" w:cs="Arial"/>
          <w:sz w:val="18"/>
          <w:szCs w:val="18"/>
        </w:rPr>
      </w:pPr>
      <w:r w:rsidRPr="00CD2782">
        <w:rPr>
          <w:rFonts w:ascii="Arial" w:hAnsi="Arial" w:cs="Arial"/>
          <w:sz w:val="18"/>
          <w:szCs w:val="18"/>
        </w:rPr>
        <w:t xml:space="preserve">Eligibility will be determined by such factors as </w:t>
      </w:r>
      <w:r w:rsidR="000D5FD0" w:rsidRPr="002A43A8">
        <w:rPr>
          <w:rFonts w:ascii="Arial" w:hAnsi="Arial" w:cs="Arial"/>
          <w:sz w:val="18"/>
          <w:szCs w:val="18"/>
        </w:rPr>
        <w:t>auditions,</w:t>
      </w:r>
      <w:r w:rsidR="000D5FD0" w:rsidRPr="00CD2782">
        <w:rPr>
          <w:rFonts w:ascii="Arial" w:hAnsi="Arial" w:cs="Arial"/>
          <w:color w:val="FF0000"/>
          <w:sz w:val="18"/>
          <w:szCs w:val="18"/>
        </w:rPr>
        <w:t xml:space="preserve"> </w:t>
      </w:r>
      <w:r w:rsidRPr="00CD2782">
        <w:rPr>
          <w:rFonts w:ascii="Arial" w:hAnsi="Arial" w:cs="Arial"/>
          <w:sz w:val="18"/>
          <w:szCs w:val="18"/>
        </w:rPr>
        <w:t xml:space="preserve">artistic potential, skill, talent, interest, conduct and attendance.  </w:t>
      </w:r>
    </w:p>
    <w:p w14:paraId="07E225C5" w14:textId="77777777" w:rsidR="007D46CE" w:rsidRPr="00CD2782" w:rsidRDefault="007D46CE" w:rsidP="007D46CE">
      <w:pPr>
        <w:rPr>
          <w:rFonts w:ascii="Arial" w:hAnsi="Arial" w:cs="Arial"/>
          <w:b/>
          <w:sz w:val="18"/>
          <w:szCs w:val="18"/>
        </w:rPr>
      </w:pPr>
      <w:r w:rsidRPr="00CD2782">
        <w:rPr>
          <w:rFonts w:ascii="Arial" w:hAnsi="Arial" w:cs="Arial"/>
          <w:b/>
          <w:sz w:val="18"/>
          <w:szCs w:val="18"/>
        </w:rPr>
        <w:t>F.</w:t>
      </w:r>
      <w:r w:rsidRPr="00CD2782">
        <w:rPr>
          <w:rFonts w:ascii="Arial" w:hAnsi="Arial" w:cs="Arial"/>
          <w:b/>
          <w:sz w:val="18"/>
          <w:szCs w:val="18"/>
        </w:rPr>
        <w:tab/>
        <w:t>Enrollment</w:t>
      </w:r>
    </w:p>
    <w:p w14:paraId="09CFABEB" w14:textId="77777777" w:rsidR="007D46CE" w:rsidRPr="00CD2782" w:rsidRDefault="007D46CE" w:rsidP="004D5F31">
      <w:pPr>
        <w:pStyle w:val="ListParagraph"/>
        <w:numPr>
          <w:ilvl w:val="0"/>
          <w:numId w:val="9"/>
        </w:numPr>
        <w:ind w:left="720"/>
        <w:rPr>
          <w:rFonts w:ascii="Arial" w:hAnsi="Arial" w:cs="Arial"/>
          <w:sz w:val="18"/>
          <w:szCs w:val="18"/>
        </w:rPr>
      </w:pPr>
      <w:r w:rsidRPr="00CD2782">
        <w:rPr>
          <w:rFonts w:ascii="Arial" w:hAnsi="Arial" w:cs="Arial"/>
          <w:sz w:val="18"/>
          <w:szCs w:val="18"/>
        </w:rPr>
        <w:t xml:space="preserve">Once students are approved and accept a placement at The Alberta School of Performing Arts, they should remain in the school for the entire school year. Transferring back to the zoned school may be done through the hardship transfer request pursuant to board policy. </w:t>
      </w:r>
    </w:p>
    <w:p w14:paraId="6B6A5684" w14:textId="5CD3483A" w:rsidR="00E9167B" w:rsidRPr="00E17A69" w:rsidRDefault="009912B2" w:rsidP="004D5F31">
      <w:pPr>
        <w:pStyle w:val="ListParagraph"/>
        <w:numPr>
          <w:ilvl w:val="0"/>
          <w:numId w:val="9"/>
        </w:numPr>
        <w:ind w:left="720"/>
        <w:rPr>
          <w:rFonts w:ascii="Arial" w:hAnsi="Arial" w:cs="Arial"/>
          <w:sz w:val="18"/>
          <w:szCs w:val="18"/>
        </w:rPr>
      </w:pPr>
      <w:r w:rsidRPr="00E17A69">
        <w:rPr>
          <w:rFonts w:ascii="Arial" w:hAnsi="Arial" w:cs="Arial"/>
          <w:sz w:val="18"/>
          <w:szCs w:val="18"/>
        </w:rPr>
        <w:t>8</w:t>
      </w:r>
      <w:r w:rsidRPr="00E17A69">
        <w:rPr>
          <w:rFonts w:ascii="Arial" w:hAnsi="Arial" w:cs="Arial"/>
          <w:sz w:val="18"/>
          <w:szCs w:val="18"/>
          <w:vertAlign w:val="superscript"/>
        </w:rPr>
        <w:t>th</w:t>
      </w:r>
      <w:r w:rsidRPr="00E17A69">
        <w:rPr>
          <w:rFonts w:ascii="Arial" w:hAnsi="Arial" w:cs="Arial"/>
          <w:sz w:val="18"/>
          <w:szCs w:val="18"/>
        </w:rPr>
        <w:t xml:space="preserve"> grade students currently attending TASPA will complete a commitment letter regarding their decision to or not to attend Tuscaloosa Fine Arts Academy (TFAA) </w:t>
      </w:r>
      <w:r w:rsidR="006D0A2C" w:rsidRPr="00E17A69">
        <w:rPr>
          <w:rFonts w:ascii="Arial" w:hAnsi="Arial" w:cs="Arial"/>
          <w:sz w:val="18"/>
          <w:szCs w:val="18"/>
        </w:rPr>
        <w:t xml:space="preserve">at Paul W. Bryant High School </w:t>
      </w:r>
      <w:r w:rsidRPr="00E17A69">
        <w:rPr>
          <w:rFonts w:ascii="Arial" w:hAnsi="Arial" w:cs="Arial"/>
          <w:sz w:val="18"/>
          <w:szCs w:val="18"/>
        </w:rPr>
        <w:t>for the next school year. The commitment letter must be completed and returned to the school no later than the last working day of January. 8</w:t>
      </w:r>
      <w:r w:rsidRPr="00E17A69">
        <w:rPr>
          <w:rFonts w:ascii="Arial" w:hAnsi="Arial" w:cs="Arial"/>
          <w:sz w:val="18"/>
          <w:szCs w:val="18"/>
          <w:vertAlign w:val="superscript"/>
        </w:rPr>
        <w:t>th</w:t>
      </w:r>
      <w:r w:rsidRPr="00E17A69">
        <w:rPr>
          <w:rFonts w:ascii="Arial" w:hAnsi="Arial" w:cs="Arial"/>
          <w:sz w:val="18"/>
          <w:szCs w:val="18"/>
        </w:rPr>
        <w:t xml:space="preserve"> grade TASPA students returning a commitment letter are not required to </w:t>
      </w:r>
      <w:r w:rsidR="006D0A2C" w:rsidRPr="00E17A69">
        <w:rPr>
          <w:rFonts w:ascii="Arial" w:hAnsi="Arial" w:cs="Arial"/>
          <w:sz w:val="18"/>
          <w:szCs w:val="18"/>
        </w:rPr>
        <w:t xml:space="preserve">apply or </w:t>
      </w:r>
      <w:r w:rsidRPr="00E17A69">
        <w:rPr>
          <w:rFonts w:ascii="Arial" w:hAnsi="Arial" w:cs="Arial"/>
          <w:sz w:val="18"/>
          <w:szCs w:val="18"/>
        </w:rPr>
        <w:t xml:space="preserve">audition for admission to TFAA, though a placement audition may be scheduled. </w:t>
      </w:r>
    </w:p>
    <w:p w14:paraId="2C52B915" w14:textId="11D31F74" w:rsidR="009912B2" w:rsidRPr="00E17A69" w:rsidRDefault="009912B2" w:rsidP="00E9167B">
      <w:pPr>
        <w:pStyle w:val="ListParagraph"/>
        <w:rPr>
          <w:rFonts w:ascii="Arial" w:hAnsi="Arial" w:cs="Arial"/>
          <w:b/>
          <w:sz w:val="18"/>
          <w:szCs w:val="18"/>
        </w:rPr>
      </w:pPr>
      <w:r w:rsidRPr="00E17A69">
        <w:rPr>
          <w:rFonts w:ascii="Arial" w:hAnsi="Arial" w:cs="Arial"/>
          <w:b/>
          <w:sz w:val="18"/>
          <w:szCs w:val="18"/>
        </w:rPr>
        <w:t>Note: Athletic eligibility rules apply for students from the Northridge or Central High School zones transferring to TFAA at Paul W. Bryant High School.</w:t>
      </w:r>
    </w:p>
    <w:p w14:paraId="7F03166E" w14:textId="6C95E290" w:rsidR="007D46CE" w:rsidRPr="00CD2782" w:rsidRDefault="007D46CE" w:rsidP="004D5F31">
      <w:pPr>
        <w:pStyle w:val="ListParagraph"/>
        <w:numPr>
          <w:ilvl w:val="0"/>
          <w:numId w:val="9"/>
        </w:numPr>
        <w:ind w:left="720"/>
        <w:rPr>
          <w:rFonts w:ascii="Arial" w:hAnsi="Arial" w:cs="Arial"/>
          <w:sz w:val="18"/>
          <w:szCs w:val="18"/>
        </w:rPr>
      </w:pPr>
      <w:r w:rsidRPr="00CD2782">
        <w:rPr>
          <w:rFonts w:ascii="Arial" w:hAnsi="Arial" w:cs="Arial"/>
          <w:sz w:val="18"/>
          <w:szCs w:val="18"/>
        </w:rPr>
        <w:t>Students will return to their zoned high schools for grades 9 – 12.</w:t>
      </w:r>
    </w:p>
    <w:p w14:paraId="467EE979" w14:textId="0DCFA0CD" w:rsidR="000D5D44" w:rsidRPr="00CD2782" w:rsidRDefault="000D5D44" w:rsidP="004D5F31">
      <w:pPr>
        <w:pStyle w:val="ListParagraph"/>
        <w:numPr>
          <w:ilvl w:val="0"/>
          <w:numId w:val="9"/>
        </w:numPr>
        <w:ind w:left="720"/>
        <w:rPr>
          <w:rFonts w:ascii="Arial" w:hAnsi="Arial" w:cs="Arial"/>
          <w:sz w:val="18"/>
          <w:szCs w:val="18"/>
        </w:rPr>
      </w:pPr>
      <w:r w:rsidRPr="00CD2782">
        <w:rPr>
          <w:rFonts w:ascii="Arial" w:hAnsi="Arial" w:cs="Arial"/>
          <w:sz w:val="18"/>
          <w:szCs w:val="18"/>
        </w:rPr>
        <w:t>Note: There is no exit procedure for the school to remove a student.</w:t>
      </w:r>
      <w:bookmarkStart w:id="0" w:name="_GoBack"/>
      <w:bookmarkEnd w:id="0"/>
    </w:p>
    <w:p w14:paraId="014CDB12" w14:textId="086A2848" w:rsidR="00946279" w:rsidRPr="00CD2782" w:rsidRDefault="00946279" w:rsidP="004D5F31">
      <w:pPr>
        <w:pStyle w:val="ListParagraph"/>
        <w:numPr>
          <w:ilvl w:val="0"/>
          <w:numId w:val="9"/>
        </w:numPr>
        <w:ind w:left="720"/>
        <w:rPr>
          <w:rFonts w:ascii="Arial" w:hAnsi="Arial" w:cs="Arial"/>
          <w:sz w:val="18"/>
          <w:szCs w:val="18"/>
        </w:rPr>
      </w:pPr>
      <w:r w:rsidRPr="00CD2782">
        <w:rPr>
          <w:rFonts w:ascii="Arial" w:hAnsi="Arial" w:cs="Arial"/>
          <w:sz w:val="18"/>
          <w:szCs w:val="18"/>
        </w:rPr>
        <w:t>Note: Once students accept a placement and remain enrolled in The Alberta School of Performing Arts, re-application is not required</w:t>
      </w:r>
      <w:r w:rsidR="004F3C4E" w:rsidRPr="00CD2782">
        <w:rPr>
          <w:rFonts w:ascii="Arial" w:hAnsi="Arial" w:cs="Arial"/>
          <w:sz w:val="18"/>
          <w:szCs w:val="18"/>
        </w:rPr>
        <w:t xml:space="preserve"> excepting promotions from grades 5 to 6</w:t>
      </w:r>
      <w:r w:rsidRPr="00CD2782">
        <w:rPr>
          <w:rFonts w:ascii="Arial" w:hAnsi="Arial" w:cs="Arial"/>
          <w:sz w:val="18"/>
          <w:szCs w:val="18"/>
        </w:rPr>
        <w:t xml:space="preserve">. </w:t>
      </w:r>
    </w:p>
    <w:p w14:paraId="0F4CEEA0" w14:textId="0A2C9960" w:rsidR="00F949FA" w:rsidRPr="00CD2782" w:rsidRDefault="007D46CE" w:rsidP="002A43A8">
      <w:pPr>
        <w:pStyle w:val="ListParagraph"/>
        <w:rPr>
          <w:rFonts w:ascii="Arial" w:hAnsi="Arial" w:cs="Arial"/>
          <w:dstrike/>
          <w:sz w:val="18"/>
          <w:szCs w:val="18"/>
        </w:rPr>
      </w:pPr>
      <w:r w:rsidRPr="00CD2782">
        <w:rPr>
          <w:rFonts w:ascii="Arial" w:hAnsi="Arial" w:cs="Arial"/>
          <w:dstrike/>
          <w:sz w:val="18"/>
          <w:szCs w:val="18"/>
        </w:rPr>
        <w:t xml:space="preserve"> </w:t>
      </w:r>
    </w:p>
    <w:sectPr w:rsidR="00F949FA" w:rsidRPr="00CD2782" w:rsidSect="004009AA">
      <w:headerReference w:type="even" r:id="rId7"/>
      <w:headerReference w:type="default" r:id="rId8"/>
      <w:footerReference w:type="even" r:id="rId9"/>
      <w:footerReference w:type="default" r:id="rId10"/>
      <w:headerReference w:type="first" r:id="rId11"/>
      <w:footerReference w:type="first" r:id="rId12"/>
      <w:pgSz w:w="12240" w:h="15840"/>
      <w:pgMar w:top="1440" w:right="1440" w:bottom="81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478727" w14:textId="77777777" w:rsidR="00B924EA" w:rsidRDefault="00B924EA" w:rsidP="007D46CE">
      <w:pPr>
        <w:spacing w:after="0" w:line="240" w:lineRule="auto"/>
      </w:pPr>
      <w:r>
        <w:separator/>
      </w:r>
    </w:p>
  </w:endnote>
  <w:endnote w:type="continuationSeparator" w:id="0">
    <w:p w14:paraId="26F03740" w14:textId="77777777" w:rsidR="00B924EA" w:rsidRDefault="00B924EA" w:rsidP="007D46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DBB47D" w14:textId="77777777" w:rsidR="00C53E1B" w:rsidRDefault="00C53E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C13608" w14:textId="77777777" w:rsidR="00C53E1B" w:rsidRDefault="00C53E1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537A54" w14:textId="77777777" w:rsidR="00C53E1B" w:rsidRDefault="00C53E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E8CF5D" w14:textId="77777777" w:rsidR="00B924EA" w:rsidRDefault="00B924EA" w:rsidP="007D46CE">
      <w:pPr>
        <w:spacing w:after="0" w:line="240" w:lineRule="auto"/>
      </w:pPr>
      <w:r>
        <w:separator/>
      </w:r>
    </w:p>
  </w:footnote>
  <w:footnote w:type="continuationSeparator" w:id="0">
    <w:p w14:paraId="23ABF143" w14:textId="77777777" w:rsidR="00B924EA" w:rsidRDefault="00B924EA" w:rsidP="007D46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D7D0F8" w14:textId="77777777" w:rsidR="00C53E1B" w:rsidRDefault="00C53E1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1EEDF8" w14:textId="1AB3058D" w:rsidR="00261E89" w:rsidRPr="007D46CE" w:rsidRDefault="00B924EA" w:rsidP="007D46CE">
    <w:pPr>
      <w:pStyle w:val="Header"/>
      <w:jc w:val="center"/>
      <w:rPr>
        <w:rFonts w:ascii="Arial" w:hAnsi="Arial" w:cs="Arial"/>
        <w:b/>
        <w:sz w:val="28"/>
        <w:szCs w:val="28"/>
      </w:rPr>
    </w:pPr>
    <w:sdt>
      <w:sdtPr>
        <w:rPr>
          <w:rFonts w:ascii="Arial" w:hAnsi="Arial" w:cs="Arial"/>
          <w:b/>
          <w:sz w:val="28"/>
          <w:szCs w:val="28"/>
        </w:rPr>
        <w:id w:val="1279684038"/>
        <w:docPartObj>
          <w:docPartGallery w:val="Watermarks"/>
          <w:docPartUnique/>
        </w:docPartObj>
      </w:sdtPr>
      <w:sdtEndPr/>
      <w:sdtContent>
        <w:r>
          <w:rPr>
            <w:rFonts w:ascii="Arial" w:hAnsi="Arial" w:cs="Arial"/>
            <w:b/>
            <w:noProof/>
            <w:sz w:val="28"/>
            <w:szCs w:val="28"/>
          </w:rPr>
          <w:pict w14:anchorId="072BCD2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left:0;text-align:left;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261E89" w:rsidRPr="007D46CE">
      <w:rPr>
        <w:rFonts w:ascii="Arial" w:hAnsi="Arial" w:cs="Arial"/>
        <w:b/>
        <w:sz w:val="28"/>
        <w:szCs w:val="28"/>
      </w:rPr>
      <w:t>The Alberta School of Performing Arts</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1E365E" w14:textId="77777777" w:rsidR="00C53E1B" w:rsidRDefault="00C53E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8B69F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06359B2"/>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15:restartNumberingAfterBreak="0">
    <w:nsid w:val="1A112E3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F275CCA"/>
    <w:multiLevelType w:val="hybridMultilevel"/>
    <w:tmpl w:val="B9B870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9D5DF0"/>
    <w:multiLevelType w:val="hybridMultilevel"/>
    <w:tmpl w:val="2FFC3E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8F6307E"/>
    <w:multiLevelType w:val="multilevel"/>
    <w:tmpl w:val="43A47A1A"/>
    <w:lvl w:ilvl="0">
      <w:start w:val="1"/>
      <w:numFmt w:val="decimal"/>
      <w:lvlText w:val="%1."/>
      <w:lvlJc w:val="left"/>
      <w:pPr>
        <w:ind w:left="360" w:hanging="360"/>
      </w:pPr>
    </w:lvl>
    <w:lvl w:ilvl="1">
      <w:start w:val="1"/>
      <w:numFmt w:val="decimal"/>
      <w:lvlText w:val="%1.%2."/>
      <w:lvlJc w:val="left"/>
      <w:pPr>
        <w:ind w:left="1512" w:hanging="432"/>
      </w:pPr>
      <w:rPr>
        <w:rFonts w:ascii="Arial" w:hAnsi="Arial" w:cs="Arial" w:hint="default"/>
        <w:b w:val="0"/>
        <w:dstrike w:val="0"/>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00B586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5362332"/>
    <w:multiLevelType w:val="hybridMultilevel"/>
    <w:tmpl w:val="F6024A8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15:restartNumberingAfterBreak="0">
    <w:nsid w:val="4E8F0A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29A14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8AE316A"/>
    <w:multiLevelType w:val="hybridMultilevel"/>
    <w:tmpl w:val="01B82B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6845AE"/>
    <w:multiLevelType w:val="hybridMultilevel"/>
    <w:tmpl w:val="E018B5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6C53FD3"/>
    <w:multiLevelType w:val="hybridMultilevel"/>
    <w:tmpl w:val="897CC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847E8F"/>
    <w:multiLevelType w:val="hybridMultilevel"/>
    <w:tmpl w:val="0ACEC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1"/>
  </w:num>
  <w:num w:numId="3">
    <w:abstractNumId w:val="7"/>
  </w:num>
  <w:num w:numId="4">
    <w:abstractNumId w:val="12"/>
  </w:num>
  <w:num w:numId="5">
    <w:abstractNumId w:val="13"/>
  </w:num>
  <w:num w:numId="6">
    <w:abstractNumId w:val="5"/>
  </w:num>
  <w:num w:numId="7">
    <w:abstractNumId w:val="8"/>
  </w:num>
  <w:num w:numId="8">
    <w:abstractNumId w:val="0"/>
  </w:num>
  <w:num w:numId="9">
    <w:abstractNumId w:val="9"/>
  </w:num>
  <w:num w:numId="10">
    <w:abstractNumId w:val="2"/>
  </w:num>
  <w:num w:numId="11">
    <w:abstractNumId w:val="4"/>
  </w:num>
  <w:num w:numId="12">
    <w:abstractNumId w:val="10"/>
  </w:num>
  <w:num w:numId="13">
    <w:abstractNumId w:val="1"/>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6CE"/>
    <w:rsid w:val="000D5D44"/>
    <w:rsid w:val="000D5FD0"/>
    <w:rsid w:val="000E2C9E"/>
    <w:rsid w:val="0010028E"/>
    <w:rsid w:val="0012328E"/>
    <w:rsid w:val="00176EBB"/>
    <w:rsid w:val="00212064"/>
    <w:rsid w:val="0023266A"/>
    <w:rsid w:val="002473D9"/>
    <w:rsid w:val="00247C8C"/>
    <w:rsid w:val="00261E89"/>
    <w:rsid w:val="002A43A8"/>
    <w:rsid w:val="002C641D"/>
    <w:rsid w:val="002C6DCA"/>
    <w:rsid w:val="004009AA"/>
    <w:rsid w:val="004132E9"/>
    <w:rsid w:val="0042428F"/>
    <w:rsid w:val="00454E9B"/>
    <w:rsid w:val="004D5F31"/>
    <w:rsid w:val="004E3C41"/>
    <w:rsid w:val="004E3CD8"/>
    <w:rsid w:val="004F3C4E"/>
    <w:rsid w:val="004F5528"/>
    <w:rsid w:val="005656D2"/>
    <w:rsid w:val="0058624E"/>
    <w:rsid w:val="00587D49"/>
    <w:rsid w:val="005F04A8"/>
    <w:rsid w:val="0062365F"/>
    <w:rsid w:val="006860F1"/>
    <w:rsid w:val="006D0A2C"/>
    <w:rsid w:val="00751584"/>
    <w:rsid w:val="007A5440"/>
    <w:rsid w:val="007A5A6D"/>
    <w:rsid w:val="007D46CE"/>
    <w:rsid w:val="00814DD8"/>
    <w:rsid w:val="00890313"/>
    <w:rsid w:val="00946279"/>
    <w:rsid w:val="009912B2"/>
    <w:rsid w:val="00994D03"/>
    <w:rsid w:val="009A3CC8"/>
    <w:rsid w:val="009E1E19"/>
    <w:rsid w:val="00AF7038"/>
    <w:rsid w:val="00B01A48"/>
    <w:rsid w:val="00B206DE"/>
    <w:rsid w:val="00B924EA"/>
    <w:rsid w:val="00C53E1B"/>
    <w:rsid w:val="00CD2782"/>
    <w:rsid w:val="00CD7D81"/>
    <w:rsid w:val="00D20573"/>
    <w:rsid w:val="00D35207"/>
    <w:rsid w:val="00D45C25"/>
    <w:rsid w:val="00D467B5"/>
    <w:rsid w:val="00D672BC"/>
    <w:rsid w:val="00D86640"/>
    <w:rsid w:val="00E020AA"/>
    <w:rsid w:val="00E17A69"/>
    <w:rsid w:val="00E30D52"/>
    <w:rsid w:val="00E6172B"/>
    <w:rsid w:val="00E6723F"/>
    <w:rsid w:val="00E9167B"/>
    <w:rsid w:val="00EF433D"/>
    <w:rsid w:val="00F949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3B2B782"/>
  <w15:docId w15:val="{D6419D44-AD60-4554-A986-8DA793B00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46CE"/>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46CE"/>
    <w:pPr>
      <w:ind w:left="720"/>
      <w:contextualSpacing/>
    </w:pPr>
  </w:style>
  <w:style w:type="table" w:styleId="TableGrid">
    <w:name w:val="Table Grid"/>
    <w:basedOn w:val="TableNormal"/>
    <w:uiPriority w:val="59"/>
    <w:rsid w:val="007D46CE"/>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D46CE"/>
    <w:pPr>
      <w:tabs>
        <w:tab w:val="center" w:pos="4320"/>
        <w:tab w:val="right" w:pos="8640"/>
      </w:tabs>
      <w:spacing w:after="0" w:line="240" w:lineRule="auto"/>
    </w:pPr>
  </w:style>
  <w:style w:type="character" w:customStyle="1" w:styleId="HeaderChar">
    <w:name w:val="Header Char"/>
    <w:basedOn w:val="DefaultParagraphFont"/>
    <w:link w:val="Header"/>
    <w:uiPriority w:val="99"/>
    <w:rsid w:val="007D46CE"/>
    <w:rPr>
      <w:rFonts w:eastAsiaTheme="minorHAnsi"/>
      <w:sz w:val="22"/>
      <w:szCs w:val="22"/>
    </w:rPr>
  </w:style>
  <w:style w:type="paragraph" w:styleId="Footer">
    <w:name w:val="footer"/>
    <w:basedOn w:val="Normal"/>
    <w:link w:val="FooterChar"/>
    <w:uiPriority w:val="99"/>
    <w:unhideWhenUsed/>
    <w:rsid w:val="007D46CE"/>
    <w:pPr>
      <w:tabs>
        <w:tab w:val="center" w:pos="4320"/>
        <w:tab w:val="right" w:pos="8640"/>
      </w:tabs>
      <w:spacing w:after="0" w:line="240" w:lineRule="auto"/>
    </w:pPr>
  </w:style>
  <w:style w:type="character" w:customStyle="1" w:styleId="FooterChar">
    <w:name w:val="Footer Char"/>
    <w:basedOn w:val="DefaultParagraphFont"/>
    <w:link w:val="Footer"/>
    <w:uiPriority w:val="99"/>
    <w:rsid w:val="007D46CE"/>
    <w:rPr>
      <w:rFonts w:eastAsiaTheme="minorHAnsi"/>
      <w:sz w:val="22"/>
      <w:szCs w:val="22"/>
    </w:rPr>
  </w:style>
  <w:style w:type="paragraph" w:styleId="BalloonText">
    <w:name w:val="Balloon Text"/>
    <w:basedOn w:val="Normal"/>
    <w:link w:val="BalloonTextChar"/>
    <w:uiPriority w:val="99"/>
    <w:semiHidden/>
    <w:unhideWhenUsed/>
    <w:rsid w:val="0023266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266A"/>
    <w:rPr>
      <w:rFonts w:ascii="Segoe UI" w:eastAsiaTheme="minorHAns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710</Words>
  <Characters>4050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DBS JRS</dc:creator>
  <cp:keywords/>
  <dc:description/>
  <cp:lastModifiedBy>Charles Anthony</cp:lastModifiedBy>
  <cp:revision>2</cp:revision>
  <cp:lastPrinted>2016-06-02T13:45:00Z</cp:lastPrinted>
  <dcterms:created xsi:type="dcterms:W3CDTF">2019-01-03T20:13:00Z</dcterms:created>
  <dcterms:modified xsi:type="dcterms:W3CDTF">2019-01-03T20:13:00Z</dcterms:modified>
</cp:coreProperties>
</file>