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1B263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144" w:type="dxa"/>
              <w:bottom w:w="130" w:type="dxa"/>
              <w:left w:w="720" w:type="dxa"/>
              <w:right w:w="720" w:type="dxa"/>
            </w:tcMar>
          </w:tcPr>
          <w:p>
            <w:pPr>
              <w:spacing w:before="0" w:after="80"/>
              <w:jc w:val="center"/>
            </w:pPr>
            <w:r>
              <w:rPr>
                <w:rFonts w:ascii="Calibri" w:hAnsi="Calibri"/>
                <w:b/>
                <w:color w:val="FFFFFF"/>
                <w:sz w:val="48"/>
              </w:rPr>
              <w:t>VIPUL KUMAR TIWARI</w:t>
            </w: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color w:val="218BC2"/>
                <w:sz w:val="24"/>
              </w:rPr>
              <w:t>Principal Member of Technical Staff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CCDDEE"/>
                <w:sz w:val="18"/>
              </w:rPr>
              <w:t>+91-8839814859   •   er.vktcs@gmail.com   •   linkedin.com/in/vipulkumartiwari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72" w:type="dxa"/>
              <w:bottom w:w="72" w:type="dxa"/>
              <w:left w:w="720" w:type="dxa"/>
              <w:right w:w="720" w:type="dxa"/>
            </w:tcMar>
          </w:tcPr>
          <w:p>
            <w:pPr>
              <w:spacing w:before="160" w:after="40"/>
              <w:pBdr>
                <w:bottom w:val="single" w:sz="6" w:space="2" w:color="1A1A1A"/>
              </w:pBdr>
            </w:pPr>
            <w:r>
              <w:rPr>
                <w:rFonts w:ascii="Calibri" w:hAnsi="Calibri"/>
                <w:b/>
                <w:color w:val="1A1A1A"/>
                <w:sz w:val="18"/>
              </w:rPr>
              <w:t>SUMMARY</w:t>
            </w:r>
          </w:p>
          <w:p>
            <w:pPr>
              <w:spacing w:before="80" w:after="120"/>
              <w:jc w:val="left"/>
            </w:pPr>
            <w:r>
              <w:rPr>
                <w:rFonts w:ascii="Calibri" w:hAnsi="Calibri"/>
                <w:b w:val="0"/>
                <w:color w:val="1A1A1A"/>
                <w:sz w:val="18"/>
              </w:rPr>
              <w:t>Software Developer with 10+ years of experience in designing and building scalable, high-performance products. Expert in system design, problem-solving, and developing efficient, maintainable code. Extensive experience in databases and storage systems, with a strong focus on performance optimization, scalability, and reliability of data-driven applications.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W w:w="7200" w:type="dxa"/>
            <w:tcMar>
              <w:top w:w="72" w:type="dxa"/>
              <w:bottom w:w="72" w:type="dxa"/>
              <w:left w:w="720" w:type="dxa"/>
              <w:right w:w="360" w:type="dxa"/>
            </w:tcMar>
          </w:tcPr>
          <w:p>
            <w:pPr>
              <w:spacing w:before="160" w:after="40"/>
              <w:pBdr>
                <w:bottom w:val="single" w:sz="6" w:space="2" w:color="1A1A1A"/>
              </w:pBdr>
            </w:pPr>
            <w:r>
              <w:rPr>
                <w:rFonts w:ascii="Calibri" w:hAnsi="Calibri"/>
                <w:b/>
                <w:color w:val="1A1A1A"/>
                <w:sz w:val="18"/>
              </w:rPr>
              <w:t>EXPERIENCE</w:t>
            </w:r>
          </w:p>
          <w:p>
            <w:pPr>
              <w:spacing w:before="120" w:after="20"/>
            </w:pPr>
            <w:r>
              <w:rPr>
                <w:rFonts w:ascii="Calibri" w:hAnsi="Calibri"/>
                <w:b/>
                <w:color w:val="1A1A1A"/>
                <w:sz w:val="19"/>
              </w:rPr>
              <w:t>Principal Member of Technical Staff</w:t>
            </w:r>
          </w:p>
          <w:p>
            <w:pPr>
              <w:spacing w:before="0" w:after="60"/>
            </w:pPr>
            <w:r>
              <w:rPr>
                <w:rFonts w:ascii="Calibri" w:hAnsi="Calibri"/>
                <w:b/>
                <w:color w:val="606060"/>
                <w:sz w:val="16"/>
              </w:rPr>
              <w:t>Oracle</w:t>
            </w:r>
            <w:r>
              <w:rPr>
                <w:rFonts w:ascii="Calibri" w:hAnsi="Calibri"/>
                <w:b w:val="0"/>
                <w:color w:val="606060"/>
                <w:sz w:val="16"/>
              </w:rPr>
              <w:t xml:space="preserve">   02/2026 – Present   </w:t>
            </w:r>
            <w:r>
              <w:rPr>
                <w:rFonts w:ascii="Calibri" w:hAnsi="Calibri"/>
                <w:b w:val="0"/>
                <w:color w:val="606060"/>
                <w:sz w:val="16"/>
              </w:rPr>
              <w:t>Pune, India</w:t>
            </w:r>
          </w:p>
          <w:p>
            <w:pPr>
              <w:pStyle w:val="ListBullet"/>
              <w:spacing w:before="40" w:after="40"/>
              <w:ind w:left="259"/>
            </w:pPr>
            <w:r>
              <w:rPr>
                <w:rFonts w:ascii="Calibri" w:hAnsi="Calibri"/>
                <w:color w:val="1A1A1A"/>
                <w:sz w:val="17"/>
              </w:rPr>
              <w:t>Responsible for enhancing the LogMiner component in Oracle RDBMS, used in High Availability (HA) solutions and Oracle GoldenGate for database replication and migration.</w:t>
            </w:r>
          </w:p>
          <w:p>
            <w:pPr>
              <w:spacing w:before="120" w:after="20"/>
            </w:pPr>
            <w:r>
              <w:rPr>
                <w:rFonts w:ascii="Calibri" w:hAnsi="Calibri"/>
                <w:b/>
                <w:color w:val="1A1A1A"/>
                <w:sz w:val="19"/>
              </w:rPr>
              <w:t>Senior Software Developer</w:t>
            </w:r>
          </w:p>
          <w:p>
            <w:pPr>
              <w:spacing w:before="0" w:after="60"/>
            </w:pPr>
            <w:r>
              <w:rPr>
                <w:rFonts w:ascii="Calibri" w:hAnsi="Calibri"/>
                <w:b/>
                <w:color w:val="606060"/>
                <w:sz w:val="16"/>
              </w:rPr>
              <w:t>SAP Labs</w:t>
            </w:r>
            <w:r>
              <w:rPr>
                <w:rFonts w:ascii="Calibri" w:hAnsi="Calibri"/>
                <w:b w:val="0"/>
                <w:color w:val="606060"/>
                <w:sz w:val="16"/>
              </w:rPr>
              <w:t xml:space="preserve">   07/2020 – 02/2026   </w:t>
            </w:r>
            <w:r>
              <w:rPr>
                <w:rFonts w:ascii="Calibri" w:hAnsi="Calibri"/>
                <w:b w:val="0"/>
                <w:color w:val="606060"/>
                <w:sz w:val="16"/>
              </w:rPr>
              <w:t>Pune, India</w:t>
            </w:r>
          </w:p>
          <w:p>
            <w:pPr>
              <w:pStyle w:val="ListBullet"/>
              <w:spacing w:before="40" w:after="40"/>
              <w:ind w:left="259"/>
            </w:pPr>
            <w:r>
              <w:rPr>
                <w:rFonts w:ascii="Calibri" w:hAnsi="Calibri"/>
                <w:color w:val="1A1A1A"/>
                <w:sz w:val="17"/>
              </w:rPr>
              <w:t>Contributed to SAP Adaptive Server Enterprise (high-performance OLTP DB), focusing on kernel-layer enhancements and improving the Job Scheduler subsystem for better performance and reliability.</w:t>
            </w:r>
          </w:p>
          <w:p>
            <w:pPr>
              <w:pStyle w:val="ListBullet"/>
              <w:spacing w:before="40" w:after="40"/>
              <w:ind w:left="259"/>
            </w:pPr>
            <w:r>
              <w:rPr>
                <w:rFonts w:ascii="Calibri" w:hAnsi="Calibri"/>
                <w:color w:val="1A1A1A"/>
                <w:sz w:val="17"/>
              </w:rPr>
              <w:t>Handled high-priority, business-critical escalations for enterprise SAP ASE customers, leveraging strong expertise in database internals.</w:t>
            </w:r>
          </w:p>
          <w:p>
            <w:pPr>
              <w:pStyle w:val="ListBullet"/>
              <w:spacing w:before="40" w:after="40"/>
              <w:ind w:left="259"/>
            </w:pPr>
            <w:r>
              <w:rPr>
                <w:rFonts w:ascii="Calibri" w:hAnsi="Calibri"/>
                <w:color w:val="1A1A1A"/>
                <w:sz w:val="17"/>
              </w:rPr>
              <w:t>Designed and developed the Hanaservice Sync Agent, a Python-based microservice on Kubernetes, enabling reliable cross-cluster synchronization of Hanaservice Custom Resources (CRs).</w:t>
            </w:r>
          </w:p>
          <w:p>
            <w:pPr>
              <w:pStyle w:val="ListBullet"/>
              <w:spacing w:before="40" w:after="40"/>
              <w:ind w:left="259"/>
            </w:pPr>
            <w:r>
              <w:rPr>
                <w:rFonts w:ascii="Calibri" w:hAnsi="Calibri"/>
                <w:color w:val="1A1A1A"/>
                <w:sz w:val="17"/>
              </w:rPr>
              <w:t>Owned end-to-end delivery of cloud-plane services: component testing frameworks, integration/E2E test suites, observability (alerts &amp; monitoring), and customer-facing documentation.</w:t>
            </w:r>
          </w:p>
          <w:p>
            <w:pPr>
              <w:spacing w:before="120" w:after="20"/>
            </w:pPr>
            <w:r>
              <w:rPr>
                <w:rFonts w:ascii="Calibri" w:hAnsi="Calibri"/>
                <w:b/>
                <w:color w:val="1A1A1A"/>
                <w:sz w:val="19"/>
              </w:rPr>
              <w:t>Staff Software Engineer</w:t>
            </w:r>
          </w:p>
          <w:p>
            <w:pPr>
              <w:spacing w:before="0" w:after="60"/>
            </w:pPr>
            <w:r>
              <w:rPr>
                <w:rFonts w:ascii="Calibri" w:hAnsi="Calibri"/>
                <w:b/>
                <w:color w:val="606060"/>
                <w:sz w:val="16"/>
              </w:rPr>
              <w:t>Druva Data Solutions</w:t>
            </w:r>
            <w:r>
              <w:rPr>
                <w:rFonts w:ascii="Calibri" w:hAnsi="Calibri"/>
                <w:b w:val="0"/>
                <w:color w:val="606060"/>
                <w:sz w:val="16"/>
              </w:rPr>
              <w:t xml:space="preserve">   03/2018 – 07/2020   </w:t>
            </w:r>
            <w:r>
              <w:rPr>
                <w:rFonts w:ascii="Calibri" w:hAnsi="Calibri"/>
                <w:b w:val="0"/>
                <w:color w:val="606060"/>
                <w:sz w:val="16"/>
              </w:rPr>
              <w:t>Pune, India</w:t>
            </w:r>
          </w:p>
          <w:p>
            <w:pPr>
              <w:pStyle w:val="ListBullet"/>
              <w:spacing w:before="40" w:after="40"/>
              <w:ind w:left="259"/>
            </w:pPr>
            <w:r>
              <w:rPr>
                <w:rFonts w:ascii="Calibri" w:hAnsi="Calibri"/>
                <w:color w:val="1A1A1A"/>
                <w:sz w:val="17"/>
              </w:rPr>
              <w:t>Designed and built Quaere, a metadata search microservice, from scratch using AWS DynamoDB and S3, enabling efficient and reliable metadata search at scale.</w:t>
            </w:r>
          </w:p>
          <w:p>
            <w:pPr>
              <w:pStyle w:val="ListBullet"/>
              <w:spacing w:before="40" w:after="40"/>
              <w:ind w:left="259"/>
            </w:pPr>
            <w:r>
              <w:rPr>
                <w:rFonts w:ascii="Calibri" w:hAnsi="Calibri"/>
                <w:color w:val="1A1A1A"/>
                <w:sz w:val="17"/>
              </w:rPr>
              <w:t>Enhanced mstore, a mail-storage service leveraging Quaere as the underlying storage namespace provider, improving system efficiency and integration.</w:t>
            </w:r>
          </w:p>
          <w:p>
            <w:pPr>
              <w:pStyle w:val="ListBullet"/>
              <w:spacing w:before="40" w:after="40"/>
              <w:ind w:left="259"/>
            </w:pPr>
            <w:r>
              <w:rPr>
                <w:rFonts w:ascii="Calibri" w:hAnsi="Calibri"/>
                <w:color w:val="1A1A1A"/>
                <w:sz w:val="17"/>
              </w:rPr>
              <w:t>Optimized search performance and reduced COGS by improving underlying architecture and resource utilization.</w:t>
            </w:r>
          </w:p>
          <w:p>
            <w:pPr>
              <w:pStyle w:val="ListBullet"/>
              <w:spacing w:before="40" w:after="40"/>
              <w:ind w:left="259"/>
            </w:pPr>
            <w:r>
              <w:rPr>
                <w:rFonts w:ascii="Calibri" w:hAnsi="Calibri"/>
                <w:color w:val="1A1A1A"/>
                <w:sz w:val="17"/>
              </w:rPr>
              <w:t>Designed a CI system in Python/Docker enabling automated testing and seamless code integration for Quaere.</w:t>
            </w:r>
          </w:p>
          <w:p>
            <w:pPr>
              <w:spacing w:before="120" w:after="20"/>
            </w:pPr>
            <w:r>
              <w:rPr>
                <w:rFonts w:ascii="Calibri" w:hAnsi="Calibri"/>
                <w:b/>
                <w:color w:val="1A1A1A"/>
                <w:sz w:val="19"/>
              </w:rPr>
              <w:t>Software Developer</w:t>
            </w:r>
          </w:p>
          <w:p>
            <w:pPr>
              <w:spacing w:before="0" w:after="60"/>
            </w:pPr>
            <w:r>
              <w:rPr>
                <w:rFonts w:ascii="Calibri" w:hAnsi="Calibri"/>
                <w:b/>
                <w:color w:val="606060"/>
                <w:sz w:val="16"/>
              </w:rPr>
              <w:t>Amdocs DVCI</w:t>
            </w:r>
            <w:r>
              <w:rPr>
                <w:rFonts w:ascii="Calibri" w:hAnsi="Calibri"/>
                <w:b w:val="0"/>
                <w:color w:val="606060"/>
                <w:sz w:val="16"/>
              </w:rPr>
              <w:t xml:space="preserve">   09/2015 – 03/2018   </w:t>
            </w:r>
            <w:r>
              <w:rPr>
                <w:rFonts w:ascii="Calibri" w:hAnsi="Calibri"/>
                <w:b w:val="0"/>
                <w:color w:val="606060"/>
                <w:sz w:val="16"/>
              </w:rPr>
              <w:t>Pune, India</w:t>
            </w:r>
          </w:p>
          <w:p>
            <w:pPr>
              <w:pStyle w:val="ListBullet"/>
              <w:spacing w:before="40" w:after="40"/>
              <w:ind w:left="259"/>
            </w:pPr>
            <w:r>
              <w:rPr>
                <w:rFonts w:ascii="Calibri" w:hAnsi="Calibri"/>
                <w:color w:val="1A1A1A"/>
                <w:sz w:val="17"/>
              </w:rPr>
              <w:t>Full lifecycle development of Change Requests for Accounts Receivable and Billing modules for AT&amp;T Telecom.</w:t>
            </w:r>
          </w:p>
          <w:p>
            <w:pPr>
              <w:pStyle w:val="ListBullet"/>
              <w:spacing w:before="40" w:after="40"/>
              <w:ind w:left="259"/>
            </w:pPr>
            <w:r>
              <w:rPr>
                <w:rFonts w:ascii="Calibri" w:hAnsi="Calibri"/>
                <w:color w:val="1A1A1A"/>
                <w:sz w:val="17"/>
              </w:rPr>
              <w:t>Provided on-site production support in Mexico for a Revenue Recognition change request, resolving critical issues.</w:t>
            </w:r>
          </w:p>
          <w:p>
            <w:pPr>
              <w:pStyle w:val="ListBullet"/>
              <w:spacing w:before="40" w:after="40"/>
              <w:ind w:left="259"/>
            </w:pPr>
            <w:r>
              <w:rPr>
                <w:rFonts w:ascii="Calibri" w:hAnsi="Calibri"/>
                <w:color w:val="1A1A1A"/>
                <w:sz w:val="17"/>
              </w:rPr>
              <w:t>Developed solutions in the Ensemble MPS component to process Call Detail Records (CDRs) into billing/charge data.</w:t>
            </w:r>
          </w:p>
          <w:p>
            <w:pPr>
              <w:pStyle w:val="ListBullet"/>
              <w:spacing w:before="40" w:after="40"/>
              <w:ind w:left="259"/>
            </w:pPr>
            <w:r>
              <w:rPr>
                <w:rFonts w:ascii="Calibri" w:hAnsi="Calibri"/>
                <w:color w:val="1A1A1A"/>
                <w:sz w:val="17"/>
              </w:rPr>
              <w:t>Delivered multiple Change Requests for T-Mobile US as an MAF/MPS developer, owning DCUT activities end-to-end.</w:t>
            </w:r>
          </w:p>
        </w:tc>
        <w:tc>
          <w:tcPr>
            <w:tcW w:type="dxa" w:w="511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W w:w="5040" w:type="dxa"/>
            <w:tcMar>
              <w:top w:w="72" w:type="dxa"/>
              <w:bottom w:w="72" w:type="dxa"/>
              <w:left w:w="360" w:type="dxa"/>
              <w:right w:w="576" w:type="dxa"/>
            </w:tcMar>
            <w:shd w:val="clear" w:color="auto" w:fill="F2F6FA"/>
          </w:tcPr>
          <w:p>
            <w:pPr>
              <w:spacing w:before="160" w:after="40"/>
              <w:pBdr>
                <w:bottom w:val="single" w:sz="6" w:space="2" w:color="218BC2"/>
              </w:pBdr>
            </w:pPr>
            <w:r>
              <w:rPr>
                <w:rFonts w:ascii="Calibri" w:hAnsi="Calibri"/>
                <w:b/>
                <w:color w:val="218BC2"/>
                <w:sz w:val="18"/>
              </w:rPr>
              <w:t>KEY ACHIEVEMENTS</w:t>
            </w:r>
          </w:p>
          <w:p>
            <w:pPr>
              <w:spacing w:before="80" w:after="40"/>
              <w:jc w:val="left"/>
            </w:pPr>
            <w:r>
              <w:rPr>
                <w:rFonts w:ascii="Calibri" w:hAnsi="Calibri"/>
                <w:b/>
                <w:color w:val="1A1A1A"/>
                <w:sz w:val="17"/>
              </w:rPr>
              <w:t>Awards &amp; Recognition</w:t>
            </w:r>
          </w:p>
          <w:p>
            <w:pPr>
              <w:pStyle w:val="ListBullet"/>
              <w:spacing w:before="40" w:after="40"/>
              <w:ind w:left="259"/>
            </w:pPr>
            <w:r>
              <w:rPr>
                <w:rFonts w:ascii="Calibri" w:hAnsi="Calibri"/>
                <w:color w:val="1A1A1A"/>
                <w:sz w:val="17"/>
              </w:rPr>
              <w:t>Multiple on-the-spot awards from SAP ASE customers for exceptional fix delivery, responsiveness, and professionalism.</w:t>
            </w:r>
          </w:p>
          <w:p>
            <w:pPr>
              <w:pStyle w:val="ListBullet"/>
              <w:spacing w:before="40" w:after="40"/>
              <w:ind w:left="259"/>
            </w:pPr>
            <w:r>
              <w:rPr>
                <w:rFonts w:ascii="Calibri" w:hAnsi="Calibri"/>
                <w:color w:val="1A1A1A"/>
                <w:sz w:val="17"/>
              </w:rPr>
              <w:t>Outstanding Achievement Award at Druva for designing and developing Quaere.</w:t>
            </w:r>
          </w:p>
          <w:p>
            <w:pPr>
              <w:pStyle w:val="ListBullet"/>
              <w:spacing w:before="40" w:after="40"/>
              <w:ind w:left="259"/>
            </w:pPr>
            <w:r>
              <w:rPr>
                <w:rFonts w:ascii="Calibri" w:hAnsi="Calibri"/>
                <w:color w:val="1A1A1A"/>
                <w:sz w:val="17"/>
              </w:rPr>
              <w:t>All India Rank 2451 with a score of 565 in the GATE (CS).</w:t>
            </w:r>
          </w:p>
          <w:p>
            <w:pPr>
              <w:spacing w:before="160" w:after="40"/>
              <w:pBdr>
                <w:bottom w:val="single" w:sz="6" w:space="2" w:color="218BC2"/>
              </w:pBdr>
            </w:pPr>
            <w:r>
              <w:rPr>
                <w:rFonts w:ascii="Calibri" w:hAnsi="Calibri"/>
                <w:b/>
                <w:color w:val="218BC2"/>
                <w:sz w:val="18"/>
              </w:rPr>
              <w:t>SKILLS</w:t>
            </w:r>
          </w:p>
          <w:p>
            <w:pPr>
              <w:spacing w:before="60" w:after="20"/>
            </w:pPr>
            <w:r>
              <w:rPr>
                <w:rFonts w:ascii="Calibri" w:hAnsi="Calibri"/>
                <w:b/>
                <w:color w:val="218BC2"/>
                <w:sz w:val="16"/>
              </w:rPr>
              <w:t xml:space="preserve">Core:  </w:t>
            </w:r>
            <w:r>
              <w:rPr>
                <w:rFonts w:ascii="Calibri" w:hAnsi="Calibri"/>
                <w:color w:val="1A1A1A"/>
                <w:sz w:val="16"/>
              </w:rPr>
              <w:t>System Design · Databases · Storage</w:t>
            </w:r>
          </w:p>
          <w:p>
            <w:pPr>
              <w:spacing w:before="60" w:after="20"/>
            </w:pPr>
            <w:r>
              <w:rPr>
                <w:rFonts w:ascii="Calibri" w:hAnsi="Calibri"/>
                <w:b/>
                <w:color w:val="218BC2"/>
                <w:sz w:val="16"/>
              </w:rPr>
              <w:t xml:space="preserve">Languages:  </w:t>
            </w:r>
            <w:r>
              <w:rPr>
                <w:rFonts w:ascii="Calibri" w:hAnsi="Calibri"/>
                <w:color w:val="1A1A1A"/>
                <w:sz w:val="16"/>
              </w:rPr>
              <w:t>C/C++ · Python · Golang</w:t>
            </w:r>
          </w:p>
          <w:p>
            <w:pPr>
              <w:spacing w:before="60" w:after="20"/>
            </w:pPr>
            <w:r>
              <w:rPr>
                <w:rFonts w:ascii="Calibri" w:hAnsi="Calibri"/>
                <w:b/>
                <w:color w:val="218BC2"/>
                <w:sz w:val="16"/>
              </w:rPr>
              <w:t xml:space="preserve">Cloud / Ops:  </w:t>
            </w:r>
            <w:r>
              <w:rPr>
                <w:rFonts w:ascii="Calibri" w:hAnsi="Calibri"/>
                <w:color w:val="1A1A1A"/>
                <w:sz w:val="16"/>
              </w:rPr>
              <w:t>AWS · Docker · Kubernetes</w:t>
            </w:r>
          </w:p>
          <w:p>
            <w:pPr>
              <w:spacing w:before="60" w:after="20"/>
            </w:pPr>
            <w:r>
              <w:rPr>
                <w:rFonts w:ascii="Calibri" w:hAnsi="Calibri"/>
                <w:b/>
                <w:color w:val="218BC2"/>
                <w:sz w:val="16"/>
              </w:rPr>
              <w:t xml:space="preserve">DB / Storage:  </w:t>
            </w:r>
            <w:r>
              <w:rPr>
                <w:rFonts w:ascii="Calibri" w:hAnsi="Calibri"/>
                <w:color w:val="1A1A1A"/>
                <w:sz w:val="16"/>
              </w:rPr>
              <w:t>DynamoDB · S3</w:t>
            </w:r>
          </w:p>
          <w:p>
            <w:pPr>
              <w:spacing w:before="60" w:after="20"/>
            </w:pPr>
            <w:r>
              <w:rPr>
                <w:rFonts w:ascii="Calibri" w:hAnsi="Calibri"/>
                <w:b/>
                <w:color w:val="218BC2"/>
                <w:sz w:val="16"/>
              </w:rPr>
              <w:t xml:space="preserve">CS Foundations:  </w:t>
            </w:r>
            <w:r>
              <w:rPr>
                <w:rFonts w:ascii="Calibri" w:hAnsi="Calibri"/>
                <w:color w:val="1A1A1A"/>
                <w:sz w:val="16"/>
              </w:rPr>
              <w:t>Data Structures · Algorithms</w:t>
            </w:r>
          </w:p>
          <w:p>
            <w:pPr>
              <w:spacing w:before="160" w:after="40"/>
              <w:pBdr>
                <w:bottom w:val="single" w:sz="6" w:space="2" w:color="218BC2"/>
              </w:pBdr>
            </w:pPr>
            <w:r>
              <w:rPr>
                <w:rFonts w:ascii="Calibri" w:hAnsi="Calibri"/>
                <w:b/>
                <w:color w:val="218BC2"/>
                <w:sz w:val="18"/>
              </w:rPr>
              <w:t>EDUCATION</w:t>
            </w:r>
          </w:p>
          <w:p>
            <w:pPr>
              <w:spacing w:before="100" w:after="20"/>
              <w:jc w:val="left"/>
            </w:pPr>
            <w:r>
              <w:rPr>
                <w:rFonts w:ascii="Calibri" w:hAnsi="Calibri"/>
                <w:b/>
                <w:color w:val="1A1A1A"/>
                <w:sz w:val="18"/>
              </w:rPr>
              <w:t>B.E. Computer Science &amp; Engineering</w:t>
            </w:r>
          </w:p>
          <w:p>
            <w:pPr>
              <w:spacing w:before="0" w:after="20"/>
              <w:jc w:val="left"/>
            </w:pPr>
            <w:r>
              <w:rPr>
                <w:rFonts w:ascii="Calibri" w:hAnsi="Calibri"/>
                <w:b w:val="0"/>
                <w:color w:val="606060"/>
                <w:sz w:val="16"/>
              </w:rPr>
              <w:t>Rajiv Gandhi Technical University</w:t>
            </w:r>
          </w:p>
          <w:p>
            <w:pPr>
              <w:spacing w:before="0" w:after="20"/>
              <w:jc w:val="left"/>
            </w:pPr>
            <w:r>
              <w:rPr>
                <w:rFonts w:ascii="Calibri" w:hAnsi="Calibri"/>
                <w:b w:val="0"/>
                <w:color w:val="606060"/>
                <w:sz w:val="16"/>
              </w:rPr>
              <w:t>2011 – 2015  ·  Bhopal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b/>
                <w:color w:val="1A1A1A"/>
                <w:sz w:val="17"/>
              </w:rPr>
              <w:t>CGPA: 8.07 / 10</w:t>
            </w:r>
          </w:p>
          <w:p>
            <w:pPr>
              <w:spacing w:before="80" w:after="20"/>
              <w:jc w:val="left"/>
            </w:pPr>
            <w:r>
              <w:rPr>
                <w:rFonts w:ascii="Calibri" w:hAnsi="Calibri"/>
                <w:b/>
                <w:color w:val="1A1A1A"/>
                <w:sz w:val="18"/>
              </w:rPr>
              <w:t>AISSCE (Class XII)</w:t>
            </w:r>
          </w:p>
          <w:p>
            <w:pPr>
              <w:spacing w:before="0" w:after="20"/>
              <w:jc w:val="left"/>
            </w:pPr>
            <w:r>
              <w:rPr>
                <w:rFonts w:ascii="Calibri" w:hAnsi="Calibri"/>
                <w:b w:val="0"/>
                <w:color w:val="606060"/>
                <w:sz w:val="16"/>
              </w:rPr>
              <w:t>Jawahar Navodaya Vidhyalaya, Narsinghpur</w:t>
            </w:r>
          </w:p>
          <w:p>
            <w:pPr>
              <w:spacing w:before="0" w:after="20"/>
              <w:jc w:val="left"/>
            </w:pPr>
            <w:r>
              <w:rPr>
                <w:rFonts w:ascii="Calibri" w:hAnsi="Calibri"/>
                <w:b w:val="0"/>
                <w:color w:val="606060"/>
                <w:sz w:val="16"/>
              </w:rPr>
              <w:t>2009 – 2010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b/>
                <w:color w:val="1A1A1A"/>
                <w:sz w:val="17"/>
              </w:rPr>
              <w:t>Score: 79.6 / 100</w:t>
            </w:r>
          </w:p>
          <w:p>
            <w:pPr>
              <w:spacing w:before="80" w:after="20"/>
              <w:jc w:val="left"/>
            </w:pPr>
            <w:r>
              <w:rPr>
                <w:rFonts w:ascii="Calibri" w:hAnsi="Calibri"/>
                <w:b/>
                <w:color w:val="1A1A1A"/>
                <w:sz w:val="18"/>
              </w:rPr>
              <w:t>AISSE (Class X)</w:t>
            </w:r>
          </w:p>
          <w:p>
            <w:pPr>
              <w:spacing w:before="0" w:after="20"/>
              <w:jc w:val="left"/>
            </w:pPr>
            <w:r>
              <w:rPr>
                <w:rFonts w:ascii="Calibri" w:hAnsi="Calibri"/>
                <w:b w:val="0"/>
                <w:color w:val="606060"/>
                <w:sz w:val="16"/>
              </w:rPr>
              <w:t>Jawahar Navodaya Vidhyalaya, Narsinghpur</w:t>
            </w:r>
          </w:p>
          <w:p>
            <w:pPr>
              <w:spacing w:before="0" w:after="20"/>
              <w:jc w:val="left"/>
            </w:pPr>
            <w:r>
              <w:rPr>
                <w:rFonts w:ascii="Calibri" w:hAnsi="Calibri"/>
                <w:b w:val="0"/>
                <w:color w:val="606060"/>
                <w:sz w:val="16"/>
              </w:rPr>
              <w:t>2007-2008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b/>
                <w:color w:val="1A1A1A"/>
                <w:sz w:val="17"/>
              </w:rPr>
              <w:t>Score: 81.6 / 100</w:t>
            </w:r>
          </w:p>
          <w:p>
            <w:pPr>
              <w:spacing w:before="160" w:after="40"/>
              <w:pBdr>
                <w:bottom w:val="single" w:sz="6" w:space="2" w:color="218BC2"/>
              </w:pBdr>
            </w:pPr>
            <w:r>
              <w:rPr>
                <w:rFonts w:ascii="Calibri" w:hAnsi="Calibri"/>
                <w:b/>
                <w:color w:val="218BC2"/>
                <w:sz w:val="18"/>
              </w:rPr>
              <w:t>LANGUAGES</w:t>
            </w:r>
          </w:p>
          <w:p>
            <w:pPr>
              <w:spacing w:before="80" w:after="20"/>
              <w:jc w:val="left"/>
            </w:pPr>
            <w:r>
              <w:rPr>
                <w:rFonts w:ascii="Calibri" w:hAnsi="Calibri"/>
                <w:b/>
                <w:color w:val="1A1A1A"/>
                <w:sz w:val="17"/>
              </w:rPr>
              <w:t>Hindi</w:t>
            </w:r>
          </w:p>
          <w:p>
            <w:pPr>
              <w:spacing w:before="0" w:after="80"/>
              <w:jc w:val="left"/>
            </w:pPr>
            <w:r>
              <w:rPr>
                <w:rFonts w:ascii="Calibri" w:hAnsi="Calibri"/>
                <w:b w:val="0"/>
                <w:color w:val="606060"/>
                <w:sz w:val="16"/>
              </w:rPr>
              <w:t>Native proficiency</w:t>
            </w:r>
          </w:p>
          <w:p>
            <w:pPr>
              <w:spacing w:before="0" w:after="20"/>
              <w:jc w:val="left"/>
            </w:pPr>
            <w:r>
              <w:rPr>
                <w:rFonts w:ascii="Calibri" w:hAnsi="Calibri"/>
                <w:b/>
                <w:color w:val="1A1A1A"/>
                <w:sz w:val="17"/>
              </w:rPr>
              <w:t>English</w:t>
            </w:r>
          </w:p>
          <w:p>
            <w:pPr>
              <w:spacing w:before="0" w:after="80"/>
              <w:jc w:val="left"/>
            </w:pPr>
            <w:r>
              <w:rPr>
                <w:rFonts w:ascii="Calibri" w:hAnsi="Calibri"/>
                <w:b w:val="0"/>
                <w:color w:val="606060"/>
                <w:sz w:val="16"/>
              </w:rPr>
              <w:t>Professional proficiency</w:t>
            </w:r>
          </w:p>
        </w:tc>
      </w:tr>
    </w:tbl>
    <w:sectPr w:rsidR="00FC693F" w:rsidRPr="0006063C" w:rsidSect="00034616">
      <w:pgSz w:w="12240" w:h="15840"/>
      <w:pgMar w:top="0" w:right="0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