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A237E"/>
          <w:sz w:val="64"/>
        </w:rPr>
        <w:t>SPATIAL AUTOCORRELATION</w:t>
      </w:r>
    </w:p>
    <w:p>
      <w:pPr>
        <w:jc w:val="center"/>
      </w:pPr>
      <w:r>
        <w:rPr>
          <w:rFonts w:ascii="Calibri Light" w:hAnsi="Calibri Light"/>
          <w:b/>
          <w:color w:val="1A237E"/>
          <w:sz w:val="64"/>
        </w:rPr>
        <w:t>&amp; POINT PATTERN ANALYSIS</w:t>
      </w:r>
    </w:p>
    <w:p/>
    <w:p>
      <w:pPr>
        <w:jc w:val="center"/>
      </w:pPr>
      <w:r>
        <w:rPr>
          <w:i/>
          <w:color w:val="78909C"/>
          <w:sz w:val="32"/>
        </w:rPr>
        <w:t>Moran's I  •  Geary's C  •  Hotspot Detection  •  Ripley's K</w:t>
      </w:r>
    </w:p>
    <w:p/>
    <w:p/>
    <w:p>
      <w:pPr>
        <w:jc w:val="center"/>
      </w:pPr>
      <w:r>
        <w:rPr>
          <w:color w:val="B3E5FC"/>
        </w:rPr>
        <w:t>━━━━━━━━━━━━━━━━━━━━━━━━━━━━━━━━━━━━━━━━</w:t>
      </w:r>
    </w:p>
    <w:p/>
    <w:p>
      <w:pPr>
        <w:jc w:val="center"/>
      </w:pPr>
      <w:r>
        <w:rPr>
          <w:color w:val="78909C"/>
          <w:sz w:val="26"/>
        </w:rPr>
        <w:t>A Comprehensive Assignment with Interactive Navigation</w:t>
        <w:br/>
      </w:r>
      <w:r>
        <w:rPr>
          <w:color w:val="78909C"/>
          <w:sz w:val="22"/>
        </w:rPr>
        <w:t>From Basic Concepts to Advanced Spatial Analytics</w:t>
        <w:br/>
      </w:r>
      <w:r>
        <w:rPr>
          <w:color w:val="78909C"/>
          <w:sz w:val="20"/>
        </w:rPr>
        <w:br/>
        <w:t>Real Data  •  Statistical Computations  •  Visual Analytics</w:t>
      </w:r>
    </w:p>
    <w:p/>
    <w:p/>
    <w:p>
      <w:pPr>
        <w:jc w:val="center"/>
      </w:pPr>
      <w:r>
        <w:rPr>
          <w:color w:val="546E7A"/>
          <w:sz w:val="24"/>
        </w:rPr>
        <w:t>Course: Advanced Spatial Statistics &amp; GIS Analytics</w:t>
        <w:br/>
      </w:r>
      <w:r>
        <w:rPr>
          <w:color w:val="546E7A"/>
          <w:sz w:val="24"/>
        </w:rPr>
        <w:t>Module: Spatial Data Analysis &amp; Geostatistics</w:t>
        <w:br/>
      </w:r>
      <w:r>
        <w:rPr>
          <w:color w:val="546E7A"/>
          <w:sz w:val="24"/>
        </w:rPr>
        <w:t>Date: May 2026</w:t>
        <w:br/>
      </w:r>
    </w:p>
    <w:p>
      <w:r>
        <w:br w:type="page"/>
      </w:r>
    </w:p>
    <w:p>
      <w:pPr>
        <w:pStyle w:val="Heading1"/>
      </w:pPr>
      <w:r>
        <w:t>TABLE OF CONTENTS</w:t>
      </w:r>
    </w:p>
    <w:p>
      <w:r>
        <w:t>Click any section below to navigate directly.</w:t>
      </w:r>
    </w:p>
    <w:p/>
    <w:p>
      <w:pPr>
        <w:pStyle w:val="ListNumber"/>
      </w:pPr>
      <w:hyperlink w:anchor="intro">
        <w:r>
          <w:rPr>
            <w:color w:val="1565c0"/>
            <w:u w:val="single"/>
            <w:b/>
          </w:rPr>
          <w:t>1. Introduction &amp; Theoretical Framework</w:t>
        </w:r>
      </w:hyperlink>
    </w:p>
    <w:p>
      <w:pPr>
        <w:pStyle w:val="ListNumber"/>
      </w:pPr>
      <w:hyperlink w:anchor="data">
        <w:r>
          <w:rPr>
            <w:color w:val="1565c0"/>
            <w:u w:val="single"/>
            <w:b/>
          </w:rPr>
          <w:t>2. Data &amp; Study Area</w:t>
        </w:r>
      </w:hyperlink>
    </w:p>
    <w:p>
      <w:pPr>
        <w:pStyle w:val="ListNumber"/>
      </w:pPr>
      <w:hyperlink w:anchor="weights">
        <w:r>
          <w:rPr>
            <w:color w:val="1565c0"/>
            <w:u w:val="single"/>
            <w:b/>
          </w:rPr>
          <w:t>3. Spatial Weights Matrix</w:t>
        </w:r>
      </w:hyperlink>
    </w:p>
    <w:p>
      <w:pPr>
        <w:pStyle w:val="ListNumber"/>
      </w:pPr>
      <w:hyperlink w:anchor="moran">
        <w:r>
          <w:rPr>
            <w:color w:val="1565c0"/>
            <w:u w:val="single"/>
            <w:b/>
          </w:rPr>
          <w:t>4. Global Moran's I</w:t>
        </w:r>
      </w:hyperlink>
    </w:p>
    <w:p>
      <w:pPr>
        <w:pStyle w:val="ListNumber"/>
      </w:pPr>
      <w:hyperlink w:anchor="geary">
        <w:r>
          <w:rPr>
            <w:color w:val="1565c0"/>
            <w:u w:val="single"/>
            <w:b/>
          </w:rPr>
          <w:t>5. Geary's C Statistic</w:t>
        </w:r>
      </w:hyperlink>
    </w:p>
    <w:p>
      <w:pPr>
        <w:pStyle w:val="ListNumber"/>
      </w:pPr>
      <w:hyperlink w:anchor="lisa">
        <w:r>
          <w:rPr>
            <w:color w:val="1565c0"/>
            <w:u w:val="single"/>
            <w:b/>
          </w:rPr>
          <w:t>6. Local Indicators of Spatial Association (LISA)</w:t>
        </w:r>
      </w:hyperlink>
    </w:p>
    <w:p>
      <w:pPr>
        <w:pStyle w:val="ListNumber"/>
      </w:pPr>
      <w:hyperlink w:anchor="hotspot">
        <w:r>
          <w:rPr>
            <w:color w:val="1565c0"/>
            <w:u w:val="single"/>
            <w:b/>
          </w:rPr>
          <w:t>7. Hotspot Detection (Getis-Ord Gi*)</w:t>
        </w:r>
      </w:hyperlink>
    </w:p>
    <w:p>
      <w:pPr>
        <w:pStyle w:val="ListNumber"/>
      </w:pPr>
      <w:hyperlink w:anchor="pointpattern">
        <w:r>
          <w:rPr>
            <w:color w:val="1565c0"/>
            <w:u w:val="single"/>
            <w:b/>
          </w:rPr>
          <w:t>8. Point Pattern Analysis</w:t>
        </w:r>
      </w:hyperlink>
    </w:p>
    <w:p>
      <w:pPr>
        <w:pStyle w:val="ListNumber"/>
      </w:pPr>
      <w:hyperlink w:anchor="ripley">
        <w:r>
          <w:rPr>
            <w:color w:val="1565c0"/>
            <w:u w:val="single"/>
            <w:b/>
          </w:rPr>
          <w:t>9. Ripley's K Function</w:t>
        </w:r>
      </w:hyperlink>
    </w:p>
    <w:p>
      <w:pPr>
        <w:pStyle w:val="ListNumber"/>
      </w:pPr>
      <w:hyperlink w:anchor="conclusions">
        <w:r>
          <w:rPr>
            <w:color w:val="1565c0"/>
            <w:u w:val="single"/>
            <w:b/>
          </w:rPr>
          <w:t>10. Statistical Summary &amp; Conclusions</w:t>
        </w:r>
      </w:hyperlink>
    </w:p>
    <w:p>
      <w:pPr>
        <w:pStyle w:val="ListNumber"/>
      </w:pPr>
      <w:hyperlink w:anchor="references">
        <w:r>
          <w:rPr>
            <w:color w:val="1565c0"/>
            <w:u w:val="single"/>
            <w:b/>
          </w:rPr>
          <w:t>11. References</w:t>
        </w:r>
      </w:hyperlink>
    </w:p>
    <w:p>
      <w:pPr>
        <w:pStyle w:val="ListNumber"/>
      </w:pPr>
      <w:hyperlink w:anchor="appendix">
        <w:r>
          <w:rPr>
            <w:color w:val="1565c0"/>
            <w:u w:val="single"/>
            <w:b/>
          </w:rPr>
          <w:t>12. Appendix: Formulas &amp; Methods</w:t>
        </w:r>
      </w:hyperlink>
    </w:p>
    <w:p>
      <w:r>
        <w:br w:type="page"/>
      </w:r>
    </w:p>
    <w:p>
      <w:pPr>
        <w:pStyle w:val="Heading1"/>
      </w:pPr>
      <w:r>
        <w:t>INTERACTIVE ANALYSIS WORKFLOW</w:t>
      </w:r>
    </w:p>
    <w:p>
      <w:r>
        <w:t>This document features an interactive navigation system. Click any section in the Table of Contents or use the flowchart below to jump directly to the corresponding analysis.</w:t>
      </w:r>
    </w:p>
    <w:p/>
    <w:p>
      <w:pPr>
        <w:jc w:val="center"/>
      </w:pPr>
      <w:r>
        <w:drawing>
          <wp:inline xmlns:a="http://schemas.openxmlformats.org/drawingml/2006/main" xmlns:pic="http://schemas.openxmlformats.org/drawingml/2006/picture">
            <wp:extent cx="5486400" cy="3157783"/>
            <wp:docPr id="1" name="Picture 1"/>
            <wp:cNvGraphicFramePr>
              <a:graphicFrameLocks noChangeAspect="1"/>
            </wp:cNvGraphicFramePr>
            <a:graphic>
              <a:graphicData uri="http://schemas.openxmlformats.org/drawingml/2006/picture">
                <pic:pic>
                  <pic:nvPicPr>
                    <pic:cNvPr id="0" name="02_flowchart.png"/>
                    <pic:cNvPicPr/>
                  </pic:nvPicPr>
                  <pic:blipFill>
                    <a:blip r:embed="rId9"/>
                    <a:stretch>
                      <a:fillRect/>
                    </a:stretch>
                  </pic:blipFill>
                  <pic:spPr>
                    <a:xfrm>
                      <a:off x="0" y="0"/>
                      <a:ext cx="5486400" cy="3157783"/>
                    </a:xfrm>
                    <a:prstGeom prst="rect"/>
                  </pic:spPr>
                </pic:pic>
              </a:graphicData>
            </a:graphic>
          </wp:inline>
        </w:drawing>
      </w:r>
    </w:p>
    <w:p/>
    <w:p>
      <w:pPr>
        <w:jc w:val="center"/>
      </w:pPr>
      <w:r>
        <w:rPr>
          <w:i/>
          <w:color w:val="78909C"/>
          <w:sz w:val="18"/>
        </w:rPr>
        <w:t>Figure 1: Complete Spatial Analysis Workflow. Each box represents a major analytical step covered in this assignment.</w:t>
      </w:r>
    </w:p>
    <w:p/>
    <w:p>
      <w:r>
        <w:t>Quick Navigation Buttons:</w:t>
      </w:r>
    </w:p>
    <w:tbl>
      <w:tblPr>
        <w:tblW w:type="auto" w:w="0"/>
        <w:jc w:val="center"/>
        <w:tblLook w:firstColumn="1" w:firstRow="1" w:lastColumn="0" w:lastRow="0" w:noHBand="0" w:noVBand="1" w:val="04A0"/>
      </w:tblPr>
      <w:tblGrid>
        <w:gridCol w:w="2351"/>
        <w:gridCol w:w="2351"/>
        <w:gridCol w:w="2351"/>
        <w:gridCol w:w="2351"/>
      </w:tblGrid>
      <w:tr>
        <w:tc>
          <w:tcPr>
            <w:tcW w:type="dxa" w:w="2351"/>
            <w:shd w:fill="e3f2fd"/>
            <w:tcBorders>
              <w:top w:val="single" w:sz="4" w:color="e3f2fd"/>
              <w:left w:val="single" w:sz="4" w:color="e3f2fd"/>
              <w:bottom w:val="single" w:sz="4" w:color="e3f2fd"/>
              <w:right w:val="single" w:sz="4" w:color="e3f2fd"/>
            </w:tcBorders>
          </w:tcPr>
          <w:p>
            <w:pPr>
              <w:jc w:val="center"/>
            </w:pPr>
            <w:hyperlink w:anchor="data">
              <w:r>
                <w:rPr>
                  <w:color w:val="0d47a1"/>
                  <w:u w:val="single"/>
                  <w:b/>
                </w:rPr>
                <w:t>Data &amp; Study Area</w:t>
              </w:r>
            </w:hyperlink>
          </w:p>
        </w:tc>
        <w:tc>
          <w:tcPr>
            <w:tcW w:type="dxa" w:w="2351"/>
            <w:shd w:fill="fff3e0"/>
            <w:tcBorders>
              <w:top w:val="single" w:sz="4" w:color="fff3e0"/>
              <w:left w:val="single" w:sz="4" w:color="fff3e0"/>
              <w:bottom w:val="single" w:sz="4" w:color="fff3e0"/>
              <w:right w:val="single" w:sz="4" w:color="fff3e0"/>
            </w:tcBorders>
          </w:tcPr>
          <w:p>
            <w:pPr>
              <w:jc w:val="center"/>
            </w:pPr>
            <w:hyperlink w:anchor="weights">
              <w:r>
                <w:rPr>
                  <w:color w:val="e65100"/>
                  <w:u w:val="single"/>
                  <w:b/>
                </w:rPr>
                <w:t>Spatial Weights</w:t>
              </w:r>
            </w:hyperlink>
          </w:p>
        </w:tc>
        <w:tc>
          <w:tcPr>
            <w:tcW w:type="dxa" w:w="2351"/>
            <w:shd w:fill="e8f5e9"/>
            <w:tcBorders>
              <w:top w:val="single" w:sz="4" w:color="e8f5e9"/>
              <w:left w:val="single" w:sz="4" w:color="e8f5e9"/>
              <w:bottom w:val="single" w:sz="4" w:color="e8f5e9"/>
              <w:right w:val="single" w:sz="4" w:color="e8f5e9"/>
            </w:tcBorders>
          </w:tcPr>
          <w:p>
            <w:pPr>
              <w:jc w:val="center"/>
            </w:pPr>
            <w:hyperlink w:anchor="moran">
              <w:r>
                <w:rPr>
                  <w:color w:val="1b5e20"/>
                  <w:u w:val="single"/>
                  <w:b/>
                </w:rPr>
                <w:t>Moran's I</w:t>
              </w:r>
            </w:hyperlink>
          </w:p>
        </w:tc>
        <w:tc>
          <w:tcPr>
            <w:tcW w:type="dxa" w:w="2351"/>
            <w:shd w:fill="e8f5e9"/>
            <w:tcBorders>
              <w:top w:val="single" w:sz="4" w:color="e8f5e9"/>
              <w:left w:val="single" w:sz="4" w:color="e8f5e9"/>
              <w:bottom w:val="single" w:sz="4" w:color="e8f5e9"/>
              <w:right w:val="single" w:sz="4" w:color="e8f5e9"/>
            </w:tcBorders>
          </w:tcPr>
          <w:p>
            <w:pPr>
              <w:jc w:val="center"/>
            </w:pPr>
            <w:hyperlink w:anchor="geary">
              <w:r>
                <w:rPr>
                  <w:color w:val="1b5e20"/>
                  <w:u w:val="single"/>
                  <w:b/>
                </w:rPr>
                <w:t>Geary's C</w:t>
              </w:r>
            </w:hyperlink>
          </w:p>
        </w:tc>
      </w:tr>
      <w:tr>
        <w:tc>
          <w:tcPr>
            <w:tcW w:type="dxa" w:w="2351"/>
            <w:shd w:fill="fce4ec"/>
            <w:tcBorders>
              <w:top w:val="single" w:sz="4" w:color="fce4ec"/>
              <w:left w:val="single" w:sz="4" w:color="fce4ec"/>
              <w:bottom w:val="single" w:sz="4" w:color="fce4ec"/>
              <w:right w:val="single" w:sz="4" w:color="fce4ec"/>
            </w:tcBorders>
          </w:tcPr>
          <w:p>
            <w:pPr>
              <w:jc w:val="center"/>
            </w:pPr>
            <w:hyperlink w:anchor="lisa">
              <w:r>
                <w:rPr>
                  <w:color w:val="880e4f"/>
                  <w:u w:val="single"/>
                  <w:b/>
                </w:rPr>
                <w:t>LISA Clusters</w:t>
              </w:r>
            </w:hyperlink>
          </w:p>
        </w:tc>
        <w:tc>
          <w:tcPr>
            <w:tcW w:type="dxa" w:w="2351"/>
            <w:shd w:fill="fce4ec"/>
            <w:tcBorders>
              <w:top w:val="single" w:sz="4" w:color="fce4ec"/>
              <w:left w:val="single" w:sz="4" w:color="fce4ec"/>
              <w:bottom w:val="single" w:sz="4" w:color="fce4ec"/>
              <w:right w:val="single" w:sz="4" w:color="fce4ec"/>
            </w:tcBorders>
          </w:tcPr>
          <w:p>
            <w:pPr>
              <w:jc w:val="center"/>
            </w:pPr>
            <w:hyperlink w:anchor="hotspot">
              <w:r>
                <w:rPr>
                  <w:color w:val="880e4f"/>
                  <w:u w:val="single"/>
                  <w:b/>
                </w:rPr>
                <w:t>Hotspot Gi*</w:t>
              </w:r>
            </w:hyperlink>
          </w:p>
        </w:tc>
        <w:tc>
          <w:tcPr>
            <w:tcW w:type="dxa" w:w="2351"/>
            <w:shd w:fill="f3e5f5"/>
            <w:tcBorders>
              <w:top w:val="single" w:sz="4" w:color="f3e5f5"/>
              <w:left w:val="single" w:sz="4" w:color="f3e5f5"/>
              <w:bottom w:val="single" w:sz="4" w:color="f3e5f5"/>
              <w:right w:val="single" w:sz="4" w:color="f3e5f5"/>
            </w:tcBorders>
          </w:tcPr>
          <w:p>
            <w:pPr>
              <w:jc w:val="center"/>
            </w:pPr>
            <w:hyperlink w:anchor="pointpattern">
              <w:r>
                <w:rPr>
                  <w:color w:val="4a148c"/>
                  <w:u w:val="single"/>
                  <w:b/>
                </w:rPr>
                <w:t>Point Patterns</w:t>
              </w:r>
            </w:hyperlink>
          </w:p>
        </w:tc>
        <w:tc>
          <w:tcPr>
            <w:tcW w:type="dxa" w:w="2351"/>
            <w:shd w:fill="f3e5f5"/>
            <w:tcBorders>
              <w:top w:val="single" w:sz="4" w:color="f3e5f5"/>
              <w:left w:val="single" w:sz="4" w:color="f3e5f5"/>
              <w:bottom w:val="single" w:sz="4" w:color="f3e5f5"/>
              <w:right w:val="single" w:sz="4" w:color="f3e5f5"/>
            </w:tcBorders>
          </w:tcPr>
          <w:p>
            <w:pPr>
              <w:jc w:val="center"/>
            </w:pPr>
            <w:hyperlink w:anchor="ripley">
              <w:r>
                <w:rPr>
                  <w:color w:val="4a148c"/>
                  <w:u w:val="single"/>
                  <w:b/>
                </w:rPr>
                <w:t>Ripley's K</w:t>
              </w:r>
            </w:hyperlink>
          </w:p>
        </w:tc>
      </w:tr>
    </w:tbl>
    <w:p>
      <w:r>
        <w:br w:type="page"/>
      </w:r>
    </w:p>
    <w:p>
      <w:pPr>
        <w:pStyle w:val="Heading1"/>
      </w:pPr>
      <w:r>
        <w:bookmarkStart w:id="0" w:name="intro"/>
        <w:t>1. INTRODUCTION &amp; THEORETICAL FRAMEWORK</w:t>
        <w:bookmarkEnd w:id="0"/>
      </w:r>
    </w:p>
    <w:p>
      <w:pPr>
        <w:pStyle w:val="Heading2"/>
      </w:pPr>
      <w:r>
        <w:t>1.1 Background and Motivation</w:t>
      </w:r>
    </w:p>
    <w:p>
      <w:r>
        <w:t>Spatial statistics represents a fundamental branch of quantitative geography and geoinformatics that deals with the statistical analysis of data distributed in geographic space. Unlike classical statistics, which assumes independence among observations, spatial statistics explicitly accounts for the fact that nearby locations tend to be more similar than distant ones—a principle famously articulated as Tobler's First Law of Geography: "Everything is related to everything else, but near things are more related than distant things."</w:t>
      </w:r>
    </w:p>
    <w:p>
      <w:r>
        <w:t>This assignment provides a comprehensive, hands-on exploration of three critical pillars of spatial analysis: (1) spatial autocorrelation measurement using Moran's I and Geary's C statistics; (2) point pattern analysis for understanding the spatial distribution of discrete events; and (3) hotspot detection for identifying statistically significant spatial clusters. These techniques are indispensable tools for researchers and practitioners in epidemiology, criminology, urban planning, environmental science, and regional economics.</w:t>
      </w:r>
    </w:p>
    <w:p>
      <w:pPr>
        <w:pStyle w:val="Heading2"/>
      </w:pPr>
      <w:r>
        <w:t>1.2 Learning Objectives</w:t>
      </w:r>
    </w:p>
    <w:p>
      <w:pPr>
        <w:pStyle w:val="ListBullet"/>
      </w:pPr>
      <w:r>
        <w:t>Understand the theoretical foundations of spatial autocorrelation and spatial dependence.</w:t>
      </w:r>
    </w:p>
    <w:p>
      <w:pPr>
        <w:pStyle w:val="ListBullet"/>
      </w:pPr>
      <w:r>
        <w:t>Calculate and interpret global Moran's I and Geary's C statistics from first principles.</w:t>
      </w:r>
    </w:p>
    <w:p>
      <w:pPr>
        <w:pStyle w:val="ListBullet"/>
      </w:pPr>
      <w:r>
        <w:t>Perform local spatial autocorrelation analysis using Local Indicators of Spatial Association (LISA).</w:t>
      </w:r>
    </w:p>
    <w:p>
      <w:pPr>
        <w:pStyle w:val="ListBullet"/>
      </w:pPr>
      <w:r>
        <w:t>Identify statistically significant spatial hotspots and cold spots using Getis-Ord Gi* statistics.</w:t>
      </w:r>
    </w:p>
    <w:p>
      <w:pPr>
        <w:pStyle w:val="ListBullet"/>
      </w:pPr>
      <w:r>
        <w:t>Conduct point pattern analysis using Nearest Neighbour Index and Ripley's K function.</w:t>
      </w:r>
    </w:p>
    <w:p>
      <w:pPr>
        <w:pStyle w:val="ListBullet"/>
      </w:pPr>
      <w:r>
        <w:t>Construct and apply spatial weights matrices (Queen contiguity, distance-based, k-nearest neighbours).</w:t>
      </w:r>
    </w:p>
    <w:p>
      <w:pPr>
        <w:pStyle w:val="ListBullet"/>
      </w:pPr>
      <w:r>
        <w:t>Visualize spatial patterns, statistical results, and analytical workflows effectively.</w:t>
      </w:r>
    </w:p>
    <w:p>
      <w:pPr>
        <w:pStyle w:val="ListBullet"/>
      </w:pPr>
      <w:r>
        <w:t>Apply these methods to realistic simulated health data and synthetic point patterns.</w:t>
      </w:r>
    </w:p>
    <w:p>
      <w:pPr>
        <w:pStyle w:val="Heading2"/>
      </w:pPr>
      <w:r>
        <w:t>1.3 Conceptual Mind Map</w:t>
      </w:r>
    </w:p>
    <w:p>
      <w:r>
        <w:t>The figure below presents a conceptual mind map of the spatial statistics framework covered in this assignment. It illustrates the hierarchical relationship between global measures (Moran's I, Geary's C), local measures (LISA, Gi*), and point pattern techniques (Ripley's K, Nearest Neighbour, CSR testing).</w:t>
      </w:r>
    </w:p>
    <w:p>
      <w:pPr>
        <w:jc w:val="center"/>
      </w:pPr>
      <w:r>
        <w:drawing>
          <wp:inline xmlns:a="http://schemas.openxmlformats.org/drawingml/2006/main" xmlns:pic="http://schemas.openxmlformats.org/drawingml/2006/picture">
            <wp:extent cx="5943600" cy="4249271"/>
            <wp:docPr id="2" name="Picture 2"/>
            <wp:cNvGraphicFramePr>
              <a:graphicFrameLocks noChangeAspect="1"/>
            </wp:cNvGraphicFramePr>
            <a:graphic>
              <a:graphicData uri="http://schemas.openxmlformats.org/drawingml/2006/picture">
                <pic:pic>
                  <pic:nvPicPr>
                    <pic:cNvPr id="0" name="01_mindmap.png"/>
                    <pic:cNvPicPr/>
                  </pic:nvPicPr>
                  <pic:blipFill>
                    <a:blip r:embed="rId10"/>
                    <a:stretch>
                      <a:fillRect/>
                    </a:stretch>
                  </pic:blipFill>
                  <pic:spPr>
                    <a:xfrm>
                      <a:off x="0" y="0"/>
                      <a:ext cx="5943600" cy="4249271"/>
                    </a:xfrm>
                    <a:prstGeom prst="rect"/>
                  </pic:spPr>
                </pic:pic>
              </a:graphicData>
            </a:graphic>
          </wp:inline>
        </w:drawing>
      </w:r>
    </w:p>
    <w:p>
      <w:pPr>
        <w:jc w:val="center"/>
      </w:pPr>
      <w:r>
        <w:rPr>
          <w:i/>
          <w:color w:val="78909C"/>
          <w:sz w:val="18"/>
        </w:rPr>
        <w:t>Figure 2: Conceptual Mind Map of Spatial Statistics Framework</w:t>
      </w:r>
    </w:p>
    <w:p>
      <w:r>
        <w:br w:type="page"/>
      </w:r>
    </w:p>
    <w:p>
      <w:pPr>
        <w:pStyle w:val="Heading1"/>
      </w:pPr>
      <w:r>
        <w:bookmarkStart w:id="1" w:name="data"/>
        <w:t>2. DATA AND STUDY AREA</w:t>
        <w:bookmarkEnd w:id="1"/>
      </w:r>
    </w:p>
    <w:p>
      <w:r>
        <w:t>The study area consists of a regular 10×10 lattice grid representing 100 contiguous spatial units (e.g., census tracts, health districts, or grid cells). Each cell is assigned a simulated disease prevalence rate (per 1,000 population) that exhibits moderate positive spatial autocorrelation through a spatial autoregressive smoothing process.</w:t>
      </w:r>
    </w:p>
    <w:p>
      <w:pPr>
        <w:pStyle w:val="Heading2"/>
      </w:pPr>
      <w:r>
        <w:t>2.1 Data Generation Methodology</w:t>
      </w:r>
    </w:p>
    <w:p>
      <w:r>
        <w:t>The spatially autocorrelated variable was generated using a local averaging (smoothing) process applied to random noise: each cell's value is computed as a weighted combination of its own random value (45%) and the mean of its Queen-contiguous neighbours' random values (55%). This induces spatial dependence consistent with real-world disease diffusion patterns. The resulting values were scaled to a realistic prevalence range of 5–45 cases per 1,000 population.</w:t>
      </w:r>
    </w:p>
    <w:tbl>
      <w:tblPr>
        <w:tblStyle w:val="TableGrid"/>
        <w:tblW w:type="auto" w:w="0"/>
        <w:tblLook w:firstColumn="1" w:firstRow="1" w:lastColumn="0" w:lastRow="0" w:noHBand="0" w:noVBand="1" w:val="04A0"/>
      </w:tblPr>
      <w:tblGrid>
        <w:gridCol w:w="9406"/>
      </w:tblGrid>
      <w:tr>
        <w:tc>
          <w:tcPr>
            <w:tcW w:type="dxa" w:w="9406"/>
            <w:shd w:fill="e3f2fd"/>
            <w:tcBorders>
              <w:top w:val="single" w:sz="4" w:color="e3f2fd"/>
              <w:left w:val="single" w:sz="4" w:color="e3f2fd"/>
              <w:bottom w:val="single" w:sz="4" w:color="e3f2fd"/>
              <w:right w:val="single" w:sz="4" w:color="e3f2fd"/>
            </w:tcBorders>
          </w:tcPr>
          <w:p>
            <w:r>
              <w:rPr>
                <w:b/>
              </w:rPr>
              <w:t>Dataset Summary</w:t>
            </w:r>
            <w:r>
              <w:br/>
              <w:t>• Grid dimensions: 10 × 10 (N = 100 cells)</w:t>
            </w:r>
            <w:r>
              <w:br/>
              <w:t>• Variable: Simulated Disease Prevalence (per 1,000 population)</w:t>
            </w:r>
            <w:r>
              <w:br/>
              <w:t>• Range: 8.0 – 40.0 (Mean = 23.30, Std = 7.17)</w:t>
            </w:r>
            <w:r>
              <w:br/>
              <w:t>• Spatial structure: Induced positive autocorrelation via local smoothing</w:t>
            </w:r>
            <w:r>
              <w:br/>
              <w:t>• Study area extent: Unit square (10×10 arbitrary units)</w:t>
            </w:r>
          </w:p>
        </w:tc>
      </w:tr>
    </w:tbl>
    <w:p/>
    <w:p>
      <w:pPr>
        <w:pStyle w:val="Heading2"/>
      </w:pPr>
      <w:r>
        <w:t>2.2 Choropleth Map of Prevalence</w:t>
      </w:r>
    </w:p>
    <w:p>
      <w:r>
        <w:t>Figure 3 displays the choropleth map of simulated disease prevalence. Visual inspection reveals clear spatial clustering: high-prevalence cells (red tones) tend to be surrounded by other high-prevalence cells, while low-prevalence cells (blue tones) form distinct peripheral clusters. This visual pattern is the hallmark of positive spatial autocorrelation.</w:t>
      </w:r>
    </w:p>
    <w:p>
      <w:pPr>
        <w:jc w:val="center"/>
      </w:pPr>
      <w:r>
        <w:drawing>
          <wp:inline xmlns:a="http://schemas.openxmlformats.org/drawingml/2006/main" xmlns:pic="http://schemas.openxmlformats.org/drawingml/2006/picture">
            <wp:extent cx="5029200" cy="4806525"/>
            <wp:docPr id="3" name="Picture 3"/>
            <wp:cNvGraphicFramePr>
              <a:graphicFrameLocks noChangeAspect="1"/>
            </wp:cNvGraphicFramePr>
            <a:graphic>
              <a:graphicData uri="http://schemas.openxmlformats.org/drawingml/2006/picture">
                <pic:pic>
                  <pic:nvPicPr>
                    <pic:cNvPr id="0" name="03_grid_map.png"/>
                    <pic:cNvPicPr/>
                  </pic:nvPicPr>
                  <pic:blipFill>
                    <a:blip r:embed="rId11"/>
                    <a:stretch>
                      <a:fillRect/>
                    </a:stretch>
                  </pic:blipFill>
                  <pic:spPr>
                    <a:xfrm>
                      <a:off x="0" y="0"/>
                      <a:ext cx="5029200" cy="4806525"/>
                    </a:xfrm>
                    <a:prstGeom prst="rect"/>
                  </pic:spPr>
                </pic:pic>
              </a:graphicData>
            </a:graphic>
          </wp:inline>
        </w:drawing>
      </w:r>
    </w:p>
    <w:p>
      <w:pPr>
        <w:jc w:val="center"/>
      </w:pPr>
      <w:r>
        <w:rPr>
          <w:i/>
          <w:color w:val="78909C"/>
          <w:sz w:val="18"/>
        </w:rPr>
        <w:t>Figure 3: Choropleth map of simulated disease prevalence across the 10×10 lattice grid.</w:t>
      </w:r>
    </w:p>
    <w:p>
      <w:pPr>
        <w:pStyle w:val="Heading2"/>
      </w:pPr>
      <w:r>
        <w:t>2.3 Data Table (First 10 Rows)</w:t>
      </w:r>
    </w:p>
    <w:p>
      <w:r>
        <w:t>The complete 10×10 data matrix is provided in the Appendix. Below is an excerpt of the first 10 cells (row-major order):</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t>Cell ID</w:t>
            </w:r>
          </w:p>
        </w:tc>
        <w:tc>
          <w:tcPr>
            <w:tcW w:type="dxa" w:w="1881"/>
          </w:tcPr>
          <w:p>
            <w:r>
              <w:rPr>
                <w:b/>
                <w:sz w:val="20"/>
              </w:rPr>
              <w:t>Row</w:t>
            </w:r>
          </w:p>
        </w:tc>
        <w:tc>
          <w:tcPr>
            <w:tcW w:type="dxa" w:w="1881"/>
          </w:tcPr>
          <w:p>
            <w:r>
              <w:rPr>
                <w:b/>
                <w:sz w:val="20"/>
              </w:rPr>
              <w:t>Column</w:t>
            </w:r>
          </w:p>
        </w:tc>
        <w:tc>
          <w:tcPr>
            <w:tcW w:type="dxa" w:w="1881"/>
          </w:tcPr>
          <w:p>
            <w:r>
              <w:rPr>
                <w:b/>
                <w:sz w:val="20"/>
              </w:rPr>
              <w:t>Prevalence</w:t>
            </w:r>
          </w:p>
        </w:tc>
        <w:tc>
          <w:tcPr>
            <w:tcW w:type="dxa" w:w="1881"/>
          </w:tcPr>
          <w:p>
            <w:r>
              <w:rPr>
                <w:b/>
                <w:sz w:val="20"/>
              </w:rPr>
              <w:t>Z-score</w:t>
            </w:r>
          </w:p>
        </w:tc>
      </w:tr>
      <w:tr>
        <w:tc>
          <w:tcPr>
            <w:tcW w:type="dxa" w:w="1881"/>
          </w:tcPr>
          <w:p>
            <w:r>
              <w:t>Cell-00</w:t>
            </w:r>
          </w:p>
        </w:tc>
        <w:tc>
          <w:tcPr>
            <w:tcW w:type="dxa" w:w="1881"/>
          </w:tcPr>
          <w:p>
            <w:r>
              <w:t>0</w:t>
            </w:r>
          </w:p>
        </w:tc>
        <w:tc>
          <w:tcPr>
            <w:tcW w:type="dxa" w:w="1881"/>
          </w:tcPr>
          <w:p>
            <w:r>
              <w:t>0</w:t>
            </w:r>
          </w:p>
        </w:tc>
        <w:tc>
          <w:tcPr>
            <w:tcW w:type="dxa" w:w="1881"/>
          </w:tcPr>
          <w:p>
            <w:r>
              <w:t>25.54</w:t>
            </w:r>
          </w:p>
        </w:tc>
        <w:tc>
          <w:tcPr>
            <w:tcW w:type="dxa" w:w="1881"/>
          </w:tcPr>
          <w:p>
            <w:r>
              <w:t>0.31</w:t>
            </w:r>
          </w:p>
        </w:tc>
      </w:tr>
      <w:tr>
        <w:tc>
          <w:tcPr>
            <w:tcW w:type="dxa" w:w="1881"/>
          </w:tcPr>
          <w:p>
            <w:r>
              <w:t>Cell-01</w:t>
            </w:r>
          </w:p>
        </w:tc>
        <w:tc>
          <w:tcPr>
            <w:tcW w:type="dxa" w:w="1881"/>
          </w:tcPr>
          <w:p>
            <w:r>
              <w:t>0</w:t>
            </w:r>
          </w:p>
        </w:tc>
        <w:tc>
          <w:tcPr>
            <w:tcW w:type="dxa" w:w="1881"/>
          </w:tcPr>
          <w:p>
            <w:r>
              <w:t>1</w:t>
            </w:r>
          </w:p>
        </w:tc>
        <w:tc>
          <w:tcPr>
            <w:tcW w:type="dxa" w:w="1881"/>
          </w:tcPr>
          <w:p>
            <w:r>
              <w:t>24.91</w:t>
            </w:r>
          </w:p>
        </w:tc>
        <w:tc>
          <w:tcPr>
            <w:tcW w:type="dxa" w:w="1881"/>
          </w:tcPr>
          <w:p>
            <w:r>
              <w:t>0.22</w:t>
            </w:r>
          </w:p>
        </w:tc>
      </w:tr>
      <w:tr>
        <w:tc>
          <w:tcPr>
            <w:tcW w:type="dxa" w:w="1881"/>
          </w:tcPr>
          <w:p>
            <w:r>
              <w:t>Cell-02</w:t>
            </w:r>
          </w:p>
        </w:tc>
        <w:tc>
          <w:tcPr>
            <w:tcW w:type="dxa" w:w="1881"/>
          </w:tcPr>
          <w:p>
            <w:r>
              <w:t>0</w:t>
            </w:r>
          </w:p>
        </w:tc>
        <w:tc>
          <w:tcPr>
            <w:tcW w:type="dxa" w:w="1881"/>
          </w:tcPr>
          <w:p>
            <w:r>
              <w:t>2</w:t>
            </w:r>
          </w:p>
        </w:tc>
        <w:tc>
          <w:tcPr>
            <w:tcW w:type="dxa" w:w="1881"/>
          </w:tcPr>
          <w:p>
            <w:r>
              <w:t>28.42</w:t>
            </w:r>
          </w:p>
        </w:tc>
        <w:tc>
          <w:tcPr>
            <w:tcW w:type="dxa" w:w="1881"/>
          </w:tcPr>
          <w:p>
            <w:r>
              <w:t>0.71</w:t>
            </w:r>
          </w:p>
        </w:tc>
      </w:tr>
      <w:tr>
        <w:tc>
          <w:tcPr>
            <w:tcW w:type="dxa" w:w="1881"/>
          </w:tcPr>
          <w:p>
            <w:r>
              <w:t>Cell-03</w:t>
            </w:r>
          </w:p>
        </w:tc>
        <w:tc>
          <w:tcPr>
            <w:tcW w:type="dxa" w:w="1881"/>
          </w:tcPr>
          <w:p>
            <w:r>
              <w:t>0</w:t>
            </w:r>
          </w:p>
        </w:tc>
        <w:tc>
          <w:tcPr>
            <w:tcW w:type="dxa" w:w="1881"/>
          </w:tcPr>
          <w:p>
            <w:r>
              <w:t>3</w:t>
            </w:r>
          </w:p>
        </w:tc>
        <w:tc>
          <w:tcPr>
            <w:tcW w:type="dxa" w:w="1881"/>
          </w:tcPr>
          <w:p>
            <w:r>
              <w:t>30.79</w:t>
            </w:r>
          </w:p>
        </w:tc>
        <w:tc>
          <w:tcPr>
            <w:tcW w:type="dxa" w:w="1881"/>
          </w:tcPr>
          <w:p>
            <w:r>
              <w:t>1.04</w:t>
            </w:r>
          </w:p>
        </w:tc>
      </w:tr>
      <w:tr>
        <w:tc>
          <w:tcPr>
            <w:tcW w:type="dxa" w:w="1881"/>
          </w:tcPr>
          <w:p>
            <w:r>
              <w:t>Cell-04</w:t>
            </w:r>
          </w:p>
        </w:tc>
        <w:tc>
          <w:tcPr>
            <w:tcW w:type="dxa" w:w="1881"/>
          </w:tcPr>
          <w:p>
            <w:r>
              <w:t>0</w:t>
            </w:r>
          </w:p>
        </w:tc>
        <w:tc>
          <w:tcPr>
            <w:tcW w:type="dxa" w:w="1881"/>
          </w:tcPr>
          <w:p>
            <w:r>
              <w:t>4</w:t>
            </w:r>
          </w:p>
        </w:tc>
        <w:tc>
          <w:tcPr>
            <w:tcW w:type="dxa" w:w="1881"/>
          </w:tcPr>
          <w:p>
            <w:r>
              <w:t>18.32</w:t>
            </w:r>
          </w:p>
        </w:tc>
        <w:tc>
          <w:tcPr>
            <w:tcW w:type="dxa" w:w="1881"/>
          </w:tcPr>
          <w:p>
            <w:r>
              <w:t>-0.70</w:t>
            </w:r>
          </w:p>
        </w:tc>
      </w:tr>
    </w:tbl>
    <w:p>
      <w:r>
        <w:br w:type="page"/>
      </w:r>
    </w:p>
    <w:p>
      <w:pPr>
        <w:pStyle w:val="Heading1"/>
      </w:pPr>
      <w:r>
        <w:bookmarkStart w:id="2" w:name="weights"/>
        <w:t>3. SPATIAL WEIGHTS MATRIX</w:t>
        <w:bookmarkEnd w:id="2"/>
      </w:r>
    </w:p>
    <w:p>
      <w:r>
        <w:t>The spatial weights matrix (W) is the mathematical backbone of all spatial autocorrelation analyses. It quantifies the spatial relationship between every pair of locations in the dataset. The choice of weights matrix profoundly influences all subsequent statistical results.</w:t>
      </w:r>
    </w:p>
    <w:p>
      <w:pPr>
        <w:pStyle w:val="Heading2"/>
      </w:pPr>
      <w:r>
        <w:t>3.1 Queen Contiguity Definition</w:t>
      </w:r>
    </w:p>
    <w:p>
      <w:r>
        <w:t>For this analysis, we employ a Queen contiguity matrix on the regular lattice: two cells are considered neighbours if they share an edge or a corner (maximum 8 neighbours per interior cell, fewer on boundaries). The matrix is binary (w_ij = 1 if neighbours, 0 otherwise) and subsequently row-standardised so that each row sums to 1.0. This standardisation ensures the spatial lag can be interpreted as the weighted average of neighbouring values.</w:t>
      </w:r>
    </w:p>
    <w:p>
      <w:pPr>
        <w:pStyle w:val="Heading2"/>
      </w:pPr>
      <w:r>
        <w:t>3.2 Matrix Properties</w:t>
      </w:r>
    </w:p>
    <w:tbl>
      <w:tblPr>
        <w:tblStyle w:val="TableGrid"/>
        <w:tblW w:type="auto" w:w="0"/>
        <w:tblLook w:firstColumn="1" w:firstRow="1" w:lastColumn="0" w:lastRow="0" w:noHBand="0" w:noVBand="1" w:val="04A0"/>
      </w:tblPr>
      <w:tblGrid>
        <w:gridCol w:w="9406"/>
      </w:tblGrid>
      <w:tr>
        <w:tc>
          <w:tcPr>
            <w:tcW w:type="dxa" w:w="9406"/>
            <w:shd w:fill="fff3e0"/>
            <w:tcBorders>
              <w:top w:val="single" w:sz="4" w:color="fff3e0"/>
              <w:left w:val="single" w:sz="4" w:color="fff3e0"/>
              <w:bottom w:val="single" w:sz="4" w:color="fff3e0"/>
              <w:right w:val="single" w:sz="4" w:color="fff3e0"/>
            </w:tcBorders>
          </w:tcPr>
          <w:p>
            <w:r>
              <w:rPr>
                <w:b/>
              </w:rPr>
              <w:t>Spatial Weights Matrix Properties</w:t>
            </w:r>
            <w:r>
              <w:br/>
              <w:t>• Matrix dimensions: 100 × 100</w:t>
            </w:r>
            <w:r>
              <w:br/>
              <w:t>• Total neighbour links (non-zero weights): 684</w:t>
            </w:r>
            <w:r>
              <w:br/>
              <w:t>• Average neighbours per cell: 6.8</w:t>
            </w:r>
            <w:r>
              <w:br/>
              <w:t>• Matrix sparsity: 93.2% zeros</w:t>
            </w:r>
            <w:r>
              <w:br/>
              <w:t>• Row standardisation: Yes (each row sums to 1.0)</w:t>
            </w:r>
            <w:r>
              <w:br/>
              <w:t>• Symmetry: Symmetric</w:t>
            </w:r>
          </w:p>
        </w:tc>
      </w:tr>
    </w:tbl>
    <w:p/>
    <w:p>
      <w:pPr>
        <w:pStyle w:val="Heading2"/>
      </w:pPr>
      <w:r>
        <w:t>3.3 Visualisation</w:t>
      </w:r>
    </w:p>
    <w:p>
      <w:r>
        <w:t>Figure 4 presents two visualisations of the spatial weights matrix: (left) a network graph showing connections among a 25-cell subsample, and (right) a heatmap of the binary weights for the first 20 cells. The network clearly illustrates the dense connectivity of interior cells compared to boundary cells.</w:t>
      </w:r>
    </w:p>
    <w:p>
      <w:pPr>
        <w:jc w:val="center"/>
      </w:pPr>
      <w:r>
        <w:drawing>
          <wp:inline xmlns:a="http://schemas.openxmlformats.org/drawingml/2006/main" xmlns:pic="http://schemas.openxmlformats.org/drawingml/2006/picture">
            <wp:extent cx="5486400" cy="2467507"/>
            <wp:docPr id="4" name="Picture 4"/>
            <wp:cNvGraphicFramePr>
              <a:graphicFrameLocks noChangeAspect="1"/>
            </wp:cNvGraphicFramePr>
            <a:graphic>
              <a:graphicData uri="http://schemas.openxmlformats.org/drawingml/2006/picture">
                <pic:pic>
                  <pic:nvPicPr>
                    <pic:cNvPr id="0" name="11_spatial_weights.png"/>
                    <pic:cNvPicPr/>
                  </pic:nvPicPr>
                  <pic:blipFill>
                    <a:blip r:embed="rId12"/>
                    <a:stretch>
                      <a:fillRect/>
                    </a:stretch>
                  </pic:blipFill>
                  <pic:spPr>
                    <a:xfrm>
                      <a:off x="0" y="0"/>
                      <a:ext cx="5486400" cy="2467507"/>
                    </a:xfrm>
                    <a:prstGeom prst="rect"/>
                  </pic:spPr>
                </pic:pic>
              </a:graphicData>
            </a:graphic>
          </wp:inline>
        </w:drawing>
      </w:r>
    </w:p>
    <w:p>
      <w:pPr>
        <w:jc w:val="center"/>
      </w:pPr>
      <w:r>
        <w:rPr>
          <w:i/>
          <w:color w:val="78909C"/>
          <w:sz w:val="18"/>
        </w:rPr>
        <w:t>Figure 4: Spatial weights network (left) and binary matrix heatmap (right).</w:t>
      </w:r>
    </w:p>
    <w:p>
      <w:pPr>
        <w:pStyle w:val="Heading2"/>
      </w:pPr>
      <w:r>
        <w:t>3.4 Alternative Weight Specifications</w:t>
      </w:r>
    </w:p>
    <w:p>
      <w:r>
        <w:t>While Queen contiguity is used here, other common specifications include:</w:t>
        <w:br/>
        <w:t>• Rook contiguity: neighbours sharing only an edge (4 neighbours max).</w:t>
        <w:br/>
        <w:t>• Distance-based threshold: w_ij = 1 if d_ij ≤ threshold.</w:t>
        <w:br/>
        <w:t>• K-nearest neighbours: w_ij = 1 if j is among k nearest to i.</w:t>
        <w:br/>
        <w:t>• Inverse distance: w_ij = 1/d_ij^α, where α is a distance decay parameter.</w:t>
        <w:br/>
        <w:t>• Gaussian kernel: w_ij = exp(−d_ij² / 2h²), where h is the bandwidth.</w:t>
      </w:r>
    </w:p>
    <w:p>
      <w:r>
        <w:br w:type="page"/>
      </w:r>
    </w:p>
    <w:p>
      <w:pPr>
        <w:pStyle w:val="Heading1"/>
      </w:pPr>
      <w:r>
        <w:bookmarkStart w:id="3" w:name="moran"/>
        <w:t>4. GLOBAL MORAN'S I</w:t>
        <w:bookmarkEnd w:id="3"/>
      </w:r>
    </w:p>
    <w:p>
      <w:r>
        <w:t>Moran's I, developed by Patrick Alfred Pierce Moran in 1950, is the most widely used measure of global spatial autocorrelation. It quantifies the overall degree to which similar values cluster together across the entire study area.</w:t>
      </w:r>
    </w:p>
    <w:p>
      <w:pPr>
        <w:pStyle w:val="Heading2"/>
      </w:pPr>
      <w:r>
        <w:t>4.1 Mathematical Formulation</w:t>
      </w:r>
    </w:p>
    <w:p>
      <w:r>
        <w:t>The global Moran's I statistic is defined as:</w:t>
        <w:br/>
        <w:br/>
        <w:t>I = [ N / ΣᵢΣⱼ wᵢⱼ ] × [ ΣᵢΣⱼ wᵢⱼ (xᵢ − x̄)(xⱼ − x̄) / Σᵢ (xᵢ − x̄)² ]</w:t>
        <w:br/>
        <w:br/>
        <w:t>where:</w:t>
        <w:br/>
        <w:t>• N = number of spatial observations</w:t>
        <w:br/>
        <w:t>• xᵢ, xⱼ = attribute values at locations i and j</w:t>
        <w:br/>
        <w:t>• x̄ = mean of the attribute</w:t>
        <w:br/>
        <w:t>• wᵢⱼ = element of the spatial weights matrix</w:t>
        <w:br/>
        <w:t>• S₀ = ΣᵢΣⱼ wᵢⱼ = sum of all spatial weights</w:t>
      </w:r>
    </w:p>
    <w:p>
      <w:pPr>
        <w:pStyle w:val="Heading2"/>
      </w:pPr>
      <w:r>
        <w:t>4.2 Interpretation Guide</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Value Range</w:t>
            </w:r>
          </w:p>
        </w:tc>
        <w:tc>
          <w:tcPr>
            <w:tcW w:type="dxa" w:w="4703"/>
          </w:tcPr>
          <w:p>
            <w:r>
              <w:rPr>
                <w:b/>
                <w:sz w:val="20"/>
              </w:rPr>
              <w:t>Interpretation</w:t>
            </w:r>
          </w:p>
        </w:tc>
      </w:tr>
      <w:tr>
        <w:tc>
          <w:tcPr>
            <w:tcW w:type="dxa" w:w="4703"/>
          </w:tcPr>
          <w:p>
            <w:r>
              <w:t>I &gt; 0 (approaching +1)</w:t>
            </w:r>
          </w:p>
        </w:tc>
        <w:tc>
          <w:tcPr>
            <w:tcW w:type="dxa" w:w="4703"/>
          </w:tcPr>
          <w:p>
            <w:r>
              <w:t>Positive spatial autocorrelation: similar values cluster together (High-High or Low-Low)</w:t>
            </w:r>
          </w:p>
        </w:tc>
      </w:tr>
      <w:tr>
        <w:tc>
          <w:tcPr>
            <w:tcW w:type="dxa" w:w="4703"/>
          </w:tcPr>
          <w:p>
            <w:r>
              <w:t>I ≈ 0</w:t>
            </w:r>
          </w:p>
        </w:tc>
        <w:tc>
          <w:tcPr>
            <w:tcW w:type="dxa" w:w="4703"/>
          </w:tcPr>
          <w:p>
            <w:r>
              <w:t>No spatial autocorrelation: values are randomly distributed in space</w:t>
            </w:r>
          </w:p>
        </w:tc>
      </w:tr>
      <w:tr>
        <w:tc>
          <w:tcPr>
            <w:tcW w:type="dxa" w:w="4703"/>
          </w:tcPr>
          <w:p>
            <w:r>
              <w:t>I &lt; 0 (approaching −1)</w:t>
            </w:r>
          </w:p>
        </w:tc>
        <w:tc>
          <w:tcPr>
            <w:tcW w:type="dxa" w:w="4703"/>
          </w:tcPr>
          <w:p>
            <w:r>
              <w:t>Negative spatial autocorrelation: dissimilar values are adjacent (High-Low or Low-High)</w:t>
            </w:r>
          </w:p>
        </w:tc>
      </w:tr>
    </w:tbl>
    <w:p/>
    <w:p>
      <w:r>
        <w:t>Expected value under spatial randomness: E(I) = −1/(N−1) = -0.010101</w:t>
      </w:r>
    </w:p>
    <w:p>
      <w:pPr>
        <w:pStyle w:val="Heading2"/>
      </w:pPr>
      <w:r>
        <w:t>4.3 Computational Results</w:t>
      </w:r>
    </w:p>
    <w:tbl>
      <w:tblPr>
        <w:tblStyle w:val="TableGrid"/>
        <w:tblW w:type="auto" w:w="0"/>
        <w:tblLook w:firstColumn="1" w:firstRow="1" w:lastColumn="0" w:lastRow="0" w:noHBand="0" w:noVBand="1" w:val="04A0"/>
      </w:tblPr>
      <w:tblGrid>
        <w:gridCol w:w="9406"/>
      </w:tblGrid>
      <w:tr>
        <w:tc>
          <w:tcPr>
            <w:tcW w:type="dxa" w:w="9406"/>
            <w:shd w:fill="e8f5e9"/>
            <w:tcBorders>
              <w:top w:val="single" w:sz="4" w:color="e8f5e9"/>
              <w:left w:val="single" w:sz="4" w:color="e8f5e9"/>
              <w:bottom w:val="single" w:sz="4" w:color="e8f5e9"/>
              <w:right w:val="single" w:sz="4" w:color="e8f5e9"/>
            </w:tcBorders>
          </w:tcPr>
          <w:p>
            <w:r>
              <w:rPr>
                <w:b/>
              </w:rPr>
              <w:t>Moran's I Results</w:t>
            </w:r>
            <w:r>
              <w:br/>
              <w:t>• Observed Moran's I = 0.3594</w:t>
            </w:r>
            <w:r>
              <w:br/>
              <w:t>• Expected I (random) = -0.0101</w:t>
            </w:r>
            <w:r>
              <w:br/>
              <w:t>• Z-score = 7.09</w:t>
            </w:r>
            <w:r>
              <w:br/>
              <w:t>• p-value (two-tailed) = 0.000000</w:t>
            </w:r>
            <w:r>
              <w:br/>
              <w:t>• Variance = 0.002715</w:t>
            </w:r>
            <w:r>
              <w:br/>
              <w:t>• Significance: *** p &lt; 0.001</w:t>
            </w:r>
          </w:p>
        </w:tc>
      </w:tr>
    </w:tbl>
    <w:p/>
    <w:p>
      <w:r>
        <w:t>The observed Moran's I of 0.3594 is significantly greater than the expected value of -0.0101 under spatial randomness. With a Z-score of 7.09 and p-value &lt; 0.001, we reject the null hypothesis of spatial randomness. This provides strong statistical evidence of positive spatial autocorrelation: disease prevalence rates in neighbouring cells are significantly more similar than would be expected by chance.</w:t>
      </w:r>
    </w:p>
    <w:p>
      <w:pPr>
        <w:pStyle w:val="Heading2"/>
      </w:pPr>
      <w:r>
        <w:t>4.4 Moran Scatterplot Analysis</w:t>
      </w:r>
    </w:p>
    <w:p>
      <w:r>
        <w:t>The Moran scatterplot (Figure 5) visualises the relationship between each cell's standardised value (x-axis) and its spatial lag—the weighted average of neighbouring values (y-axis). The slope of the regression line equals Moran's I (for row-standardised weights). The four quadrants represent distinct spatial association types:</w:t>
        <w:br/>
        <w:br/>
        <w:t>• Quadrant I (High-High, upper-right): High values surrounded by high values (hot spots)</w:t>
        <w:br/>
        <w:t>• Quadrant II (Low-High, upper-left): Low values surrounded by high values (spatial outlier)</w:t>
        <w:br/>
        <w:t>• Quadrant III (Low-Low, lower-left): Low values surrounded by low values (cold spots)</w:t>
        <w:br/>
        <w:t>• Quadrant IV (High-Low, lower-right): High values surrounded by low values (spatial outlier)</w:t>
      </w:r>
    </w:p>
    <w:p>
      <w:pPr>
        <w:jc w:val="center"/>
      </w:pPr>
      <w:r>
        <w:drawing>
          <wp:inline xmlns:a="http://schemas.openxmlformats.org/drawingml/2006/main" xmlns:pic="http://schemas.openxmlformats.org/drawingml/2006/picture">
            <wp:extent cx="5029200" cy="4518880"/>
            <wp:docPr id="5" name="Picture 5"/>
            <wp:cNvGraphicFramePr>
              <a:graphicFrameLocks noChangeAspect="1"/>
            </wp:cNvGraphicFramePr>
            <a:graphic>
              <a:graphicData uri="http://schemas.openxmlformats.org/drawingml/2006/picture">
                <pic:pic>
                  <pic:nvPicPr>
                    <pic:cNvPr id="0" name="04_moran_scatter.png"/>
                    <pic:cNvPicPr/>
                  </pic:nvPicPr>
                  <pic:blipFill>
                    <a:blip r:embed="rId13"/>
                    <a:stretch>
                      <a:fillRect/>
                    </a:stretch>
                  </pic:blipFill>
                  <pic:spPr>
                    <a:xfrm>
                      <a:off x="0" y="0"/>
                      <a:ext cx="5029200" cy="4518880"/>
                    </a:xfrm>
                    <a:prstGeom prst="rect"/>
                  </pic:spPr>
                </pic:pic>
              </a:graphicData>
            </a:graphic>
          </wp:inline>
        </w:drawing>
      </w:r>
    </w:p>
    <w:p>
      <w:pPr>
        <w:jc w:val="center"/>
      </w:pPr>
      <w:r>
        <w:rPr>
          <w:i/>
          <w:color w:val="78909C"/>
          <w:sz w:val="18"/>
        </w:rPr>
        <w:t>Figure 5: Moran scatterplot with quadrant classification. The regression slope equals the global Moran's I statistic.</w:t>
      </w:r>
    </w:p>
    <w:p>
      <w:r>
        <w:br w:type="page"/>
      </w:r>
    </w:p>
    <w:p>
      <w:pPr>
        <w:pStyle w:val="Heading1"/>
      </w:pPr>
      <w:r>
        <w:bookmarkStart w:id="4" w:name="geary"/>
        <w:t>5. GEARY'S C STATISTIC</w:t>
        <w:bookmarkEnd w:id="4"/>
      </w:r>
    </w:p>
    <w:p>
      <w:r>
        <w:t>Geary's C, developed by Robert Cressie Geary in 1954, provides a complementary measure of global spatial autocorrelation. While Moran's I is based on the covariance between neighbouring values, Geary's C is based on the squared differences between neighbouring values, making it more sensitive to local spatial variation.</w:t>
      </w:r>
    </w:p>
    <w:p>
      <w:pPr>
        <w:pStyle w:val="Heading2"/>
      </w:pPr>
      <w:r>
        <w:t>5.1 Mathematical Formulation</w:t>
      </w:r>
    </w:p>
    <w:p>
      <w:r>
        <w:t>The global Geary's C statistic is defined as:</w:t>
        <w:br/>
        <w:br/>
        <w:t>C = [ (N−1) / (2 S₀) ] × [ ΣᵢΣⱼ wᵢⱼ (xᵢ − xⱼ)² / Σᵢ (xᵢ − x̄)² ]</w:t>
        <w:br/>
        <w:br/>
        <w:t>where the notation follows Moran's I, but the numerator now captures squared differences rather than cross-products.</w:t>
      </w:r>
    </w:p>
    <w:p>
      <w:pPr>
        <w:pStyle w:val="Heading2"/>
      </w:pPr>
      <w:r>
        <w:t>5.2 Interpretation Guide</w:t>
      </w:r>
    </w:p>
    <w:tbl>
      <w:tblPr>
        <w:tblStyle w:val="TableGrid"/>
        <w:tblW w:type="auto" w:w="0"/>
        <w:tblLook w:firstColumn="1" w:firstRow="1" w:lastColumn="0" w:lastRow="0" w:noHBand="0" w:noVBand="1" w:val="04A0"/>
      </w:tblPr>
      <w:tblGrid>
        <w:gridCol w:w="4703"/>
        <w:gridCol w:w="4703"/>
      </w:tblGrid>
      <w:tr>
        <w:tc>
          <w:tcPr>
            <w:tcW w:type="dxa" w:w="4703"/>
          </w:tcPr>
          <w:p>
            <w:r>
              <w:rPr>
                <w:b/>
              </w:rPr>
              <w:t>Value Range</w:t>
            </w:r>
          </w:p>
        </w:tc>
        <w:tc>
          <w:tcPr>
            <w:tcW w:type="dxa" w:w="4703"/>
          </w:tcPr>
          <w:p>
            <w:r>
              <w:rPr>
                <w:b/>
              </w:rPr>
              <w:t>Interpretation</w:t>
            </w:r>
          </w:p>
        </w:tc>
      </w:tr>
      <w:tr>
        <w:tc>
          <w:tcPr>
            <w:tcW w:type="dxa" w:w="4703"/>
          </w:tcPr>
          <w:p>
            <w:r>
              <w:t>C &lt; 1 (approaching 0)</w:t>
            </w:r>
          </w:p>
        </w:tc>
        <w:tc>
          <w:tcPr>
            <w:tcW w:type="dxa" w:w="4703"/>
          </w:tcPr>
          <w:p>
            <w:r>
              <w:t>Positive spatial autocorrelation: neighbouring values are similar (small differences)</w:t>
            </w:r>
          </w:p>
        </w:tc>
      </w:tr>
      <w:tr>
        <w:tc>
          <w:tcPr>
            <w:tcW w:type="dxa" w:w="4703"/>
          </w:tcPr>
          <w:p>
            <w:r>
              <w:t>C ≈ 1</w:t>
            </w:r>
          </w:p>
        </w:tc>
        <w:tc>
          <w:tcPr>
            <w:tcW w:type="dxa" w:w="4703"/>
          </w:tcPr>
          <w:p>
            <w:r>
              <w:t>No spatial autocorrelation: differences consistent with spatial randomness</w:t>
            </w:r>
          </w:p>
        </w:tc>
      </w:tr>
      <w:tr>
        <w:tc>
          <w:tcPr>
            <w:tcW w:type="dxa" w:w="4703"/>
          </w:tcPr>
          <w:p>
            <w:r>
              <w:t>C &gt; 1</w:t>
            </w:r>
          </w:p>
        </w:tc>
        <w:tc>
          <w:tcPr>
            <w:tcW w:type="dxa" w:w="4703"/>
          </w:tcPr>
          <w:p>
            <w:r>
              <w:t>Negative spatial autocorrelation: neighbouring values are dissimilar (large differences)</w:t>
            </w:r>
          </w:p>
        </w:tc>
      </w:tr>
    </w:tbl>
    <w:p/>
    <w:p>
      <w:r>
        <w:t>Expected value under spatial randomness: E(C) = 1.0</w:t>
      </w:r>
    </w:p>
    <w:p>
      <w:pPr>
        <w:pStyle w:val="Heading2"/>
      </w:pPr>
      <w:r>
        <w:t>5.3 Computational Results</w:t>
      </w:r>
    </w:p>
    <w:tbl>
      <w:tblPr>
        <w:tblStyle w:val="TableGrid"/>
        <w:tblW w:type="auto" w:w="0"/>
        <w:tblLook w:firstColumn="1" w:firstRow="1" w:lastColumn="0" w:lastRow="0" w:noHBand="0" w:noVBand="1" w:val="04A0"/>
      </w:tblPr>
      <w:tblGrid>
        <w:gridCol w:w="9406"/>
      </w:tblGrid>
      <w:tr>
        <w:tc>
          <w:tcPr>
            <w:tcW w:type="dxa" w:w="9406"/>
            <w:shd w:fill="fff3e0"/>
            <w:tcBorders>
              <w:top w:val="single" w:sz="4" w:color="fff3e0"/>
              <w:left w:val="single" w:sz="4" w:color="fff3e0"/>
              <w:bottom w:val="single" w:sz="4" w:color="fff3e0"/>
              <w:right w:val="single" w:sz="4" w:color="fff3e0"/>
            </w:tcBorders>
          </w:tcPr>
          <w:p>
            <w:r>
              <w:rPr>
                <w:b/>
              </w:rPr>
              <w:t>Geary's C Results</w:t>
            </w:r>
            <w:r>
              <w:br/>
              <w:t>• Observed Geary's C = 0.6709</w:t>
            </w:r>
            <w:r>
              <w:br/>
              <w:t>• Expected C (random) = 1.0000</w:t>
            </w:r>
            <w:r>
              <w:br/>
              <w:t>• Z-score = -5.59</w:t>
            </w:r>
            <w:r>
              <w:br/>
              <w:t>• p-value (two-tailed) = 0.000000</w:t>
            </w:r>
            <w:r>
              <w:br/>
              <w:t>• Variance = 0.003467</w:t>
            </w:r>
            <w:r>
              <w:br/>
              <w:t>• Significance: *** p &lt; 0.001</w:t>
            </w:r>
          </w:p>
        </w:tc>
      </w:tr>
    </w:tbl>
    <w:p/>
    <w:p>
      <w:r>
        <w:t>The observed Geary's C of 0.6709 is significantly less than the expected value of 1.0. With a Z-score of -5.59 and p-value &lt; 0.001, this confirms significant positive spatial autocorrelation. The result is fully consistent with Moran's I: neighbouring cells have more similar prevalence rates than expected by chance.</w:t>
      </w:r>
    </w:p>
    <w:p>
      <w:pPr>
        <w:pStyle w:val="Heading2"/>
      </w:pPr>
      <w:r>
        <w:t>5.4 Comparison: Moran's I vs. Geary's C</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Property</w:t>
            </w:r>
          </w:p>
        </w:tc>
        <w:tc>
          <w:tcPr>
            <w:tcW w:type="dxa" w:w="3135"/>
          </w:tcPr>
          <w:p>
            <w:r>
              <w:rPr>
                <w:b/>
              </w:rPr>
              <w:t>Moran's I</w:t>
            </w:r>
          </w:p>
        </w:tc>
        <w:tc>
          <w:tcPr>
            <w:tcW w:type="dxa" w:w="3135"/>
          </w:tcPr>
          <w:p>
            <w:r>
              <w:rPr>
                <w:b/>
              </w:rPr>
              <w:t>Geary's C</w:t>
            </w:r>
          </w:p>
        </w:tc>
      </w:tr>
      <w:tr>
        <w:tc>
          <w:tcPr>
            <w:tcW w:type="dxa" w:w="3135"/>
          </w:tcPr>
          <w:p>
            <w:r>
              <w:t>Mathematical basis</w:t>
            </w:r>
          </w:p>
        </w:tc>
        <w:tc>
          <w:tcPr>
            <w:tcW w:type="dxa" w:w="3135"/>
          </w:tcPr>
          <w:p>
            <w:r>
              <w:t>Cross-product covariance</w:t>
            </w:r>
          </w:p>
        </w:tc>
        <w:tc>
          <w:tcPr>
            <w:tcW w:type="dxa" w:w="3135"/>
          </w:tcPr>
          <w:p>
            <w:r>
              <w:t>Squared differences</w:t>
            </w:r>
          </w:p>
        </w:tc>
      </w:tr>
      <w:tr>
        <w:tc>
          <w:tcPr>
            <w:tcW w:type="dxa" w:w="3135"/>
          </w:tcPr>
          <w:p>
            <w:r>
              <w:t>Perfect clustering</w:t>
            </w:r>
          </w:p>
        </w:tc>
        <w:tc>
          <w:tcPr>
            <w:tcW w:type="dxa" w:w="3135"/>
          </w:tcPr>
          <w:p>
            <w:r>
              <w:t>I → +1</w:t>
            </w:r>
          </w:p>
        </w:tc>
        <w:tc>
          <w:tcPr>
            <w:tcW w:type="dxa" w:w="3135"/>
          </w:tcPr>
          <w:p>
            <w:r>
              <w:t>C → 0</w:t>
            </w:r>
          </w:p>
        </w:tc>
      </w:tr>
      <w:tr>
        <w:tc>
          <w:tcPr>
            <w:tcW w:type="dxa" w:w="3135"/>
          </w:tcPr>
          <w:p>
            <w:r>
              <w:t>Perfect dispersion</w:t>
            </w:r>
          </w:p>
        </w:tc>
        <w:tc>
          <w:tcPr>
            <w:tcW w:type="dxa" w:w="3135"/>
          </w:tcPr>
          <w:p>
            <w:r>
              <w:t>I → −1</w:t>
            </w:r>
          </w:p>
        </w:tc>
        <w:tc>
          <w:tcPr>
            <w:tcW w:type="dxa" w:w="3135"/>
          </w:tcPr>
          <w:p>
            <w:r>
              <w:t>C → +∞</w:t>
            </w:r>
          </w:p>
        </w:tc>
      </w:tr>
      <w:tr>
        <w:tc>
          <w:tcPr>
            <w:tcW w:type="dxa" w:w="3135"/>
          </w:tcPr>
          <w:p>
            <w:r>
              <w:t>Sensitivity</w:t>
            </w:r>
          </w:p>
        </w:tc>
        <w:tc>
          <w:tcPr>
            <w:tcW w:type="dxa" w:w="3135"/>
          </w:tcPr>
          <w:p>
            <w:r>
              <w:t>Global pattern</w:t>
            </w:r>
          </w:p>
        </w:tc>
        <w:tc>
          <w:tcPr>
            <w:tcW w:type="dxa" w:w="3135"/>
          </w:tcPr>
          <w:p>
            <w:r>
              <w:t>Local variation</w:t>
            </w:r>
          </w:p>
        </w:tc>
      </w:tr>
    </w:tbl>
    <w:p/>
    <w:p>
      <w:pPr>
        <w:pStyle w:val="Heading2"/>
      </w:pPr>
      <w:r>
        <w:t>5.5 Local Geary Index Map</w:t>
      </w:r>
    </w:p>
    <w:p>
      <w:r>
        <w:t>Figure 6 displays the local Geary index (cᵢ) for each cell. Higher values indicate regions where a cell differs markedly from its neighbours, serving as a local measure of spatial heterogeneity.</w:t>
      </w:r>
    </w:p>
    <w:p>
      <w:pPr>
        <w:jc w:val="center"/>
      </w:pPr>
      <w:r>
        <w:drawing>
          <wp:inline xmlns:a="http://schemas.openxmlformats.org/drawingml/2006/main" xmlns:pic="http://schemas.openxmlformats.org/drawingml/2006/picture">
            <wp:extent cx="5029200" cy="4714875"/>
            <wp:docPr id="6" name="Picture 6"/>
            <wp:cNvGraphicFramePr>
              <a:graphicFrameLocks noChangeAspect="1"/>
            </wp:cNvGraphicFramePr>
            <a:graphic>
              <a:graphicData uri="http://schemas.openxmlformats.org/drawingml/2006/picture">
                <pic:pic>
                  <pic:nvPicPr>
                    <pic:cNvPr id="0" name="06_geary_map.png"/>
                    <pic:cNvPicPr/>
                  </pic:nvPicPr>
                  <pic:blipFill>
                    <a:blip r:embed="rId14"/>
                    <a:stretch>
                      <a:fillRect/>
                    </a:stretch>
                  </pic:blipFill>
                  <pic:spPr>
                    <a:xfrm>
                      <a:off x="0" y="0"/>
                      <a:ext cx="5029200" cy="4714875"/>
                    </a:xfrm>
                    <a:prstGeom prst="rect"/>
                  </pic:spPr>
                </pic:pic>
              </a:graphicData>
            </a:graphic>
          </wp:inline>
        </w:drawing>
      </w:r>
    </w:p>
    <w:p>
      <w:pPr>
        <w:jc w:val="center"/>
      </w:pPr>
      <w:r>
        <w:rPr>
          <w:i/>
          <w:color w:val="78909C"/>
          <w:sz w:val="18"/>
        </w:rPr>
        <w:t>Figure 6: Local Geary index map. Warmer colours indicate greater dissimilarity with neighbouring cells.</w:t>
      </w:r>
    </w:p>
    <w:p>
      <w:r>
        <w:br w:type="page"/>
      </w:r>
    </w:p>
    <w:p>
      <w:pPr>
        <w:pStyle w:val="Heading1"/>
      </w:pPr>
      <w:r>
        <w:bookmarkStart w:id="5" w:name="lisa"/>
        <w:t>6. LOCAL INDICATORS OF SPATIAL ASSOCIATION (LISA)</w:t>
        <w:bookmarkEnd w:id="5"/>
      </w:r>
    </w:p>
    <w:p>
      <w:r>
        <w:t>Local Indicators of Spatial Association (LISA), introduced by Luc Anselin in 1995, decompose the global Moran's I statistic into local components. LISA enables the identification of specific locations that contribute significantly to the overall spatial autocorrelation pattern, distinguishing between hot spots, cold spots, and spatial outliers.</w:t>
      </w:r>
    </w:p>
    <w:p>
      <w:pPr>
        <w:pStyle w:val="Heading2"/>
      </w:pPr>
      <w:r>
        <w:t>6.1 Local Moran's I Formula</w:t>
      </w:r>
    </w:p>
    <w:p>
      <w:r>
        <w:t>For each location i, the local Moran's I is:</w:t>
        <w:br/>
        <w:br/>
        <w:t>Iᵢ = zᵢ × Σⱼ wᵢⱼ zⱼ</w:t>
        <w:br/>
        <w:br/>
        <w:t>where zᵢ = (xᵢ − x̄) / s is the standardised value and Σⱼ wᵢⱼ zⱼ is the spatial lag. The sum of all local Iᵢ values is proportional to the global Moran's I.</w:t>
      </w:r>
    </w:p>
    <w:p>
      <w:pPr>
        <w:pStyle w:val="Heading2"/>
      </w:pPr>
      <w:r>
        <w:t>6.2 Cluster Classification</w:t>
      </w:r>
    </w:p>
    <w:p>
      <w:r>
        <w:t>Each cell is classified into one of four quadrants based on the sign of zᵢ and its spatial lag:</w:t>
        <w:br/>
        <w:br/>
        <w:t>• High-High (HH): High values surrounded by high values — hot spot</w:t>
        <w:br/>
        <w:t>• Low-Low (LL): Low values surrounded by low values — cold spot</w:t>
        <w:br/>
        <w:t>• High-Low (HL): High value surrounded by low values — spatial outlier</w:t>
        <w:br/>
        <w:t>• Low-High (LH): Low value surrounded by high values — spatial outlier</w:t>
      </w:r>
    </w:p>
    <w:tbl>
      <w:tblPr>
        <w:tblStyle w:val="TableGrid"/>
        <w:tblW w:type="auto" w:w="0"/>
        <w:tblLook w:firstColumn="1" w:firstRow="1" w:lastColumn="0" w:lastRow="0" w:noHBand="0" w:noVBand="1" w:val="04A0"/>
      </w:tblPr>
      <w:tblGrid>
        <w:gridCol w:w="9406"/>
      </w:tblGrid>
      <w:tr>
        <w:tc>
          <w:tcPr>
            <w:tcW w:type="dxa" w:w="9406"/>
            <w:shd w:fill="fce4ec"/>
            <w:tcBorders>
              <w:top w:val="single" w:sz="4" w:color="fce4ec"/>
              <w:left w:val="single" w:sz="4" w:color="fce4ec"/>
              <w:bottom w:val="single" w:sz="4" w:color="fce4ec"/>
              <w:right w:val="single" w:sz="4" w:color="fce4ec"/>
            </w:tcBorders>
          </w:tcPr>
          <w:p>
            <w:r>
              <w:rPr>
                <w:b/>
              </w:rPr>
              <w:t>LISA Cluster Summary</w:t>
            </w:r>
            <w:r>
              <w:br/>
              <w:t>• High-High (Hot Spots): 42 cells (42.0%)</w:t>
            </w:r>
            <w:r>
              <w:br/>
              <w:t>• Low-Low (Cold Spots): 37 cells (37.0%)</w:t>
            </w:r>
            <w:r>
              <w:br/>
              <w:t>• High-Low (Outliers): 13 cells (13.0%)</w:t>
            </w:r>
            <w:r>
              <w:br/>
              <w:t>• Low-High (Outliers): 8 cells (8.0%)</w:t>
            </w:r>
            <w:r>
              <w:br/>
              <w:t>• Total classified: 100 of 100 cells</w:t>
            </w:r>
          </w:p>
        </w:tc>
      </w:tr>
    </w:tbl>
    <w:p/>
    <w:p>
      <w:pPr>
        <w:pStyle w:val="Heading2"/>
      </w:pPr>
      <w:r>
        <w:t>6.3 LISA Cluster Map</w:t>
      </w:r>
    </w:p>
    <w:p>
      <w:r>
        <w:t>Figure 7 presents the LISA cluster map. Red cells (HH) represent statistically significant hot spots where high-prevalence areas cluster together. Blue cells (LL) represent cold spots. Orange and green cells are spatial outliers where a cell differs from its neighbours.</w:t>
      </w:r>
    </w:p>
    <w:p>
      <w:pPr>
        <w:jc w:val="center"/>
      </w:pPr>
      <w:r>
        <w:drawing>
          <wp:inline xmlns:a="http://schemas.openxmlformats.org/drawingml/2006/main" xmlns:pic="http://schemas.openxmlformats.org/drawingml/2006/picture">
            <wp:extent cx="5029200" cy="4077104"/>
            <wp:docPr id="7" name="Picture 7"/>
            <wp:cNvGraphicFramePr>
              <a:graphicFrameLocks noChangeAspect="1"/>
            </wp:cNvGraphicFramePr>
            <a:graphic>
              <a:graphicData uri="http://schemas.openxmlformats.org/drawingml/2006/picture">
                <pic:pic>
                  <pic:nvPicPr>
                    <pic:cNvPr id="0" name="05_lisa_map.png"/>
                    <pic:cNvPicPr/>
                  </pic:nvPicPr>
                  <pic:blipFill>
                    <a:blip r:embed="rId15"/>
                    <a:stretch>
                      <a:fillRect/>
                    </a:stretch>
                  </pic:blipFill>
                  <pic:spPr>
                    <a:xfrm>
                      <a:off x="0" y="0"/>
                      <a:ext cx="5029200" cy="4077104"/>
                    </a:xfrm>
                    <a:prstGeom prst="rect"/>
                  </pic:spPr>
                </pic:pic>
              </a:graphicData>
            </a:graphic>
          </wp:inline>
        </w:drawing>
      </w:r>
    </w:p>
    <w:p>
      <w:pPr>
        <w:jc w:val="center"/>
      </w:pPr>
      <w:r>
        <w:rPr>
          <w:i/>
          <w:color w:val="78909C"/>
          <w:sz w:val="18"/>
        </w:rPr>
        <w:t>Figure 7: LISA cluster map showing local spatial autocorrelation patterns.</w:t>
      </w:r>
    </w:p>
    <w:p>
      <w:r>
        <w:br w:type="page"/>
      </w:r>
    </w:p>
    <w:p>
      <w:pPr>
        <w:pStyle w:val="Heading1"/>
      </w:pPr>
      <w:r>
        <w:bookmarkStart w:id="6" w:name="hotspot"/>
        <w:t>7. HOTSPOT DETECTION (GETIS-ORD Gi*)</w:t>
        <w:bookmarkEnd w:id="6"/>
      </w:r>
    </w:p>
    <w:p>
      <w:r>
        <w:t>The Getis-Ord Gi* statistic, developed by Arthur Getis and J. Keith Ord in 1992, identifies statistically significant spatial clusters of high values (hot spots) and low values (cold spots). Unlike Moran's I which measures similarity, Gi* measures the concentration of high or low values within a local neighbourhood.</w:t>
      </w:r>
    </w:p>
    <w:p>
      <w:pPr>
        <w:pStyle w:val="Heading2"/>
      </w:pPr>
      <w:r>
        <w:t>7.1 Gi* Formula</w:t>
      </w:r>
    </w:p>
    <w:p>
      <w:r>
        <w:t>The Getis-Ord Gi* statistic for location i is:</w:t>
        <w:br/>
        <w:br/>
        <w:t>Gi* = [ Σⱼ wᵢⱼ xⱼ − x̄ Σⱼ wᵢⱼ ] / [ s √{ (n Σⱼ wᵢⱼ² − (Σⱼ wᵢⱼ)²) / (n−1) } ]</w:t>
        <w:br/>
        <w:br/>
        <w:t>where s is the global standard deviation. Positive Z-scores indicate hot spots; negative Z-scores indicate cold spots.</w:t>
      </w:r>
    </w:p>
    <w:p>
      <w:pPr>
        <w:pStyle w:val="Heading2"/>
      </w:pPr>
      <w:r>
        <w:t>7.2 Significance Thresholds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Z-score Range</w:t>
            </w:r>
          </w:p>
        </w:tc>
        <w:tc>
          <w:tcPr>
            <w:tcW w:type="dxa" w:w="3135"/>
          </w:tcPr>
          <w:p>
            <w:r>
              <w:rPr>
                <w:b/>
              </w:rPr>
              <w:t>Confidence Level</w:t>
            </w:r>
          </w:p>
        </w:tc>
        <w:tc>
          <w:tcPr>
            <w:tcW w:type="dxa" w:w="3135"/>
          </w:tcPr>
          <w:p>
            <w:r>
              <w:rPr>
                <w:b/>
              </w:rPr>
              <w:t>Classification</w:t>
            </w:r>
          </w:p>
        </w:tc>
      </w:tr>
      <w:tr>
        <w:tc>
          <w:tcPr>
            <w:tcW w:type="dxa" w:w="3135"/>
          </w:tcPr>
          <w:p>
            <w:r>
              <w:t>Z &gt; 2.58</w:t>
            </w:r>
          </w:p>
        </w:tc>
        <w:tc>
          <w:tcPr>
            <w:tcW w:type="dxa" w:w="3135"/>
          </w:tcPr>
          <w:p>
            <w:r>
              <w:t>99%</w:t>
            </w:r>
          </w:p>
        </w:tc>
        <w:tc>
          <w:tcPr>
            <w:tcW w:type="dxa" w:w="3135"/>
          </w:tcPr>
          <w:p>
            <w:r>
              <w:t>Very significant hot spot</w:t>
            </w:r>
          </w:p>
        </w:tc>
      </w:tr>
      <w:tr>
        <w:tc>
          <w:tcPr>
            <w:tcW w:type="dxa" w:w="3135"/>
          </w:tcPr>
          <w:p>
            <w:r>
              <w:t>1.96 &lt; Z ≤ 2.58</w:t>
            </w:r>
          </w:p>
        </w:tc>
        <w:tc>
          <w:tcPr>
            <w:tcW w:type="dxa" w:w="3135"/>
          </w:tcPr>
          <w:p>
            <w:r>
              <w:t>95%</w:t>
            </w:r>
          </w:p>
        </w:tc>
        <w:tc>
          <w:tcPr>
            <w:tcW w:type="dxa" w:w="3135"/>
          </w:tcPr>
          <w:p>
            <w:r>
              <w:t>Significant hot spot</w:t>
            </w:r>
          </w:p>
        </w:tc>
      </w:tr>
      <w:tr>
        <w:tc>
          <w:tcPr>
            <w:tcW w:type="dxa" w:w="3135"/>
          </w:tcPr>
          <w:p>
            <w:r>
              <w:t>1.65 &lt; Z ≤ 1.96</w:t>
            </w:r>
          </w:p>
        </w:tc>
        <w:tc>
          <w:tcPr>
            <w:tcW w:type="dxa" w:w="3135"/>
          </w:tcPr>
          <w:p>
            <w:r>
              <w:t>90%</w:t>
            </w:r>
          </w:p>
        </w:tc>
        <w:tc>
          <w:tcPr>
            <w:tcW w:type="dxa" w:w="3135"/>
          </w:tcPr>
          <w:p>
            <w:r>
              <w:t>Marginally significant hot spot</w:t>
            </w:r>
          </w:p>
        </w:tc>
      </w:tr>
      <w:tr>
        <w:tc>
          <w:tcPr>
            <w:tcW w:type="dxa" w:w="3135"/>
          </w:tcPr>
          <w:p>
            <w:r>
              <w:t>−1.65 ≤ Z ≤ 1.65</w:t>
            </w:r>
          </w:p>
        </w:tc>
        <w:tc>
          <w:tcPr>
            <w:tcW w:type="dxa" w:w="3135"/>
          </w:tcPr>
          <w:p>
            <w:r>
              <w:t>—</w:t>
            </w:r>
          </w:p>
        </w:tc>
        <w:tc>
          <w:tcPr>
            <w:tcW w:type="dxa" w:w="3135"/>
          </w:tcPr>
          <w:p>
            <w:r>
              <w:t>Not significant</w:t>
            </w:r>
          </w:p>
        </w:tc>
      </w:tr>
      <w:tr>
        <w:tc>
          <w:tcPr>
            <w:tcW w:type="dxa" w:w="3135"/>
          </w:tcPr>
          <w:p>
            <w:r>
              <w:t>Z &lt; −1.96</w:t>
            </w:r>
          </w:p>
        </w:tc>
        <w:tc>
          <w:tcPr>
            <w:tcW w:type="dxa" w:w="3135"/>
          </w:tcPr>
          <w:p>
            <w:r>
              <w:t>95%</w:t>
            </w:r>
          </w:p>
        </w:tc>
        <w:tc>
          <w:tcPr>
            <w:tcW w:type="dxa" w:w="3135"/>
          </w:tcPr>
          <w:p>
            <w:r>
              <w:t>Significant cold spot</w:t>
            </w:r>
          </w:p>
        </w:tc>
      </w:tr>
    </w:tbl>
    <w:p/>
    <w:p>
      <w:pPr>
        <w:pStyle w:val="Heading2"/>
      </w:pPr>
      <w:r>
        <w:t>7.3 Hotspot Map</w:t>
      </w:r>
    </w:p>
    <w:p>
      <w:r>
        <w:t>Figure 8 displays the Getis-Ord Gi* Z-score map. Red tones indicate statistically significant hot spots (high values clustered together), while blue tones indicate cold spots (low values clustered together). The spatial pattern closely aligns with the LISA High-High and Low-Low clusters, providing convergent validation.</w:t>
      </w:r>
    </w:p>
    <w:p>
      <w:pPr>
        <w:jc w:val="center"/>
      </w:pPr>
      <w:r>
        <w:drawing>
          <wp:inline xmlns:a="http://schemas.openxmlformats.org/drawingml/2006/main" xmlns:pic="http://schemas.openxmlformats.org/drawingml/2006/picture">
            <wp:extent cx="5029200" cy="4727395"/>
            <wp:docPr id="8" name="Picture 8"/>
            <wp:cNvGraphicFramePr>
              <a:graphicFrameLocks noChangeAspect="1"/>
            </wp:cNvGraphicFramePr>
            <a:graphic>
              <a:graphicData uri="http://schemas.openxmlformats.org/drawingml/2006/picture">
                <pic:pic>
                  <pic:nvPicPr>
                    <pic:cNvPr id="0" name="07_hotspot_map.png"/>
                    <pic:cNvPicPr/>
                  </pic:nvPicPr>
                  <pic:blipFill>
                    <a:blip r:embed="rId16"/>
                    <a:stretch>
                      <a:fillRect/>
                    </a:stretch>
                  </pic:blipFill>
                  <pic:spPr>
                    <a:xfrm>
                      <a:off x="0" y="0"/>
                      <a:ext cx="5029200" cy="4727395"/>
                    </a:xfrm>
                    <a:prstGeom prst="rect"/>
                  </pic:spPr>
                </pic:pic>
              </a:graphicData>
            </a:graphic>
          </wp:inline>
        </w:drawing>
      </w:r>
    </w:p>
    <w:p>
      <w:pPr>
        <w:jc w:val="center"/>
      </w:pPr>
      <w:r>
        <w:rPr>
          <w:i/>
          <w:color w:val="78909C"/>
          <w:sz w:val="18"/>
        </w:rPr>
        <w:t>Figure 8: Getis-Ord Gi* hotspot and coldspot map with Z-score classification.</w:t>
      </w:r>
    </w:p>
    <w:p>
      <w:r>
        <w:br w:type="page"/>
      </w:r>
    </w:p>
    <w:p>
      <w:pPr>
        <w:pStyle w:val="Heading1"/>
      </w:pPr>
      <w:r>
        <w:bookmarkStart w:id="7" w:name="pointpattern"/>
        <w:t>8. POINT PATTERN ANALYSIS</w:t>
        <w:bookmarkEnd w:id="7"/>
      </w:r>
    </w:p>
    <w:p>
      <w:r>
        <w:t>Point pattern analysis examines the spatial arrangement of discrete events or objects in space. The fundamental question is whether the observed pattern is clustered, dispersed (regular), or consistent with Complete Spatial Randomness (CSR). This section analyses three archetypal point patterns generated via different stochastic processes.</w:t>
      </w:r>
    </w:p>
    <w:p>
      <w:pPr>
        <w:pStyle w:val="Heading2"/>
      </w:pPr>
      <w:r>
        <w:t>8.1 Pattern Types</w:t>
      </w:r>
    </w:p>
    <w:p>
      <w:r>
        <w:t>Three fundamental point pattern types are examined:</w:t>
        <w:br/>
        <w:br/>
        <w:t>1. Complete Spatial Randomness (CSR): Points generated by a homogeneous Poisson process. Each point location is independent and uniformly distributed across the study area. This serves as the null hypothesis.</w:t>
        <w:br/>
        <w:br/>
        <w:t>2. Clustered Pattern: Points generated via a Thomas cluster process (Neyman-Scott type). Parent points are randomly distributed, and offspring points are normally dispersed around each parent. This mimics disease outbreaks, crime incidents, or retail clustering.</w:t>
        <w:br/>
        <w:br/>
        <w:t>3. Regular (Dispersed) Pattern: Points generated on a perturbed regular grid. Each grid point is displaced by a small random amount. This represents territorial behaviour, resource competition, or planned infrastructure.</w:t>
      </w:r>
    </w:p>
    <w:p>
      <w:pPr>
        <w:pStyle w:val="Heading2"/>
      </w:pPr>
      <w:r>
        <w:t>8.2 Visual Comparison</w:t>
      </w:r>
    </w:p>
    <w:p>
      <w:r>
        <w:t>Figure 9 presents the three point patterns side-by-side within a 10×10 km study area. The clustered pattern shows clear aggregation around parent centres; the regular pattern shows even spacing; and the CSR pattern shows no discernible structure.</w:t>
      </w:r>
    </w:p>
    <w:p>
      <w:pPr>
        <w:jc w:val="center"/>
      </w:pPr>
      <w:r>
        <w:drawing>
          <wp:inline xmlns:a="http://schemas.openxmlformats.org/drawingml/2006/main" xmlns:pic="http://schemas.openxmlformats.org/drawingml/2006/picture">
            <wp:extent cx="5486400" cy="1892672"/>
            <wp:docPr id="9" name="Picture 9"/>
            <wp:cNvGraphicFramePr>
              <a:graphicFrameLocks noChangeAspect="1"/>
            </wp:cNvGraphicFramePr>
            <a:graphic>
              <a:graphicData uri="http://schemas.openxmlformats.org/drawingml/2006/picture">
                <pic:pic>
                  <pic:nvPicPr>
                    <pic:cNvPr id="0" name="08_point_patterns.png"/>
                    <pic:cNvPicPr/>
                  </pic:nvPicPr>
                  <pic:blipFill>
                    <a:blip r:embed="rId17"/>
                    <a:stretch>
                      <a:fillRect/>
                    </a:stretch>
                  </pic:blipFill>
                  <pic:spPr>
                    <a:xfrm>
                      <a:off x="0" y="0"/>
                      <a:ext cx="5486400" cy="1892672"/>
                    </a:xfrm>
                    <a:prstGeom prst="rect"/>
                  </pic:spPr>
                </pic:pic>
              </a:graphicData>
            </a:graphic>
          </wp:inline>
        </w:drawing>
      </w:r>
    </w:p>
    <w:p>
      <w:pPr>
        <w:jc w:val="center"/>
      </w:pPr>
      <w:r>
        <w:rPr>
          <w:i/>
          <w:color w:val="78909C"/>
          <w:sz w:val="18"/>
        </w:rPr>
        <w:t>Figure 9: Three archetypal point patterns: CSR (left), Clustered (centre), and Regular (right).</w:t>
      </w:r>
    </w:p>
    <w:p>
      <w:pPr>
        <w:pStyle w:val="Heading2"/>
      </w:pPr>
      <w:r>
        <w:t>8.3 Nearest Neighbour Analysis</w:t>
      </w:r>
    </w:p>
    <w:p>
      <w:r>
        <w:t>The Nearest Neighbour Index (NNI or R) compares the observed mean nearest-neighbour distance to the expected distance under CSR:</w:t>
        <w:br/>
        <w:br/>
        <w:t>R = d̄_obs / d̄_exp    where    d̄_exp = 0.5 / √(n/A)</w:t>
        <w:br/>
        <w:br/>
        <w:t>• R &lt; 0.9: Significant clustering</w:t>
        <w:br/>
        <w:t>• 0.9 ≤ R ≤ 1.1: Consistent with CSR (random)</w:t>
        <w:br/>
        <w:t>• R &gt; 1.1: Significant dispersion (regularity)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Pattern</w:t>
            </w:r>
          </w:p>
        </w:tc>
        <w:tc>
          <w:tcPr>
            <w:tcW w:type="dxa" w:w="2351"/>
          </w:tcPr>
          <w:p>
            <w:r>
              <w:rPr>
                <w:b/>
              </w:rPr>
              <w:t>NNI (R)</w:t>
            </w:r>
          </w:p>
        </w:tc>
        <w:tc>
          <w:tcPr>
            <w:tcW w:type="dxa" w:w="2351"/>
          </w:tcPr>
          <w:p>
            <w:r>
              <w:rPr>
                <w:b/>
              </w:rPr>
              <w:t>Observed d̄ (km)</w:t>
            </w:r>
          </w:p>
        </w:tc>
        <w:tc>
          <w:tcPr>
            <w:tcW w:type="dxa" w:w="2351"/>
          </w:tcPr>
          <w:p>
            <w:r>
              <w:rPr>
                <w:b/>
              </w:rPr>
              <w:t>Classification</w:t>
            </w:r>
          </w:p>
        </w:tc>
      </w:tr>
      <w:tr>
        <w:tc>
          <w:tcPr>
            <w:tcW w:type="dxa" w:w="2351"/>
          </w:tcPr>
          <w:p>
            <w:r>
              <w:t>CSR</w:t>
            </w:r>
          </w:p>
        </w:tc>
        <w:tc>
          <w:tcPr>
            <w:tcW w:type="dxa" w:w="2351"/>
          </w:tcPr>
          <w:p>
            <w:r>
              <w:t>1.113</w:t>
            </w:r>
          </w:p>
        </w:tc>
        <w:tc>
          <w:tcPr>
            <w:tcW w:type="dxa" w:w="2351"/>
          </w:tcPr>
          <w:p>
            <w:r>
              <w:t>0.51</w:t>
            </w:r>
          </w:p>
        </w:tc>
        <w:tc>
          <w:tcPr>
            <w:tcW w:type="dxa" w:w="2351"/>
          </w:tcPr>
          <w:p>
            <w:r>
              <w:t>Dispersed</w:t>
            </w:r>
          </w:p>
        </w:tc>
      </w:tr>
      <w:tr>
        <w:tc>
          <w:tcPr>
            <w:tcW w:type="dxa" w:w="2351"/>
          </w:tcPr>
          <w:p>
            <w:r>
              <w:t>Clustered</w:t>
            </w:r>
          </w:p>
        </w:tc>
        <w:tc>
          <w:tcPr>
            <w:tcW w:type="dxa" w:w="2351"/>
          </w:tcPr>
          <w:p>
            <w:r>
              <w:t>0.617</w:t>
            </w:r>
          </w:p>
        </w:tc>
        <w:tc>
          <w:tcPr>
            <w:tcW w:type="dxa" w:w="2351"/>
          </w:tcPr>
          <w:p>
            <w:r>
              <w:t>0.28</w:t>
            </w:r>
          </w:p>
        </w:tc>
        <w:tc>
          <w:tcPr>
            <w:tcW w:type="dxa" w:w="2351"/>
          </w:tcPr>
          <w:p>
            <w:r>
              <w:t>Clustered</w:t>
            </w:r>
          </w:p>
        </w:tc>
      </w:tr>
      <w:tr>
        <w:tc>
          <w:tcPr>
            <w:tcW w:type="dxa" w:w="2351"/>
          </w:tcPr>
          <w:p>
            <w:r>
              <w:t>Regular</w:t>
            </w:r>
          </w:p>
        </w:tc>
        <w:tc>
          <w:tcPr>
            <w:tcW w:type="dxa" w:w="2351"/>
          </w:tcPr>
          <w:p>
            <w:r>
              <w:t>1.305</w:t>
            </w:r>
          </w:p>
        </w:tc>
        <w:tc>
          <w:tcPr>
            <w:tcW w:type="dxa" w:w="2351"/>
          </w:tcPr>
          <w:p>
            <w:r>
              <w:t>0.60</w:t>
            </w:r>
          </w:p>
        </w:tc>
        <w:tc>
          <w:tcPr>
            <w:tcW w:type="dxa" w:w="2351"/>
          </w:tcPr>
          <w:p>
            <w:r>
              <w:t>Dispersed</w:t>
            </w:r>
          </w:p>
        </w:tc>
      </w:tr>
    </w:tbl>
    <w:p/>
    <w:p>
      <w:r>
        <w:t>The clustered pattern yields R = 0.617, confirming significant clustering (observed mean distance 0.28 km is much smaller than the CSR expectation of 0.46 km). The regular pattern yields R = 1.305, indicating significant dispersion.</w:t>
      </w:r>
    </w:p>
    <w:p>
      <w:pPr>
        <w:pStyle w:val="Heading2"/>
      </w:pPr>
      <w:r>
        <w:t>8.4 Kernel Density Estimation</w:t>
      </w:r>
    </w:p>
    <w:p>
      <w:r>
        <w:t>Kernel Density Estimation (KDE) creates a smooth intensity surface from point events. Figure 10 shows the KDE surface for the clustered pattern, revealing three major density peaks corresponding to the parent cluster centres. KDE is particularly valuable for visualising point intensity and identifying areas of elevated risk or activity.</w:t>
      </w:r>
    </w:p>
    <w:p>
      <w:pPr>
        <w:jc w:val="center"/>
      </w:pPr>
      <w:r>
        <w:drawing>
          <wp:inline xmlns:a="http://schemas.openxmlformats.org/drawingml/2006/main" xmlns:pic="http://schemas.openxmlformats.org/drawingml/2006/picture">
            <wp:extent cx="5029200" cy="4404054"/>
            <wp:docPr id="10" name="Picture 10"/>
            <wp:cNvGraphicFramePr>
              <a:graphicFrameLocks noChangeAspect="1"/>
            </wp:cNvGraphicFramePr>
            <a:graphic>
              <a:graphicData uri="http://schemas.openxmlformats.org/drawingml/2006/picture">
                <pic:pic>
                  <pic:nvPicPr>
                    <pic:cNvPr id="0" name="10_kde.png"/>
                    <pic:cNvPicPr/>
                  </pic:nvPicPr>
                  <pic:blipFill>
                    <a:blip r:embed="rId18"/>
                    <a:stretch>
                      <a:fillRect/>
                    </a:stretch>
                  </pic:blipFill>
                  <pic:spPr>
                    <a:xfrm>
                      <a:off x="0" y="0"/>
                      <a:ext cx="5029200" cy="4404054"/>
                    </a:xfrm>
                    <a:prstGeom prst="rect"/>
                  </pic:spPr>
                </pic:pic>
              </a:graphicData>
            </a:graphic>
          </wp:inline>
        </w:drawing>
      </w:r>
    </w:p>
    <w:p>
      <w:pPr>
        <w:jc w:val="center"/>
      </w:pPr>
      <w:r>
        <w:rPr>
          <w:i/>
          <w:color w:val="78909C"/>
          <w:sz w:val="18"/>
        </w:rPr>
        <w:t>Figure 10: Kernel Density Estimation surface for the clustered point pattern.</w:t>
      </w:r>
    </w:p>
    <w:p>
      <w:r>
        <w:br w:type="page"/>
      </w:r>
    </w:p>
    <w:p>
      <w:pPr>
        <w:pStyle w:val="Heading1"/>
      </w:pPr>
      <w:r>
        <w:bookmarkStart w:id="8" w:name="ripley"/>
        <w:t>9. RIPLEY'S K FUNCTION</w:t>
        <w:bookmarkEnd w:id="8"/>
      </w:r>
    </w:p>
    <w:p>
      <w:r>
        <w:t>Ripley's K function, introduced by Brian D. Ripley in 1976, is a powerful second-order spatial analysis tool that examines point patterns across multiple spatial scales simultaneously. Unlike the Nearest Neighbour Index, which considers only the closest neighbour, Ripley's K counts all points within increasing distance radii from each point.</w:t>
      </w:r>
    </w:p>
    <w:p>
      <w:pPr>
        <w:pStyle w:val="Heading2"/>
      </w:pPr>
      <w:r>
        <w:t>9.1 Mathematical Definition</w:t>
      </w:r>
    </w:p>
    <w:p>
      <w:r>
        <w:t>For a set of n points in a study area A, the empirical K function at distance d is:</w:t>
        <w:br/>
        <w:br/>
        <w:t>K(d) = (A / n²) × Σᵢ Σⱼ≠ᵢ I(dᵢⱼ ≤ d)</w:t>
        <w:br/>
        <w:br/>
        <w:t>where I(·) is the indicator function. Under CSR, the theoretical expectation is K(d) = πd².</w:t>
        <w:br/>
        <w:br/>
        <w:t>For easier interpretation, the L-function transformation is commonly used:</w:t>
        <w:br/>
        <w:br/>
        <w:t>L(d) = √(K(d)/π) − d</w:t>
        <w:br/>
        <w:br/>
        <w:t>• L(d) &gt; 0: Clustering at distance d</w:t>
        <w:br/>
        <w:t>• L(d) ≈ 0: Consistent with CSR at distance d</w:t>
        <w:br/>
        <w:t>• L(d) &lt; 0: Dispersion (regularity) at distance d</w:t>
      </w:r>
    </w:p>
    <w:p>
      <w:pPr>
        <w:pStyle w:val="Heading2"/>
      </w:pPr>
      <w:r>
        <w:t>9.2 Results and Interpretation</w:t>
      </w:r>
    </w:p>
    <w:p>
      <w:r>
        <w:t>Figure 11 presents the L-function plots for all three point patterns, along with a 95% simulation envelope generated from 99 CSR realisations. The clustered pattern (red dashed line) lies consistently above the CSR envelope, indicating significant clustering at all scales up to approximately 3.5 km. The regular pattern (blue dash-dot line) lies below the envelope, indicating significant dispersion. The CSR pattern (black solid line) remains within the envelope, confirming its random nature.</w:t>
      </w:r>
    </w:p>
    <w:p>
      <w:pPr>
        <w:jc w:val="center"/>
      </w:pPr>
      <w:r>
        <w:drawing>
          <wp:inline xmlns:a="http://schemas.openxmlformats.org/drawingml/2006/main" xmlns:pic="http://schemas.openxmlformats.org/drawingml/2006/picture">
            <wp:extent cx="5029200" cy="3175971"/>
            <wp:docPr id="11" name="Picture 11"/>
            <wp:cNvGraphicFramePr>
              <a:graphicFrameLocks noChangeAspect="1"/>
            </wp:cNvGraphicFramePr>
            <a:graphic>
              <a:graphicData uri="http://schemas.openxmlformats.org/drawingml/2006/picture">
                <pic:pic>
                  <pic:nvPicPr>
                    <pic:cNvPr id="0" name="09_ripley_k.png"/>
                    <pic:cNvPicPr/>
                  </pic:nvPicPr>
                  <pic:blipFill>
                    <a:blip r:embed="rId19"/>
                    <a:stretch>
                      <a:fillRect/>
                    </a:stretch>
                  </pic:blipFill>
                  <pic:spPr>
                    <a:xfrm>
                      <a:off x="0" y="0"/>
                      <a:ext cx="5029200" cy="3175971"/>
                    </a:xfrm>
                    <a:prstGeom prst="rect"/>
                  </pic:spPr>
                </pic:pic>
              </a:graphicData>
            </a:graphic>
          </wp:inline>
        </w:drawing>
      </w:r>
    </w:p>
    <w:p>
      <w:pPr>
        <w:jc w:val="center"/>
      </w:pPr>
      <w:r>
        <w:rPr>
          <w:i/>
          <w:color w:val="78909C"/>
          <w:sz w:val="18"/>
        </w:rPr>
        <w:t>Figure 11: Ripley's K function (L-transformation) with 95% simulation envelope.</w:t>
      </w:r>
    </w:p>
    <w:p/>
    <w:tbl>
      <w:tblPr>
        <w:tblStyle w:val="TableGrid"/>
        <w:tblW w:type="auto" w:w="0"/>
        <w:tblLook w:firstColumn="1" w:firstRow="1" w:lastColumn="0" w:lastRow="0" w:noHBand="0" w:noVBand="1" w:val="04A0"/>
      </w:tblPr>
      <w:tblGrid>
        <w:gridCol w:w="9406"/>
      </w:tblGrid>
      <w:tr>
        <w:tc>
          <w:tcPr>
            <w:tcW w:type="dxa" w:w="9406"/>
            <w:shd w:fill="f3e5f5"/>
            <w:tcBorders>
              <w:top w:val="single" w:sz="4" w:color="f3e5f5"/>
              <w:left w:val="single" w:sz="4" w:color="f3e5f5"/>
              <w:bottom w:val="single" w:sz="4" w:color="f3e5f5"/>
              <w:right w:val="single" w:sz="4" w:color="f3e5f5"/>
            </w:tcBorders>
          </w:tcPr>
          <w:p>
            <w:r>
              <w:rPr>
                <w:b/>
              </w:rPr>
              <w:t>Ripley's K Interpretation Summary</w:t>
            </w:r>
            <w:r>
              <w:br/>
              <w:t>• Clustered pattern: L(d) &gt; 0 for all d &lt; 3.5 km (significant clustering)</w:t>
            </w:r>
            <w:r>
              <w:br/>
              <w:t>• CSR pattern: L(d) ≈ 0 within 95% envelope (no significant deviation)</w:t>
            </w:r>
            <w:r>
              <w:br/>
              <w:t>• Regular pattern: L(d) &lt; 0 for all d &gt; 0.5 km (significant dispersion)</w:t>
            </w:r>
            <w:r>
              <w:br/>
              <w:t>• Simulation envelope: 99 Monte Carlo CSR replications</w:t>
            </w:r>
            <w:r>
              <w:br/>
              <w:t>• Maximum analysis distance: 3.5 km (35% of study area extent)</w:t>
            </w:r>
          </w:p>
        </w:tc>
      </w:tr>
    </w:tbl>
    <w:p>
      <w:r>
        <w:br w:type="page"/>
      </w:r>
    </w:p>
    <w:p>
      <w:pPr>
        <w:pStyle w:val="Heading1"/>
      </w:pPr>
      <w:r>
        <w:bookmarkStart w:id="9" w:name="conclusions"/>
        <w:t>10. STATISTICAL SUMMARY &amp; CONCLUSIONS</w:t>
        <w:bookmarkEnd w:id="9"/>
      </w:r>
    </w:p>
    <w:p>
      <w:r>
        <w:t>This assignment has provided a comprehensive, end-to-end spatial statistical analysis of simulated health data and synthetic point patterns. All computations were performed from first principles using NumPy and SciPy, ensuring full transparency and reproducibility. The key findings are summarised below.</w:t>
      </w:r>
    </w:p>
    <w:p>
      <w:pPr>
        <w:pStyle w:val="Heading2"/>
      </w:pPr>
      <w:r>
        <w:t>10.1 Key Findings</w:t>
      </w:r>
    </w:p>
    <w:p>
      <w:pPr>
        <w:jc w:val="center"/>
      </w:pPr>
      <w:r>
        <w:drawing>
          <wp:inline xmlns:a="http://schemas.openxmlformats.org/drawingml/2006/main" xmlns:pic="http://schemas.openxmlformats.org/drawingml/2006/picture">
            <wp:extent cx="5943600" cy="4229512"/>
            <wp:docPr id="12" name="Picture 12"/>
            <wp:cNvGraphicFramePr>
              <a:graphicFrameLocks noChangeAspect="1"/>
            </wp:cNvGraphicFramePr>
            <a:graphic>
              <a:graphicData uri="http://schemas.openxmlformats.org/drawingml/2006/picture">
                <pic:pic>
                  <pic:nvPicPr>
                    <pic:cNvPr id="0" name="12_summary_dashboard.png"/>
                    <pic:cNvPicPr/>
                  </pic:nvPicPr>
                  <pic:blipFill>
                    <a:blip r:embed="rId20"/>
                    <a:stretch>
                      <a:fillRect/>
                    </a:stretch>
                  </pic:blipFill>
                  <pic:spPr>
                    <a:xfrm>
                      <a:off x="0" y="0"/>
                      <a:ext cx="5943600" cy="4229512"/>
                    </a:xfrm>
                    <a:prstGeom prst="rect"/>
                  </pic:spPr>
                </pic:pic>
              </a:graphicData>
            </a:graphic>
          </wp:inline>
        </w:drawing>
      </w:r>
    </w:p>
    <w:p>
      <w:pPr>
        <w:jc w:val="center"/>
      </w:pPr>
      <w:r>
        <w:rPr>
          <w:i/>
          <w:color w:val="78909C"/>
          <w:sz w:val="18"/>
        </w:rPr>
        <w:t>Figure 12: Statistical Summary Dashboard — all major results at a glance.</w:t>
      </w:r>
    </w:p>
    <w:p/>
    <w:p>
      <w:pPr>
        <w:pStyle w:val="ListBullet"/>
      </w:pPr>
      <w:r>
        <w:t>Spatial Autocorrelation: Moran's I = 0.3594 (p &lt; 0.001, Z = 7.09) confirms highly significant positive spatial autocorrelation. Disease prevalence rates in neighbouring cells are substantially more similar than expected by chance.</w:t>
      </w:r>
    </w:p>
    <w:p>
      <w:pPr>
        <w:pStyle w:val="ListBullet"/>
      </w:pPr>
      <w:r>
        <w:t>Geary's C = 0.6709 (p &lt; 0.001, Z = -5.59) corroborates the Moran's I result. The C &lt; 1 value indicates that squared differences between neighbours are smaller than expected under spatial randomness.</w:t>
      </w:r>
    </w:p>
    <w:p>
      <w:pPr>
        <w:pStyle w:val="ListBullet"/>
      </w:pPr>
      <w:r>
        <w:t>LISA Analysis identified 42 High-High hot spot cells and 37 Low-Low cold spot cells, accounting for 79.0% of the study area. Spatial outliers (HL/LH) comprised 21.0% of cells.</w:t>
      </w:r>
    </w:p>
    <w:p>
      <w:pPr>
        <w:pStyle w:val="ListBullet"/>
      </w:pPr>
      <w:r>
        <w:t>Getis-Ord Gi* hotspot detection aligned closely with LISA results, with significant Z-scores (|Z| &gt; 1.96) in 3 cells, providing convergent validation of cluster locations.</w:t>
      </w:r>
    </w:p>
    <w:p>
      <w:pPr>
        <w:pStyle w:val="ListBullet"/>
      </w:pPr>
      <w:r>
        <w:t>Point Pattern Analysis: The Thomas cluster process yielded NNI R = 0.617, confirming significant clustering. Ripley's K function showed L(d) &gt; 0 across all scales, with three distinct density peaks visible in the KDE surface.</w:t>
      </w:r>
    </w:p>
    <w:p>
      <w:pPr>
        <w:pStyle w:val="ListBullet"/>
      </w:pPr>
      <w:r>
        <w:t>The spatial weights matrix (Queen contiguity) proved effective for lattice data, yielding {int(W.sum())} neighbour links across 100 cells (average 6.8 neighbours per cell).</w:t>
      </w:r>
    </w:p>
    <w:p>
      <w:pPr>
        <w:pStyle w:val="Heading2"/>
      </w:pPr>
      <w:r>
        <w:t>10.2 Practical Implications</w:t>
      </w:r>
    </w:p>
    <w:p>
      <w:r>
        <w:t>These analytical techniques have direct applications in:</w:t>
        <w:br/>
        <w:br/>
        <w:t>• Public Health: Identifying disease clusters for targeted intervention and resource allocation.</w:t>
        <w:br/>
        <w:t>• Epidemiology: Mapping outbreak hotspots and tracing diffusion pathways.</w:t>
        <w:br/>
        <w:t>• Urban Planning: Optimising facility locations based on spatial demand patterns.</w:t>
        <w:br/>
        <w:t>• Environmental Science: Detecting pollution sources and biodiversity hotspots.</w:t>
        <w:br/>
        <w:t>• Criminology: Crime hotspot mapping and predictive policing strategies.</w:t>
        <w:br/>
        <w:t>• Agriculture: Precision farming based on spatially variable soil and yield patterns.</w:t>
      </w:r>
    </w:p>
    <w:p>
      <w:pPr>
        <w:pStyle w:val="Heading2"/>
      </w:pPr>
      <w:r>
        <w:t>10.3 Limitations and Future Directions</w:t>
      </w:r>
    </w:p>
    <w:p>
      <w:r>
        <w:t>Limitations of this analysis include: (1) the use of simulated rather than empirical data; (2) the assumption of a single spatial weights specification (Queen contiguity); (3) the absence of temporal dynamics; and (4) the simplified point process models. Future work could incorporate: empirical health surveillance data; sensitivity analysis of different weight matrices; space-time autocorrelation methods; and more complex point process models (e.g., log-Gaussian Cox processes).</w:t>
      </w:r>
    </w:p>
    <w:p>
      <w:r>
        <w:br w:type="page"/>
      </w:r>
    </w:p>
    <w:p>
      <w:pPr>
        <w:pStyle w:val="Heading1"/>
      </w:pPr>
      <w:r>
        <w:bookmarkStart w:id="10" w:name="references"/>
        <w:t>11. REFERENCES</w:t>
        <w:bookmarkEnd w:id="10"/>
      </w:r>
    </w:p>
    <w:p>
      <w:pPr>
        <w:pStyle w:val="ListBullet"/>
        <w:ind w:left="360"/>
      </w:pPr>
      <w:r>
        <w:t>Anselin, L. (1995). Local indicators of spatial association—LISA. Geographical Analysis, 27(2), 93-115.</w:t>
      </w:r>
    </w:p>
    <w:p>
      <w:pPr>
        <w:pStyle w:val="ListBullet"/>
        <w:ind w:left="360"/>
      </w:pPr>
      <w:r>
        <w:t>Cliff, A. D., &amp; Ord, J. K. (1981). Spatial processes: Models and applications. Pion Limited.</w:t>
      </w:r>
    </w:p>
    <w:p>
      <w:pPr>
        <w:pStyle w:val="ListBullet"/>
        <w:ind w:left="360"/>
      </w:pPr>
      <w:r>
        <w:t>Cressie, N. A. C. (1993). Statistics for spatial data (Revised ed.). John Wiley &amp; Sons.</w:t>
      </w:r>
    </w:p>
    <w:p>
      <w:pPr>
        <w:pStyle w:val="ListBullet"/>
        <w:ind w:left="360"/>
      </w:pPr>
      <w:r>
        <w:t>Fortin, M. J., &amp; Dale, M. R. T. (2005). Spatial analysis: A guide for ecologists. Cambridge University Press.</w:t>
      </w:r>
    </w:p>
    <w:p>
      <w:pPr>
        <w:pStyle w:val="ListBullet"/>
        <w:ind w:left="360"/>
      </w:pPr>
      <w:r>
        <w:t>Fotheringham, A. S., Brunsdon, C., &amp; Charlton, M. (2000). Quantitative geography: Perspectives on spatial data analysis. Sage.</w:t>
      </w:r>
    </w:p>
    <w:p>
      <w:pPr>
        <w:pStyle w:val="ListBullet"/>
        <w:ind w:left="360"/>
      </w:pPr>
      <w:r>
        <w:t>Getis, A., &amp; Ord, J. K. (1992). The analysis of spatial association by use of distance statistics. Geographical Analysis, 24(3), 189-206.</w:t>
      </w:r>
    </w:p>
    <w:p>
      <w:pPr>
        <w:pStyle w:val="ListBullet"/>
        <w:ind w:left="360"/>
      </w:pPr>
      <w:r>
        <w:t>Moran, P. A. P. (1950). Notes on continuous stochastic phenomena. Biometrika, 37(1/2), 17-23.</w:t>
      </w:r>
    </w:p>
    <w:p>
      <w:pPr>
        <w:pStyle w:val="ListBullet"/>
        <w:ind w:left="360"/>
      </w:pPr>
      <w:r>
        <w:t>O'Sullivan, D., &amp; Unwin, D. J. (2010). Geographic information analysis (2nd ed.). John Wiley &amp; Sons.</w:t>
      </w:r>
    </w:p>
    <w:p>
      <w:pPr>
        <w:pStyle w:val="ListBullet"/>
        <w:ind w:left="360"/>
      </w:pPr>
      <w:r>
        <w:t>Ord, J. K., &amp; Getis, A. (1995). Local spatial autocorrelation statistics: Distributional issues and an application. Geographical Analysis, 27(4), 286-306.</w:t>
      </w:r>
    </w:p>
    <w:p>
      <w:pPr>
        <w:pStyle w:val="ListBullet"/>
        <w:ind w:left="360"/>
      </w:pPr>
      <w:r>
        <w:t>Ripley, B. D. (1976). The second-order analysis of stationary point processes. Journal of Applied Probability, 13(2), 255-266.</w:t>
      </w:r>
    </w:p>
    <w:p>
      <w:pPr>
        <w:pStyle w:val="ListBullet"/>
        <w:ind w:left="360"/>
      </w:pPr>
      <w:r>
        <w:t>Tobler, W. R. (1970). A computer movie simulating urban growth in the Detroit region. Economic Geography, 46(sup1), 234-240.</w:t>
      </w:r>
    </w:p>
    <w:p>
      <w:pPr>
        <w:pStyle w:val="ListBullet"/>
        <w:ind w:left="360"/>
      </w:pPr>
      <w:r>
        <w:t>Waller, L. A., &amp; Gotway, C. A. (2004). Applied spatial statistics for public health data. John Wiley &amp; Sons.</w:t>
      </w:r>
    </w:p>
    <w:p>
      <w:r>
        <w:br w:type="page"/>
      </w:r>
    </w:p>
    <w:p>
      <w:pPr>
        <w:pStyle w:val="Heading1"/>
      </w:pPr>
      <w:r>
        <w:bookmarkStart w:id="11" w:name="appendix"/>
        <w:t>12. APPENDIX: FORMULAS &amp; METHODS</w:t>
        <w:bookmarkEnd w:id="11"/>
      </w:r>
    </w:p>
    <w:p>
      <w:pPr>
        <w:pStyle w:val="Heading2"/>
      </w:pPr>
      <w:r>
        <w:t>A.1 Complete Statistical Formulas</w:t>
      </w:r>
    </w:p>
    <w:p>
      <w:r>
        <w:t>A.1.1  Global Moran's I</w:t>
        <w:br/>
        <w:br/>
        <w:t xml:space="preserve">        N          N   N</w:t>
        <w:br/>
        <w:t>I = ───────── ×  Σ   Σ  wᵢⱼ (xᵢ − x̄)(xⱼ − x̄)</w:t>
        <w:br/>
        <w:t xml:space="preserve">      ΣΣwᵢⱼ       i=1 j=1</w:t>
        <w:br/>
        <w:t xml:space="preserve">    ───────────────────────────────────────────</w:t>
        <w:br/>
        <w:t xml:space="preserve">              N</w:t>
        <w:br/>
        <w:t xml:space="preserve">              Σ (xᵢ − x̄)²</w:t>
        <w:br/>
        <w:t xml:space="preserve">             i=1</w:t>
        <w:br/>
        <w:br/>
        <w:t>A.1.2  Global Geary's C</w:t>
        <w:br/>
        <w:br/>
        <w:t xml:space="preserve">        (N − 1)          N   N</w:t>
        <w:br/>
        <w:t>C = ─────────── ×  ½ Σ   Σ  wᵢⱼ (xᵢ − xⱼ)²</w:t>
        <w:br/>
        <w:t xml:space="preserve">       2 ΣΣwᵢⱼ        i=1 j=1</w:t>
        <w:br/>
        <w:t xml:space="preserve">    ───────────────────────────────────────────</w:t>
        <w:br/>
        <w:t xml:space="preserve">              N</w:t>
        <w:br/>
        <w:t xml:space="preserve">              Σ (xᵢ − x̄)²</w:t>
        <w:br/>
        <w:t xml:space="preserve">             i=1</w:t>
        <w:br/>
        <w:br/>
        <w:t>A.1.3  Local Moran's I (LISA)</w:t>
        <w:br/>
        <w:br/>
        <w:t>Iᵢ = zᵢ × Σⱼ wᵢⱼ zⱼ    where    zᵢ = (xᵢ − x̄) / s</w:t>
        <w:br/>
        <w:br/>
        <w:t>A.1.4  Getis-Ord Gi*</w:t>
        <w:br/>
        <w:br/>
        <w:t>Gi* = [ Σⱼ wᵢⱼ xⱼ − x̄ Σⱼ wᵢⱼ ] / [ s √{ (n Σⱼ wᵢⱼ² − (Σⱼ wᵢⱼ)²) / (n−1) } ]</w:t>
        <w:br/>
        <w:br/>
        <w:t>A.1.5  Nearest Neighbour Index</w:t>
        <w:br/>
        <w:br/>
        <w:t>R = d̄_obs / d̄_exp    where    d̄_exp = 0.5 / √(n/A)</w:t>
        <w:br/>
        <w:br/>
        <w:t>A.1.6  Ripley's K Function</w:t>
        <w:br/>
        <w:br/>
        <w:t>K(d) = (A/n²) × Σᵢ Σⱼ≠ᵢ I(dᵢⱼ ≤ d)</w:t>
        <w:br/>
        <w:br/>
        <w:t>L(d) = √(K(d)/π) − d</w:t>
      </w:r>
    </w:p>
    <w:p>
      <w:pPr>
        <w:pStyle w:val="Heading2"/>
      </w:pPr>
      <w:r>
        <w:t>A.2 Complete Data Matrix (10×10 Grid)</w:t>
      </w:r>
    </w:p>
    <w:p>
      <w:r>
        <w:t>The full prevalence data matrix is presented below for reproducibility. Values are in cases per 1,000 population.</w:t>
      </w:r>
    </w:p>
    <w:tbl>
      <w:tblPr>
        <w:tblStyle w:val="LightGrid-Accent1"/>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t>Row\Col</w:t>
            </w:r>
          </w:p>
        </w:tc>
        <w:tc>
          <w:tcPr>
            <w:tcW w:type="dxa" w:w="855"/>
          </w:tcPr>
          <w:p>
            <w:pPr>
              <w:jc w:val="center"/>
            </w:pPr>
            <w:r>
              <w:rPr>
                <w:b/>
              </w:rPr>
              <w:t>0</w:t>
            </w:r>
          </w:p>
        </w:tc>
        <w:tc>
          <w:tcPr>
            <w:tcW w:type="dxa" w:w="855"/>
          </w:tcPr>
          <w:p>
            <w:pPr>
              <w:jc w:val="center"/>
            </w:pPr>
            <w:r>
              <w:rPr>
                <w:b/>
              </w:rPr>
              <w:t>1</w:t>
            </w:r>
          </w:p>
        </w:tc>
        <w:tc>
          <w:tcPr>
            <w:tcW w:type="dxa" w:w="855"/>
          </w:tcPr>
          <w:p>
            <w:pPr>
              <w:jc w:val="center"/>
            </w:pPr>
            <w:r>
              <w:rPr>
                <w:b/>
              </w:rPr>
              <w:t>2</w:t>
            </w:r>
          </w:p>
        </w:tc>
        <w:tc>
          <w:tcPr>
            <w:tcW w:type="dxa" w:w="855"/>
          </w:tcPr>
          <w:p>
            <w:pPr>
              <w:jc w:val="center"/>
            </w:pPr>
            <w:r>
              <w:rPr>
                <w:b/>
              </w:rPr>
              <w:t>3</w:t>
            </w:r>
          </w:p>
        </w:tc>
        <w:tc>
          <w:tcPr>
            <w:tcW w:type="dxa" w:w="855"/>
          </w:tcPr>
          <w:p>
            <w:pPr>
              <w:jc w:val="center"/>
            </w:pPr>
            <w:r>
              <w:rPr>
                <w:b/>
              </w:rPr>
              <w:t>4</w:t>
            </w:r>
          </w:p>
        </w:tc>
        <w:tc>
          <w:tcPr>
            <w:tcW w:type="dxa" w:w="855"/>
          </w:tcPr>
          <w:p>
            <w:pPr>
              <w:jc w:val="center"/>
            </w:pPr>
            <w:r>
              <w:rPr>
                <w:b/>
              </w:rPr>
              <w:t>5</w:t>
            </w:r>
          </w:p>
        </w:tc>
        <w:tc>
          <w:tcPr>
            <w:tcW w:type="dxa" w:w="855"/>
          </w:tcPr>
          <w:p>
            <w:pPr>
              <w:jc w:val="center"/>
            </w:pPr>
            <w:r>
              <w:rPr>
                <w:b/>
              </w:rPr>
              <w:t>6</w:t>
            </w:r>
          </w:p>
        </w:tc>
        <w:tc>
          <w:tcPr>
            <w:tcW w:type="dxa" w:w="855"/>
          </w:tcPr>
          <w:p>
            <w:pPr>
              <w:jc w:val="center"/>
            </w:pPr>
            <w:r>
              <w:rPr>
                <w:b/>
              </w:rPr>
              <w:t>7</w:t>
            </w:r>
          </w:p>
        </w:tc>
        <w:tc>
          <w:tcPr>
            <w:tcW w:type="dxa" w:w="855"/>
          </w:tcPr>
          <w:p>
            <w:pPr>
              <w:jc w:val="center"/>
            </w:pPr>
            <w:r>
              <w:rPr>
                <w:b/>
              </w:rPr>
              <w:t>8</w:t>
            </w:r>
          </w:p>
        </w:tc>
        <w:tc>
          <w:tcPr>
            <w:tcW w:type="dxa" w:w="855"/>
          </w:tcPr>
          <w:p>
            <w:pPr>
              <w:jc w:val="center"/>
            </w:pPr>
            <w:r>
              <w:rPr>
                <w:b/>
              </w:rPr>
              <w:t>9</w:t>
            </w:r>
          </w:p>
        </w:tc>
      </w:tr>
      <w:tr>
        <w:tc>
          <w:tcPr>
            <w:tcW w:type="dxa" w:w="855"/>
          </w:tcPr>
          <w:p>
            <w:r>
              <w:rPr>
                <w:b/>
              </w:rPr>
              <w:t>0</w:t>
            </w:r>
          </w:p>
        </w:tc>
        <w:tc>
          <w:tcPr>
            <w:tcW w:type="dxa" w:w="855"/>
          </w:tcPr>
          <w:p>
            <w:pPr>
              <w:jc w:val="center"/>
            </w:pPr>
            <w:r>
              <w:rPr>
                <w:sz w:val="16"/>
              </w:rPr>
              <w:t>25.5</w:t>
            </w:r>
          </w:p>
        </w:tc>
        <w:tc>
          <w:tcPr>
            <w:tcW w:type="dxa" w:w="855"/>
          </w:tcPr>
          <w:p>
            <w:pPr>
              <w:jc w:val="center"/>
            </w:pPr>
            <w:r>
              <w:rPr>
                <w:sz w:val="16"/>
              </w:rPr>
              <w:t>24.9</w:t>
            </w:r>
          </w:p>
        </w:tc>
        <w:tc>
          <w:tcPr>
            <w:tcW w:type="dxa" w:w="855"/>
          </w:tcPr>
          <w:p>
            <w:pPr>
              <w:jc w:val="center"/>
            </w:pPr>
            <w:r>
              <w:rPr>
                <w:sz w:val="16"/>
              </w:rPr>
              <w:t>28.4</w:t>
            </w:r>
          </w:p>
        </w:tc>
        <w:tc>
          <w:tcPr>
            <w:tcW w:type="dxa" w:w="855"/>
          </w:tcPr>
          <w:p>
            <w:pPr>
              <w:jc w:val="center"/>
            </w:pPr>
            <w:r>
              <w:rPr>
                <w:sz w:val="16"/>
              </w:rPr>
              <w:t>30.8</w:t>
            </w:r>
          </w:p>
        </w:tc>
        <w:tc>
          <w:tcPr>
            <w:tcW w:type="dxa" w:w="855"/>
          </w:tcPr>
          <w:p>
            <w:pPr>
              <w:jc w:val="center"/>
            </w:pPr>
            <w:r>
              <w:rPr>
                <w:sz w:val="16"/>
              </w:rPr>
              <w:t>18.3</w:t>
            </w:r>
          </w:p>
        </w:tc>
        <w:tc>
          <w:tcPr>
            <w:tcW w:type="dxa" w:w="855"/>
          </w:tcPr>
          <w:p>
            <w:pPr>
              <w:jc w:val="center"/>
            </w:pPr>
            <w:r>
              <w:rPr>
                <w:sz w:val="16"/>
              </w:rPr>
              <w:t>20.0</w:t>
            </w:r>
          </w:p>
        </w:tc>
        <w:tc>
          <w:tcPr>
            <w:tcW w:type="dxa" w:w="855"/>
          </w:tcPr>
          <w:p>
            <w:pPr>
              <w:jc w:val="center"/>
            </w:pPr>
            <w:r>
              <w:rPr>
                <w:sz w:val="16"/>
              </w:rPr>
              <w:t>35.1</w:t>
            </w:r>
          </w:p>
        </w:tc>
        <w:tc>
          <w:tcPr>
            <w:tcW w:type="dxa" w:w="855"/>
          </w:tcPr>
          <w:p>
            <w:pPr>
              <w:jc w:val="center"/>
            </w:pPr>
            <w:r>
              <w:rPr>
                <w:sz w:val="16"/>
              </w:rPr>
              <w:t>29.7</w:t>
            </w:r>
          </w:p>
        </w:tc>
        <w:tc>
          <w:tcPr>
            <w:tcW w:type="dxa" w:w="855"/>
          </w:tcPr>
          <w:p>
            <w:pPr>
              <w:jc w:val="center"/>
            </w:pPr>
            <w:r>
              <w:rPr>
                <w:sz w:val="16"/>
              </w:rPr>
              <w:t>20.5</w:t>
            </w:r>
          </w:p>
        </w:tc>
        <w:tc>
          <w:tcPr>
            <w:tcW w:type="dxa" w:w="855"/>
          </w:tcPr>
          <w:p>
            <w:pPr>
              <w:jc w:val="center"/>
            </w:pPr>
            <w:r>
              <w:rPr>
                <w:sz w:val="16"/>
              </w:rPr>
              <w:t>20.8</w:t>
            </w:r>
          </w:p>
        </w:tc>
      </w:tr>
      <w:tr>
        <w:tc>
          <w:tcPr>
            <w:tcW w:type="dxa" w:w="855"/>
          </w:tcPr>
          <w:p>
            <w:r>
              <w:rPr>
                <w:b/>
              </w:rPr>
              <w:t>1</w:t>
            </w:r>
          </w:p>
        </w:tc>
        <w:tc>
          <w:tcPr>
            <w:tcW w:type="dxa" w:w="855"/>
          </w:tcPr>
          <w:p>
            <w:pPr>
              <w:jc w:val="center"/>
            </w:pPr>
            <w:r>
              <w:rPr>
                <w:sz w:val="16"/>
              </w:rPr>
              <w:t>23.8</w:t>
            </w:r>
          </w:p>
        </w:tc>
        <w:tc>
          <w:tcPr>
            <w:tcW w:type="dxa" w:w="855"/>
          </w:tcPr>
          <w:p>
            <w:pPr>
              <w:jc w:val="center"/>
            </w:pPr>
            <w:r>
              <w:rPr>
                <w:sz w:val="16"/>
              </w:rPr>
              <w:t>24.1</w:t>
            </w:r>
          </w:p>
        </w:tc>
        <w:tc>
          <w:tcPr>
            <w:tcW w:type="dxa" w:w="855"/>
          </w:tcPr>
          <w:p>
            <w:pPr>
              <w:jc w:val="center"/>
            </w:pPr>
            <w:r>
              <w:rPr>
                <w:sz w:val="16"/>
              </w:rPr>
              <w:t>24.7</w:t>
            </w:r>
          </w:p>
        </w:tc>
        <w:tc>
          <w:tcPr>
            <w:tcW w:type="dxa" w:w="855"/>
          </w:tcPr>
          <w:p>
            <w:pPr>
              <w:jc w:val="center"/>
            </w:pPr>
            <w:r>
              <w:rPr>
                <w:sz w:val="16"/>
              </w:rPr>
              <w:t>9.8</w:t>
            </w:r>
          </w:p>
        </w:tc>
        <w:tc>
          <w:tcPr>
            <w:tcW w:type="dxa" w:w="855"/>
          </w:tcPr>
          <w:p>
            <w:pPr>
              <w:jc w:val="center"/>
            </w:pPr>
            <w:r>
              <w:rPr>
                <w:sz w:val="16"/>
              </w:rPr>
              <w:t>9.1</w:t>
            </w:r>
          </w:p>
        </w:tc>
        <w:tc>
          <w:tcPr>
            <w:tcW w:type="dxa" w:w="855"/>
          </w:tcPr>
          <w:p>
            <w:pPr>
              <w:jc w:val="center"/>
            </w:pPr>
            <w:r>
              <w:rPr>
                <w:sz w:val="16"/>
              </w:rPr>
              <w:t>17.6</w:t>
            </w:r>
          </w:p>
        </w:tc>
        <w:tc>
          <w:tcPr>
            <w:tcW w:type="dxa" w:w="855"/>
          </w:tcPr>
          <w:p>
            <w:pPr>
              <w:jc w:val="center"/>
            </w:pPr>
            <w:r>
              <w:rPr>
                <w:sz w:val="16"/>
              </w:rPr>
              <w:t>19.2</w:t>
            </w:r>
          </w:p>
        </w:tc>
        <w:tc>
          <w:tcPr>
            <w:tcW w:type="dxa" w:w="855"/>
          </w:tcPr>
          <w:p>
            <w:pPr>
              <w:jc w:val="center"/>
            </w:pPr>
            <w:r>
              <w:rPr>
                <w:sz w:val="16"/>
              </w:rPr>
              <w:t>25.8</w:t>
            </w:r>
          </w:p>
        </w:tc>
        <w:tc>
          <w:tcPr>
            <w:tcW w:type="dxa" w:w="855"/>
          </w:tcPr>
          <w:p>
            <w:pPr>
              <w:jc w:val="center"/>
            </w:pPr>
            <w:r>
              <w:rPr>
                <w:sz w:val="16"/>
              </w:rPr>
              <w:t>17.7</w:t>
            </w:r>
          </w:p>
        </w:tc>
        <w:tc>
          <w:tcPr>
            <w:tcW w:type="dxa" w:w="855"/>
          </w:tcPr>
          <w:p>
            <w:pPr>
              <w:jc w:val="center"/>
            </w:pPr>
            <w:r>
              <w:rPr>
                <w:sz w:val="16"/>
              </w:rPr>
              <w:t>12.0</w:t>
            </w:r>
          </w:p>
        </w:tc>
      </w:tr>
      <w:tr>
        <w:tc>
          <w:tcPr>
            <w:tcW w:type="dxa" w:w="855"/>
          </w:tcPr>
          <w:p>
            <w:r>
              <w:rPr>
                <w:b/>
              </w:rPr>
              <w:t>2</w:t>
            </w:r>
          </w:p>
        </w:tc>
        <w:tc>
          <w:tcPr>
            <w:tcW w:type="dxa" w:w="855"/>
          </w:tcPr>
          <w:p>
            <w:pPr>
              <w:jc w:val="center"/>
            </w:pPr>
            <w:r>
              <w:rPr>
                <w:sz w:val="16"/>
              </w:rPr>
              <w:t>35.8</w:t>
            </w:r>
          </w:p>
        </w:tc>
        <w:tc>
          <w:tcPr>
            <w:tcW w:type="dxa" w:w="855"/>
          </w:tcPr>
          <w:p>
            <w:pPr>
              <w:jc w:val="center"/>
            </w:pPr>
            <w:r>
              <w:rPr>
                <w:sz w:val="16"/>
              </w:rPr>
              <w:t>25.8</w:t>
            </w:r>
          </w:p>
        </w:tc>
        <w:tc>
          <w:tcPr>
            <w:tcW w:type="dxa" w:w="855"/>
          </w:tcPr>
          <w:p>
            <w:pPr>
              <w:jc w:val="center"/>
            </w:pPr>
            <w:r>
              <w:rPr>
                <w:sz w:val="16"/>
              </w:rPr>
              <w:t>22.3</w:t>
            </w:r>
          </w:p>
        </w:tc>
        <w:tc>
          <w:tcPr>
            <w:tcW w:type="dxa" w:w="855"/>
          </w:tcPr>
          <w:p>
            <w:pPr>
              <w:jc w:val="center"/>
            </w:pPr>
            <w:r>
              <w:rPr>
                <w:sz w:val="16"/>
              </w:rPr>
              <w:t>10.4</w:t>
            </w:r>
          </w:p>
        </w:tc>
        <w:tc>
          <w:tcPr>
            <w:tcW w:type="dxa" w:w="855"/>
          </w:tcPr>
          <w:p>
            <w:pPr>
              <w:jc w:val="center"/>
            </w:pPr>
            <w:r>
              <w:rPr>
                <w:sz w:val="16"/>
              </w:rPr>
              <w:t>13.6</w:t>
            </w:r>
          </w:p>
        </w:tc>
        <w:tc>
          <w:tcPr>
            <w:tcW w:type="dxa" w:w="855"/>
          </w:tcPr>
          <w:p>
            <w:pPr>
              <w:jc w:val="center"/>
            </w:pPr>
            <w:r>
              <w:rPr>
                <w:sz w:val="16"/>
              </w:rPr>
              <w:t>20.2</w:t>
            </w:r>
          </w:p>
        </w:tc>
        <w:tc>
          <w:tcPr>
            <w:tcW w:type="dxa" w:w="855"/>
          </w:tcPr>
          <w:p>
            <w:pPr>
              <w:jc w:val="center"/>
            </w:pPr>
            <w:r>
              <w:rPr>
                <w:sz w:val="16"/>
              </w:rPr>
              <w:t>12.7</w:t>
            </w:r>
          </w:p>
        </w:tc>
        <w:tc>
          <w:tcPr>
            <w:tcW w:type="dxa" w:w="855"/>
          </w:tcPr>
          <w:p>
            <w:pPr>
              <w:jc w:val="center"/>
            </w:pPr>
            <w:r>
              <w:rPr>
                <w:sz w:val="16"/>
              </w:rPr>
              <w:t>20.7</w:t>
            </w:r>
          </w:p>
        </w:tc>
        <w:tc>
          <w:tcPr>
            <w:tcW w:type="dxa" w:w="855"/>
          </w:tcPr>
          <w:p>
            <w:pPr>
              <w:jc w:val="center"/>
            </w:pPr>
            <w:r>
              <w:rPr>
                <w:sz w:val="16"/>
              </w:rPr>
              <w:t>15.3</w:t>
            </w:r>
          </w:p>
        </w:tc>
        <w:tc>
          <w:tcPr>
            <w:tcW w:type="dxa" w:w="855"/>
          </w:tcPr>
          <w:p>
            <w:pPr>
              <w:jc w:val="center"/>
            </w:pPr>
            <w:r>
              <w:rPr>
                <w:sz w:val="16"/>
              </w:rPr>
              <w:t>15.9</w:t>
            </w:r>
          </w:p>
        </w:tc>
      </w:tr>
      <w:tr>
        <w:tc>
          <w:tcPr>
            <w:tcW w:type="dxa" w:w="855"/>
          </w:tcPr>
          <w:p>
            <w:r>
              <w:rPr>
                <w:b/>
              </w:rPr>
              <w:t>3</w:t>
            </w:r>
          </w:p>
        </w:tc>
        <w:tc>
          <w:tcPr>
            <w:tcW w:type="dxa" w:w="855"/>
          </w:tcPr>
          <w:p>
            <w:pPr>
              <w:jc w:val="center"/>
            </w:pPr>
            <w:r>
              <w:rPr>
                <w:sz w:val="16"/>
              </w:rPr>
              <w:t>27.8</w:t>
            </w:r>
          </w:p>
        </w:tc>
        <w:tc>
          <w:tcPr>
            <w:tcW w:type="dxa" w:w="855"/>
          </w:tcPr>
          <w:p>
            <w:pPr>
              <w:jc w:val="center"/>
            </w:pPr>
            <w:r>
              <w:rPr>
                <w:sz w:val="16"/>
              </w:rPr>
              <w:t>40.0</w:t>
            </w:r>
          </w:p>
        </w:tc>
        <w:tc>
          <w:tcPr>
            <w:tcW w:type="dxa" w:w="855"/>
          </w:tcPr>
          <w:p>
            <w:pPr>
              <w:jc w:val="center"/>
            </w:pPr>
            <w:r>
              <w:rPr>
                <w:sz w:val="16"/>
              </w:rPr>
              <w:t>23.9</w:t>
            </w:r>
          </w:p>
        </w:tc>
        <w:tc>
          <w:tcPr>
            <w:tcW w:type="dxa" w:w="855"/>
          </w:tcPr>
          <w:p>
            <w:pPr>
              <w:jc w:val="center"/>
            </w:pPr>
            <w:r>
              <w:rPr>
                <w:sz w:val="16"/>
              </w:rPr>
              <w:t>14.2</w:t>
            </w:r>
          </w:p>
        </w:tc>
        <w:tc>
          <w:tcPr>
            <w:tcW w:type="dxa" w:w="855"/>
          </w:tcPr>
          <w:p>
            <w:pPr>
              <w:jc w:val="center"/>
            </w:pPr>
            <w:r>
              <w:rPr>
                <w:sz w:val="16"/>
              </w:rPr>
              <w:t>23.7</w:t>
            </w:r>
          </w:p>
        </w:tc>
        <w:tc>
          <w:tcPr>
            <w:tcW w:type="dxa" w:w="855"/>
          </w:tcPr>
          <w:p>
            <w:pPr>
              <w:jc w:val="center"/>
            </w:pPr>
            <w:r>
              <w:rPr>
                <w:sz w:val="16"/>
              </w:rPr>
              <w:t>12.8</w:t>
            </w:r>
          </w:p>
        </w:tc>
        <w:tc>
          <w:tcPr>
            <w:tcW w:type="dxa" w:w="855"/>
          </w:tcPr>
          <w:p>
            <w:pPr>
              <w:jc w:val="center"/>
            </w:pPr>
            <w:r>
              <w:rPr>
                <w:sz w:val="16"/>
              </w:rPr>
              <w:t>22.3</w:t>
            </w:r>
          </w:p>
        </w:tc>
        <w:tc>
          <w:tcPr>
            <w:tcW w:type="dxa" w:w="855"/>
          </w:tcPr>
          <w:p>
            <w:pPr>
              <w:jc w:val="center"/>
            </w:pPr>
            <w:r>
              <w:rPr>
                <w:sz w:val="16"/>
              </w:rPr>
              <w:t>9.4</w:t>
            </w:r>
          </w:p>
        </w:tc>
        <w:tc>
          <w:tcPr>
            <w:tcW w:type="dxa" w:w="855"/>
          </w:tcPr>
          <w:p>
            <w:pPr>
              <w:jc w:val="center"/>
            </w:pPr>
            <w:r>
              <w:rPr>
                <w:sz w:val="16"/>
              </w:rPr>
              <w:t>12.7</w:t>
            </w:r>
          </w:p>
        </w:tc>
        <w:tc>
          <w:tcPr>
            <w:tcW w:type="dxa" w:w="855"/>
          </w:tcPr>
          <w:p>
            <w:pPr>
              <w:jc w:val="center"/>
            </w:pPr>
            <w:r>
              <w:rPr>
                <w:sz w:val="16"/>
              </w:rPr>
              <w:t>20.1</w:t>
            </w:r>
          </w:p>
        </w:tc>
      </w:tr>
      <w:tr>
        <w:tc>
          <w:tcPr>
            <w:tcW w:type="dxa" w:w="855"/>
          </w:tcPr>
          <w:p>
            <w:r>
              <w:rPr>
                <w:b/>
              </w:rPr>
              <w:t>4</w:t>
            </w:r>
          </w:p>
        </w:tc>
        <w:tc>
          <w:tcPr>
            <w:tcW w:type="dxa" w:w="855"/>
          </w:tcPr>
          <w:p>
            <w:pPr>
              <w:jc w:val="center"/>
            </w:pPr>
            <w:r>
              <w:rPr>
                <w:sz w:val="16"/>
              </w:rPr>
              <w:t>32.8</w:t>
            </w:r>
          </w:p>
        </w:tc>
        <w:tc>
          <w:tcPr>
            <w:tcW w:type="dxa" w:w="855"/>
          </w:tcPr>
          <w:p>
            <w:pPr>
              <w:jc w:val="center"/>
            </w:pPr>
            <w:r>
              <w:rPr>
                <w:sz w:val="16"/>
              </w:rPr>
              <w:t>27.6</w:t>
            </w:r>
          </w:p>
        </w:tc>
        <w:tc>
          <w:tcPr>
            <w:tcW w:type="dxa" w:w="855"/>
          </w:tcPr>
          <w:p>
            <w:pPr>
              <w:jc w:val="center"/>
            </w:pPr>
            <w:r>
              <w:rPr>
                <w:sz w:val="16"/>
              </w:rPr>
              <w:t>24.5</w:t>
            </w:r>
          </w:p>
        </w:tc>
        <w:tc>
          <w:tcPr>
            <w:tcW w:type="dxa" w:w="855"/>
          </w:tcPr>
          <w:p>
            <w:pPr>
              <w:jc w:val="center"/>
            </w:pPr>
            <w:r>
              <w:rPr>
                <w:sz w:val="16"/>
              </w:rPr>
              <w:t>22.0</w:t>
            </w:r>
          </w:p>
        </w:tc>
        <w:tc>
          <w:tcPr>
            <w:tcW w:type="dxa" w:w="855"/>
          </w:tcPr>
          <w:p>
            <w:pPr>
              <w:jc w:val="center"/>
            </w:pPr>
            <w:r>
              <w:rPr>
                <w:sz w:val="16"/>
              </w:rPr>
              <w:t>14.6</w:t>
            </w:r>
          </w:p>
        </w:tc>
        <w:tc>
          <w:tcPr>
            <w:tcW w:type="dxa" w:w="855"/>
          </w:tcPr>
          <w:p>
            <w:pPr>
              <w:jc w:val="center"/>
            </w:pPr>
            <w:r>
              <w:rPr>
                <w:sz w:val="16"/>
              </w:rPr>
              <w:t>18.8</w:t>
            </w:r>
          </w:p>
        </w:tc>
        <w:tc>
          <w:tcPr>
            <w:tcW w:type="dxa" w:w="855"/>
          </w:tcPr>
          <w:p>
            <w:pPr>
              <w:jc w:val="center"/>
            </w:pPr>
            <w:r>
              <w:rPr>
                <w:sz w:val="16"/>
              </w:rPr>
              <w:t>18.7</w:t>
            </w:r>
          </w:p>
        </w:tc>
        <w:tc>
          <w:tcPr>
            <w:tcW w:type="dxa" w:w="855"/>
          </w:tcPr>
          <w:p>
            <w:pPr>
              <w:jc w:val="center"/>
            </w:pPr>
            <w:r>
              <w:rPr>
                <w:sz w:val="16"/>
              </w:rPr>
              <w:t>28.3</w:t>
            </w:r>
          </w:p>
        </w:tc>
        <w:tc>
          <w:tcPr>
            <w:tcW w:type="dxa" w:w="855"/>
          </w:tcPr>
          <w:p>
            <w:pPr>
              <w:jc w:val="center"/>
            </w:pPr>
            <w:r>
              <w:rPr>
                <w:sz w:val="16"/>
              </w:rPr>
              <w:t>24.5</w:t>
            </w:r>
          </w:p>
        </w:tc>
        <w:tc>
          <w:tcPr>
            <w:tcW w:type="dxa" w:w="855"/>
          </w:tcPr>
          <w:p>
            <w:pPr>
              <w:jc w:val="center"/>
            </w:pPr>
            <w:r>
              <w:rPr>
                <w:sz w:val="16"/>
              </w:rPr>
              <w:t>13.4</w:t>
            </w:r>
          </w:p>
        </w:tc>
      </w:tr>
      <w:tr>
        <w:tc>
          <w:tcPr>
            <w:tcW w:type="dxa" w:w="855"/>
          </w:tcPr>
          <w:p>
            <w:r>
              <w:rPr>
                <w:b/>
              </w:rPr>
              <w:t>5</w:t>
            </w:r>
          </w:p>
        </w:tc>
        <w:tc>
          <w:tcPr>
            <w:tcW w:type="dxa" w:w="855"/>
          </w:tcPr>
          <w:p>
            <w:pPr>
              <w:jc w:val="center"/>
            </w:pPr>
            <w:r>
              <w:rPr>
                <w:sz w:val="16"/>
              </w:rPr>
              <w:t>27.2</w:t>
            </w:r>
          </w:p>
        </w:tc>
        <w:tc>
          <w:tcPr>
            <w:tcW w:type="dxa" w:w="855"/>
          </w:tcPr>
          <w:p>
            <w:pPr>
              <w:jc w:val="center"/>
            </w:pPr>
            <w:r>
              <w:rPr>
                <w:sz w:val="16"/>
              </w:rPr>
              <w:t>20.9</w:t>
            </w:r>
          </w:p>
        </w:tc>
        <w:tc>
          <w:tcPr>
            <w:tcW w:type="dxa" w:w="855"/>
          </w:tcPr>
          <w:p>
            <w:pPr>
              <w:jc w:val="center"/>
            </w:pPr>
            <w:r>
              <w:rPr>
                <w:sz w:val="16"/>
              </w:rPr>
              <w:t>17.5</w:t>
            </w:r>
          </w:p>
        </w:tc>
        <w:tc>
          <w:tcPr>
            <w:tcW w:type="dxa" w:w="855"/>
          </w:tcPr>
          <w:p>
            <w:pPr>
              <w:jc w:val="center"/>
            </w:pPr>
            <w:r>
              <w:rPr>
                <w:sz w:val="16"/>
              </w:rPr>
              <w:t>26.2</w:t>
            </w:r>
          </w:p>
        </w:tc>
        <w:tc>
          <w:tcPr>
            <w:tcW w:type="dxa" w:w="855"/>
          </w:tcPr>
          <w:p>
            <w:pPr>
              <w:jc w:val="center"/>
            </w:pPr>
            <w:r>
              <w:rPr>
                <w:sz w:val="16"/>
              </w:rPr>
              <w:t>32.5</w:t>
            </w:r>
          </w:p>
        </w:tc>
        <w:tc>
          <w:tcPr>
            <w:tcW w:type="dxa" w:w="855"/>
          </w:tcPr>
          <w:p>
            <w:pPr>
              <w:jc w:val="center"/>
            </w:pPr>
            <w:r>
              <w:rPr>
                <w:sz w:val="16"/>
              </w:rPr>
              <w:t>31.4</w:t>
            </w:r>
          </w:p>
        </w:tc>
        <w:tc>
          <w:tcPr>
            <w:tcW w:type="dxa" w:w="855"/>
          </w:tcPr>
          <w:p>
            <w:pPr>
              <w:jc w:val="center"/>
            </w:pPr>
            <w:r>
              <w:rPr>
                <w:sz w:val="16"/>
              </w:rPr>
              <w:t>22.1</w:t>
            </w:r>
          </w:p>
        </w:tc>
        <w:tc>
          <w:tcPr>
            <w:tcW w:type="dxa" w:w="855"/>
          </w:tcPr>
          <w:p>
            <w:pPr>
              <w:jc w:val="center"/>
            </w:pPr>
            <w:r>
              <w:rPr>
                <w:sz w:val="16"/>
              </w:rPr>
              <w:t>24.8</w:t>
            </w:r>
          </w:p>
        </w:tc>
        <w:tc>
          <w:tcPr>
            <w:tcW w:type="dxa" w:w="855"/>
          </w:tcPr>
          <w:p>
            <w:pPr>
              <w:jc w:val="center"/>
            </w:pPr>
            <w:r>
              <w:rPr>
                <w:sz w:val="16"/>
              </w:rPr>
              <w:t>28.6</w:t>
            </w:r>
          </w:p>
        </w:tc>
        <w:tc>
          <w:tcPr>
            <w:tcW w:type="dxa" w:w="855"/>
          </w:tcPr>
          <w:p>
            <w:pPr>
              <w:jc w:val="center"/>
            </w:pPr>
            <w:r>
              <w:rPr>
                <w:sz w:val="16"/>
              </w:rPr>
              <w:t>29.7</w:t>
            </w:r>
          </w:p>
        </w:tc>
      </w:tr>
      <w:tr>
        <w:tc>
          <w:tcPr>
            <w:tcW w:type="dxa" w:w="855"/>
          </w:tcPr>
          <w:p>
            <w:r>
              <w:rPr>
                <w:b/>
              </w:rPr>
              <w:t>6</w:t>
            </w:r>
          </w:p>
        </w:tc>
        <w:tc>
          <w:tcPr>
            <w:tcW w:type="dxa" w:w="855"/>
          </w:tcPr>
          <w:p>
            <w:pPr>
              <w:jc w:val="center"/>
            </w:pPr>
            <w:r>
              <w:rPr>
                <w:sz w:val="16"/>
              </w:rPr>
              <w:t>24.6</w:t>
            </w:r>
          </w:p>
        </w:tc>
        <w:tc>
          <w:tcPr>
            <w:tcW w:type="dxa" w:w="855"/>
          </w:tcPr>
          <w:p>
            <w:pPr>
              <w:jc w:val="center"/>
            </w:pPr>
            <w:r>
              <w:rPr>
                <w:sz w:val="16"/>
              </w:rPr>
              <w:t>23.3</w:t>
            </w:r>
          </w:p>
        </w:tc>
        <w:tc>
          <w:tcPr>
            <w:tcW w:type="dxa" w:w="855"/>
          </w:tcPr>
          <w:p>
            <w:pPr>
              <w:jc w:val="center"/>
            </w:pPr>
            <w:r>
              <w:rPr>
                <w:sz w:val="16"/>
              </w:rPr>
              <w:t>18.5</w:t>
            </w:r>
          </w:p>
        </w:tc>
        <w:tc>
          <w:tcPr>
            <w:tcW w:type="dxa" w:w="855"/>
          </w:tcPr>
          <w:p>
            <w:pPr>
              <w:jc w:val="center"/>
            </w:pPr>
            <w:r>
              <w:rPr>
                <w:sz w:val="16"/>
              </w:rPr>
              <w:t>16.1</w:t>
            </w:r>
          </w:p>
        </w:tc>
        <w:tc>
          <w:tcPr>
            <w:tcW w:type="dxa" w:w="855"/>
          </w:tcPr>
          <w:p>
            <w:pPr>
              <w:jc w:val="center"/>
            </w:pPr>
            <w:r>
              <w:rPr>
                <w:sz w:val="16"/>
              </w:rPr>
              <w:t>33.7</w:t>
            </w:r>
          </w:p>
        </w:tc>
        <w:tc>
          <w:tcPr>
            <w:tcW w:type="dxa" w:w="855"/>
          </w:tcPr>
          <w:p>
            <w:pPr>
              <w:jc w:val="center"/>
            </w:pPr>
            <w:r>
              <w:rPr>
                <w:sz w:val="16"/>
              </w:rPr>
              <w:t>35.0</w:t>
            </w:r>
          </w:p>
        </w:tc>
        <w:tc>
          <w:tcPr>
            <w:tcW w:type="dxa" w:w="855"/>
          </w:tcPr>
          <w:p>
            <w:pPr>
              <w:jc w:val="center"/>
            </w:pPr>
            <w:r>
              <w:rPr>
                <w:sz w:val="16"/>
              </w:rPr>
              <w:t>27.6</w:t>
            </w:r>
          </w:p>
        </w:tc>
        <w:tc>
          <w:tcPr>
            <w:tcW w:type="dxa" w:w="855"/>
          </w:tcPr>
          <w:p>
            <w:pPr>
              <w:jc w:val="center"/>
            </w:pPr>
            <w:r>
              <w:rPr>
                <w:sz w:val="16"/>
              </w:rPr>
              <w:t>31.6</w:t>
            </w:r>
          </w:p>
        </w:tc>
        <w:tc>
          <w:tcPr>
            <w:tcW w:type="dxa" w:w="855"/>
          </w:tcPr>
          <w:p>
            <w:pPr>
              <w:jc w:val="center"/>
            </w:pPr>
            <w:r>
              <w:rPr>
                <w:sz w:val="16"/>
              </w:rPr>
              <w:t>26.8</w:t>
            </w:r>
          </w:p>
        </w:tc>
        <w:tc>
          <w:tcPr>
            <w:tcW w:type="dxa" w:w="855"/>
          </w:tcPr>
          <w:p>
            <w:pPr>
              <w:jc w:val="center"/>
            </w:pPr>
            <w:r>
              <w:rPr>
                <w:sz w:val="16"/>
              </w:rPr>
              <w:t>20.1</w:t>
            </w:r>
          </w:p>
        </w:tc>
      </w:tr>
      <w:tr>
        <w:tc>
          <w:tcPr>
            <w:tcW w:type="dxa" w:w="855"/>
          </w:tcPr>
          <w:p>
            <w:r>
              <w:rPr>
                <w:b/>
              </w:rPr>
              <w:t>7</w:t>
            </w:r>
          </w:p>
        </w:tc>
        <w:tc>
          <w:tcPr>
            <w:tcW w:type="dxa" w:w="855"/>
          </w:tcPr>
          <w:p>
            <w:pPr>
              <w:jc w:val="center"/>
            </w:pPr>
            <w:r>
              <w:rPr>
                <w:sz w:val="16"/>
              </w:rPr>
              <w:t>29.5</w:t>
            </w:r>
          </w:p>
        </w:tc>
        <w:tc>
          <w:tcPr>
            <w:tcW w:type="dxa" w:w="855"/>
          </w:tcPr>
          <w:p>
            <w:pPr>
              <w:jc w:val="center"/>
            </w:pPr>
            <w:r>
              <w:rPr>
                <w:sz w:val="16"/>
              </w:rPr>
              <w:t>36.3</w:t>
            </w:r>
          </w:p>
        </w:tc>
        <w:tc>
          <w:tcPr>
            <w:tcW w:type="dxa" w:w="855"/>
          </w:tcPr>
          <w:p>
            <w:pPr>
              <w:jc w:val="center"/>
            </w:pPr>
            <w:r>
              <w:rPr>
                <w:sz w:val="16"/>
              </w:rPr>
              <w:t>27.0</w:t>
            </w:r>
          </w:p>
        </w:tc>
        <w:tc>
          <w:tcPr>
            <w:tcW w:type="dxa" w:w="855"/>
          </w:tcPr>
          <w:p>
            <w:pPr>
              <w:jc w:val="center"/>
            </w:pPr>
            <w:r>
              <w:rPr>
                <w:sz w:val="16"/>
              </w:rPr>
              <w:t>31.9</w:t>
            </w:r>
          </w:p>
        </w:tc>
        <w:tc>
          <w:tcPr>
            <w:tcW w:type="dxa" w:w="855"/>
          </w:tcPr>
          <w:p>
            <w:pPr>
              <w:jc w:val="center"/>
            </w:pPr>
            <w:r>
              <w:rPr>
                <w:sz w:val="16"/>
              </w:rPr>
              <w:t>8.0</w:t>
            </w:r>
          </w:p>
        </w:tc>
        <w:tc>
          <w:tcPr>
            <w:tcW w:type="dxa" w:w="855"/>
          </w:tcPr>
          <w:p>
            <w:pPr>
              <w:jc w:val="center"/>
            </w:pPr>
            <w:r>
              <w:rPr>
                <w:sz w:val="16"/>
              </w:rPr>
              <w:t>30.1</w:t>
            </w:r>
          </w:p>
        </w:tc>
        <w:tc>
          <w:tcPr>
            <w:tcW w:type="dxa" w:w="855"/>
          </w:tcPr>
          <w:p>
            <w:pPr>
              <w:jc w:val="center"/>
            </w:pPr>
            <w:r>
              <w:rPr>
                <w:sz w:val="16"/>
              </w:rPr>
              <w:t>29.6</w:t>
            </w:r>
          </w:p>
        </w:tc>
        <w:tc>
          <w:tcPr>
            <w:tcW w:type="dxa" w:w="855"/>
          </w:tcPr>
          <w:p>
            <w:pPr>
              <w:jc w:val="center"/>
            </w:pPr>
            <w:r>
              <w:rPr>
                <w:sz w:val="16"/>
              </w:rPr>
              <w:t>25.3</w:t>
            </w:r>
          </w:p>
        </w:tc>
        <w:tc>
          <w:tcPr>
            <w:tcW w:type="dxa" w:w="855"/>
          </w:tcPr>
          <w:p>
            <w:pPr>
              <w:jc w:val="center"/>
            </w:pPr>
            <w:r>
              <w:rPr>
                <w:sz w:val="16"/>
              </w:rPr>
              <w:t>24.4</w:t>
            </w:r>
          </w:p>
        </w:tc>
        <w:tc>
          <w:tcPr>
            <w:tcW w:type="dxa" w:w="855"/>
          </w:tcPr>
          <w:p>
            <w:pPr>
              <w:jc w:val="center"/>
            </w:pPr>
            <w:r>
              <w:rPr>
                <w:sz w:val="16"/>
              </w:rPr>
              <w:t>10.5</w:t>
            </w:r>
          </w:p>
        </w:tc>
      </w:tr>
      <w:tr>
        <w:tc>
          <w:tcPr>
            <w:tcW w:type="dxa" w:w="855"/>
          </w:tcPr>
          <w:p>
            <w:r>
              <w:rPr>
                <w:b/>
              </w:rPr>
              <w:t>8</w:t>
            </w:r>
          </w:p>
        </w:tc>
        <w:tc>
          <w:tcPr>
            <w:tcW w:type="dxa" w:w="855"/>
          </w:tcPr>
          <w:p>
            <w:pPr>
              <w:jc w:val="center"/>
            </w:pPr>
            <w:r>
              <w:rPr>
                <w:sz w:val="16"/>
              </w:rPr>
              <w:t>29.3</w:t>
            </w:r>
          </w:p>
        </w:tc>
        <w:tc>
          <w:tcPr>
            <w:tcW w:type="dxa" w:w="855"/>
          </w:tcPr>
          <w:p>
            <w:pPr>
              <w:jc w:val="center"/>
            </w:pPr>
            <w:r>
              <w:rPr>
                <w:sz w:val="16"/>
              </w:rPr>
              <w:t>31.5</w:t>
            </w:r>
          </w:p>
        </w:tc>
        <w:tc>
          <w:tcPr>
            <w:tcW w:type="dxa" w:w="855"/>
          </w:tcPr>
          <w:p>
            <w:pPr>
              <w:jc w:val="center"/>
            </w:pPr>
            <w:r>
              <w:rPr>
                <w:sz w:val="16"/>
              </w:rPr>
              <w:t>38.8</w:t>
            </w:r>
          </w:p>
        </w:tc>
        <w:tc>
          <w:tcPr>
            <w:tcW w:type="dxa" w:w="855"/>
          </w:tcPr>
          <w:p>
            <w:pPr>
              <w:jc w:val="center"/>
            </w:pPr>
            <w:r>
              <w:rPr>
                <w:sz w:val="16"/>
              </w:rPr>
              <w:t>19.4</w:t>
            </w:r>
          </w:p>
        </w:tc>
        <w:tc>
          <w:tcPr>
            <w:tcW w:type="dxa" w:w="855"/>
          </w:tcPr>
          <w:p>
            <w:pPr>
              <w:jc w:val="center"/>
            </w:pPr>
            <w:r>
              <w:rPr>
                <w:sz w:val="16"/>
              </w:rPr>
              <w:t>15.5</w:t>
            </w:r>
          </w:p>
        </w:tc>
        <w:tc>
          <w:tcPr>
            <w:tcW w:type="dxa" w:w="855"/>
          </w:tcPr>
          <w:p>
            <w:pPr>
              <w:jc w:val="center"/>
            </w:pPr>
            <w:r>
              <w:rPr>
                <w:sz w:val="16"/>
              </w:rPr>
              <w:t>18.0</w:t>
            </w:r>
          </w:p>
        </w:tc>
        <w:tc>
          <w:tcPr>
            <w:tcW w:type="dxa" w:w="855"/>
          </w:tcPr>
          <w:p>
            <w:pPr>
              <w:jc w:val="center"/>
            </w:pPr>
            <w:r>
              <w:rPr>
                <w:sz w:val="16"/>
              </w:rPr>
              <w:t>31.1</w:t>
            </w:r>
          </w:p>
        </w:tc>
        <w:tc>
          <w:tcPr>
            <w:tcW w:type="dxa" w:w="855"/>
          </w:tcPr>
          <w:p>
            <w:pPr>
              <w:jc w:val="center"/>
            </w:pPr>
            <w:r>
              <w:rPr>
                <w:sz w:val="16"/>
              </w:rPr>
              <w:t>28.4</w:t>
            </w:r>
          </w:p>
        </w:tc>
        <w:tc>
          <w:tcPr>
            <w:tcW w:type="dxa" w:w="855"/>
          </w:tcPr>
          <w:p>
            <w:pPr>
              <w:jc w:val="center"/>
            </w:pPr>
            <w:r>
              <w:rPr>
                <w:sz w:val="16"/>
              </w:rPr>
              <w:t>19.9</w:t>
            </w:r>
          </w:p>
        </w:tc>
        <w:tc>
          <w:tcPr>
            <w:tcW w:type="dxa" w:w="855"/>
          </w:tcPr>
          <w:p>
            <w:pPr>
              <w:jc w:val="center"/>
            </w:pPr>
            <w:r>
              <w:rPr>
                <w:sz w:val="16"/>
              </w:rPr>
              <w:t>24.1</w:t>
            </w:r>
          </w:p>
        </w:tc>
      </w:tr>
      <w:tr>
        <w:tc>
          <w:tcPr>
            <w:tcW w:type="dxa" w:w="855"/>
          </w:tcPr>
          <w:p>
            <w:r>
              <w:rPr>
                <w:b/>
              </w:rPr>
              <w:t>9</w:t>
            </w:r>
          </w:p>
        </w:tc>
        <w:tc>
          <w:tcPr>
            <w:tcW w:type="dxa" w:w="855"/>
          </w:tcPr>
          <w:p>
            <w:pPr>
              <w:jc w:val="center"/>
            </w:pPr>
            <w:r>
              <w:rPr>
                <w:sz w:val="16"/>
              </w:rPr>
              <w:t>29.0</w:t>
            </w:r>
          </w:p>
        </w:tc>
        <w:tc>
          <w:tcPr>
            <w:tcW w:type="dxa" w:w="855"/>
          </w:tcPr>
          <w:p>
            <w:pPr>
              <w:jc w:val="center"/>
            </w:pPr>
            <w:r>
              <w:rPr>
                <w:sz w:val="16"/>
              </w:rPr>
              <w:t>33.8</w:t>
            </w:r>
          </w:p>
        </w:tc>
        <w:tc>
          <w:tcPr>
            <w:tcW w:type="dxa" w:w="855"/>
          </w:tcPr>
          <w:p>
            <w:pPr>
              <w:jc w:val="center"/>
            </w:pPr>
            <w:r>
              <w:rPr>
                <w:sz w:val="16"/>
              </w:rPr>
              <w:t>23.5</w:t>
            </w:r>
          </w:p>
        </w:tc>
        <w:tc>
          <w:tcPr>
            <w:tcW w:type="dxa" w:w="855"/>
          </w:tcPr>
          <w:p>
            <w:pPr>
              <w:jc w:val="center"/>
            </w:pPr>
            <w:r>
              <w:rPr>
                <w:sz w:val="16"/>
              </w:rPr>
              <w:t>21.1</w:t>
            </w:r>
          </w:p>
        </w:tc>
        <w:tc>
          <w:tcPr>
            <w:tcW w:type="dxa" w:w="855"/>
          </w:tcPr>
          <w:p>
            <w:pPr>
              <w:jc w:val="center"/>
            </w:pPr>
            <w:r>
              <w:rPr>
                <w:sz w:val="16"/>
              </w:rPr>
              <w:t>15.9</w:t>
            </w:r>
          </w:p>
        </w:tc>
        <w:tc>
          <w:tcPr>
            <w:tcW w:type="dxa" w:w="855"/>
          </w:tcPr>
          <w:p>
            <w:pPr>
              <w:jc w:val="center"/>
            </w:pPr>
            <w:r>
              <w:rPr>
                <w:sz w:val="16"/>
              </w:rPr>
              <w:t>13.8</w:t>
            </w:r>
          </w:p>
        </w:tc>
        <w:tc>
          <w:tcPr>
            <w:tcW w:type="dxa" w:w="855"/>
          </w:tcPr>
          <w:p>
            <w:pPr>
              <w:jc w:val="center"/>
            </w:pPr>
            <w:r>
              <w:rPr>
                <w:sz w:val="16"/>
              </w:rPr>
              <w:t>26.4</w:t>
            </w:r>
          </w:p>
        </w:tc>
        <w:tc>
          <w:tcPr>
            <w:tcW w:type="dxa" w:w="855"/>
          </w:tcPr>
          <w:p>
            <w:pPr>
              <w:jc w:val="center"/>
            </w:pPr>
            <w:r>
              <w:rPr>
                <w:sz w:val="16"/>
              </w:rPr>
              <w:t>28.7</w:t>
            </w:r>
          </w:p>
        </w:tc>
        <w:tc>
          <w:tcPr>
            <w:tcW w:type="dxa" w:w="855"/>
          </w:tcPr>
          <w:p>
            <w:pPr>
              <w:jc w:val="center"/>
            </w:pPr>
            <w:r>
              <w:rPr>
                <w:sz w:val="16"/>
              </w:rPr>
              <w:t>25.7</w:t>
            </w:r>
          </w:p>
        </w:tc>
        <w:tc>
          <w:tcPr>
            <w:tcW w:type="dxa" w:w="855"/>
          </w:tcPr>
          <w:p>
            <w:pPr>
              <w:jc w:val="center"/>
            </w:pPr>
            <w:r>
              <w:rPr>
                <w:sz w:val="16"/>
              </w:rPr>
              <w:t>23.4</w:t>
            </w:r>
          </w:p>
        </w:tc>
      </w:tr>
    </w:tbl>
    <w:p/>
    <w:p>
      <w:r>
        <w:t>Table A1: Complete simulated disease prevalence data matrix (cases per 1,000 population).</w:t>
      </w:r>
    </w:p>
    <w:p>
      <w:pPr>
        <w:pStyle w:val="Heading2"/>
      </w:pPr>
      <w:r>
        <w:t>A.3 Software and Computational Environment</w:t>
      </w:r>
    </w:p>
    <w:p>
      <w:r>
        <w:t>All computations and visualisations were generated using:</w:t>
        <w:br/>
        <w:br/>
        <w:t>• Python 3.11 with NumPy (v1.24), SciPy (v1.11), Matplotlib (v3.7), Pandas (v2.0)</w:t>
        <w:br/>
        <w:t>• python-docx (v1.1) for document generation</w:t>
        <w:br/>
        <w:t>• Statistical significance: Normal approximation (Cliff-Ord variance formula)</w:t>
        <w:br/>
        <w:t>• Spatial weights: Queen contiguity on regular lattice</w:t>
        <w:br/>
        <w:t>• Point processes: Homogeneous Poisson (CSR), Thomas cluster, Perturbed grid</w:t>
        <w:br/>
        <w:t>• Kernel density: Gaussian kernel with Scott's rule bandwidth estimation</w:t>
      </w:r>
    </w:p>
    <w:p>
      <w:pPr>
        <w:pStyle w:val="Heading2"/>
      </w:pPr>
      <w:r>
        <w:t>A.4 Glossary of Terms</w:t>
      </w:r>
    </w:p>
    <w:tbl>
      <w:tblPr>
        <w:tblStyle w:val="TableGrid"/>
        <w:tblW w:type="auto" w:w="0"/>
        <w:tblLook w:firstColumn="1" w:firstRow="1" w:lastColumn="0" w:lastRow="0" w:noHBand="0" w:noVBand="1" w:val="04A0"/>
      </w:tblPr>
      <w:tblGrid>
        <w:gridCol w:w="4703"/>
        <w:gridCol w:w="4703"/>
      </w:tblGrid>
      <w:tr>
        <w:tc>
          <w:tcPr>
            <w:tcW w:type="dxa" w:w="4703"/>
          </w:tcPr>
          <w:p>
            <w:r>
              <w:rPr>
                <w:b/>
              </w:rPr>
              <w:t>Term</w:t>
            </w:r>
          </w:p>
        </w:tc>
        <w:tc>
          <w:tcPr>
            <w:tcW w:type="dxa" w:w="4703"/>
          </w:tcPr>
          <w:p>
            <w:r>
              <w:rPr>
                <w:b/>
              </w:rPr>
              <w:t>Definition</w:t>
            </w:r>
          </w:p>
        </w:tc>
      </w:tr>
      <w:tr>
        <w:tc>
          <w:tcPr>
            <w:tcW w:type="dxa" w:w="4703"/>
          </w:tcPr>
          <w:p>
            <w:r>
              <w:t>CSR</w:t>
            </w:r>
          </w:p>
        </w:tc>
        <w:tc>
          <w:tcPr>
            <w:tcW w:type="dxa" w:w="4703"/>
          </w:tcPr>
          <w:p>
            <w:r>
              <w:t>Complete Spatial Randomness — a Poisson point process where events are independently and uniformly distributed.</w:t>
            </w:r>
          </w:p>
        </w:tc>
      </w:tr>
      <w:tr>
        <w:tc>
          <w:tcPr>
            <w:tcW w:type="dxa" w:w="4703"/>
          </w:tcPr>
          <w:p>
            <w:r>
              <w:t>Hot Spot</w:t>
            </w:r>
          </w:p>
        </w:tc>
        <w:tc>
          <w:tcPr>
            <w:tcW w:type="dxa" w:w="4703"/>
          </w:tcPr>
          <w:p>
            <w:r>
              <w:t>A spatial cluster of statistically significant high values (Z &gt; 1.96 in Gi* analysis).</w:t>
            </w:r>
          </w:p>
        </w:tc>
      </w:tr>
      <w:tr>
        <w:tc>
          <w:tcPr>
            <w:tcW w:type="dxa" w:w="4703"/>
          </w:tcPr>
          <w:p>
            <w:r>
              <w:t>LISA</w:t>
            </w:r>
          </w:p>
        </w:tc>
        <w:tc>
          <w:tcPr>
            <w:tcW w:type="dxa" w:w="4703"/>
          </w:tcPr>
          <w:p>
            <w:r>
              <w:t>Local Indicators of Spatial Association — local decomposition of global Moran's I.</w:t>
            </w:r>
          </w:p>
        </w:tc>
      </w:tr>
      <w:tr>
        <w:tc>
          <w:tcPr>
            <w:tcW w:type="dxa" w:w="4703"/>
          </w:tcPr>
          <w:p>
            <w:r>
              <w:t>NNI</w:t>
            </w:r>
          </w:p>
        </w:tc>
        <w:tc>
          <w:tcPr>
            <w:tcW w:type="dxa" w:w="4703"/>
          </w:tcPr>
          <w:p>
            <w:r>
              <w:t>Nearest Neighbour Index — ratio of observed to expected mean nearest-neighbour distance.</w:t>
            </w:r>
          </w:p>
        </w:tc>
      </w:tr>
      <w:tr>
        <w:tc>
          <w:tcPr>
            <w:tcW w:type="dxa" w:w="4703"/>
          </w:tcPr>
          <w:p>
            <w:r>
              <w:t>Queen Contiguity</w:t>
            </w:r>
          </w:p>
        </w:tc>
        <w:tc>
          <w:tcPr>
            <w:tcW w:type="dxa" w:w="4703"/>
          </w:tcPr>
          <w:p>
            <w:r>
              <w:t>A spatial weights definition where cells sharing an edge or corner are neighbours.</w:t>
            </w:r>
          </w:p>
        </w:tc>
      </w:tr>
      <w:tr>
        <w:tc>
          <w:tcPr>
            <w:tcW w:type="dxa" w:w="4703"/>
          </w:tcPr>
          <w:p>
            <w:r>
              <w:t>Spatial Autocorrelation</w:t>
            </w:r>
          </w:p>
        </w:tc>
        <w:tc>
          <w:tcPr>
            <w:tcW w:type="dxa" w:w="4703"/>
          </w:tcPr>
          <w:p>
            <w:r>
              <w:t>The degree to which similar values cluster together in geographic space.</w:t>
            </w:r>
          </w:p>
        </w:tc>
      </w:tr>
      <w:tr>
        <w:tc>
          <w:tcPr>
            <w:tcW w:type="dxa" w:w="4703"/>
          </w:tcPr>
          <w:p>
            <w:r>
              <w:t>Spatial Lag</w:t>
            </w:r>
          </w:p>
        </w:tc>
        <w:tc>
          <w:tcPr>
            <w:tcW w:type="dxa" w:w="4703"/>
          </w:tcPr>
          <w:p>
            <w:r>
              <w:t>The weighted average of neighbouring values for a given location.</w:t>
            </w:r>
          </w:p>
        </w:tc>
      </w:tr>
      <w:tr>
        <w:tc>
          <w:tcPr>
            <w:tcW w:type="dxa" w:w="4703"/>
          </w:tcPr>
          <w:p>
            <w:r>
              <w:t>Z-score</w:t>
            </w:r>
          </w:p>
        </w:tc>
        <w:tc>
          <w:tcPr>
            <w:tcW w:type="dxa" w:w="4703"/>
          </w:tcPr>
          <w:p>
            <w:r>
              <w:t>Standardised test statistic measuring how many standard deviations an observation is from the mean.</w:t>
            </w:r>
          </w:p>
        </w:tc>
      </w:tr>
    </w:tbl>
    <w:p/>
    <w:p/>
    <w:p>
      <w:pPr>
        <w:jc w:val="center"/>
      </w:pPr>
      <w:r>
        <w:rPr>
          <w:color w:val="B3E5FC"/>
        </w:rPr>
        <w:t>━━━━━━━━━━━━━━━━━━━━━━━━━━━━━━━━━━━━━━━━</w:t>
      </w:r>
    </w:p>
    <w:p>
      <w:pPr>
        <w:jc w:val="center"/>
      </w:pPr>
      <w:r>
        <w:rPr>
          <w:b/>
          <w:color w:val="78909C"/>
          <w:sz w:val="28"/>
        </w:rPr>
        <w:t>END OF ASSIGNMENT</w:t>
      </w:r>
    </w:p>
    <w:p>
      <w:r>
        <w:br w:type="page"/>
      </w:r>
    </w:p>
    <w:p>
      <w:pPr>
        <w:pStyle w:val="Heading1"/>
      </w:pPr>
      <w:r>
        <w:bookmarkStart w:id="9153" w:name="ripley_advanced"/>
        <w:t>9. ADVANCED RIPLEY'S K: ISOTROPIC EDGE CORRECTION</w:t>
        <w:bookmarkEnd w:id="9153"/>
      </w:r>
    </w:p>
    <w:p>
      <w:r>
        <w:t>This section addresses a critical methodological refinement in point pattern analysis: boundary bias correction. Points near the edge of the study area have fewer neighbours within distance r simply because part of the search circle falls outside the observation window. Without correction, this artificially deflates K(r) and can lead to spurious conclusions about spatial dispersion.</w:t>
      </w:r>
    </w:p>
    <w:p>
      <w:pPr>
        <w:pStyle w:val="Heading2"/>
      </w:pPr>
      <w:r>
        <w:t>9.1 The Boundary Bias Problem</w:t>
      </w:r>
    </w:p>
    <w:p>
      <w:r>
        <w:t>For a point located near the boundary of a rectangular study area [0,10]×[0,10], a circle of radius r will have a portion extending beyond the boundary. The uncorrected K-function counts only points inside the window, systematically underestimating the true intensity for boundary points. The proportion of the circle inside the window depends on the point's distance to each boundary (left, right, bottom, top) and the search radius r.</w:t>
      </w:r>
    </w:p>
    <w:p>
      <w:pPr>
        <w:pStyle w:val="Heading2"/>
      </w:pPr>
      <w:r>
        <w:t>9.2 Isotropic Edge Correction (Ripley, 1977; Ohser, 1983)</w:t>
      </w:r>
    </w:p>
    <w:p>
      <w:r>
        <w:t>Ripley's isotropic edge correction assigns a weight wᵢⱼ to each point pair (i,j) that inversely compensates for the proportion of the circumference of the circle (centred at i with radius dᵢⱼ) lying outside the study window:</w:t>
        <w:br/>
        <w:br/>
        <w:t>wᵢⱼ = 2π / arc_length_inside(dᵢⱼ, i)</w:t>
        <w:br/>
        <w:br/>
        <w:t>where arc_length_inside is the angular measure (in radians) of the circle segment contained within the rectangular boundary. For a fully interior circle, wᵢⱼ = 1. For partially exterior circles, wᵢⱼ &gt; 1, upweighting the count to compensate for unobservable area. Corner corrections handle the case where the circle crosses two boundaries simultaneously.</w:t>
      </w:r>
    </w:p>
    <w:p>
      <w:pPr>
        <w:pStyle w:val="Heading2"/>
      </w:pPr>
      <w:r>
        <w:t>9.3 Mathematical Formulation</w:t>
      </w:r>
    </w:p>
    <w:p>
      <w:r>
        <w:t>The edge-corrected Ripley's K-function is:</w:t>
        <w:br/>
        <w:br/>
        <w:t>K̂(r) = (A / n²) × Σᵢ Σⱼ≠ᵢ [ I(dᵢⱼ ≤ r) × wᵢⱼ ]</w:t>
        <w:br/>
        <w:br/>
        <w:t>where:</w:t>
        <w:br/>
        <w:t>• A = study area (100 km²)</w:t>
        <w:br/>
        <w:t>• n = number of points (120)</w:t>
        <w:br/>
        <w:t>• I(·) = indicator function</w:t>
        <w:br/>
        <w:t>• wᵢⱼ = isotropic edge correction weight</w:t>
        <w:br/>
        <w:br/>
        <w:t>The L-function transformation L(r) = √(K̂(r)/π) − r makes interpretation intuitive: L(r) &gt; 0 indicates clustering, L(r) &lt; 0 indicates dispersion, and L(r) ≈ 0 is consistent with CSR.</w:t>
      </w:r>
    </w:p>
    <w:p>
      <w:pPr>
        <w:pStyle w:val="Heading2"/>
      </w:pPr>
      <w:r>
        <w:t>9.4 Results: Corrected vs. Uncorrected Comparison</w:t>
      </w:r>
    </w:p>
    <w:tbl>
      <w:tblPr>
        <w:tblStyle w:val="TableGrid"/>
        <w:tblW w:type="auto" w:w="0"/>
        <w:tblLook w:firstColumn="1" w:firstRow="1" w:lastColumn="0" w:lastRow="0" w:noHBand="0" w:noVBand="1" w:val="04A0"/>
      </w:tblPr>
      <w:tblGrid>
        <w:gridCol w:w="9406"/>
      </w:tblGrid>
      <w:tr>
        <w:tc>
          <w:tcPr>
            <w:tcW w:type="dxa" w:w="9406"/>
            <w:shd w:fill="e3f2fd"/>
            <w:tcBorders>
              <w:top w:val="single" w:sz="4" w:color="e3f2fd"/>
              <w:left w:val="single" w:sz="4" w:color="e3f2fd"/>
              <w:bottom w:val="single" w:sz="4" w:color="e3f2fd"/>
              <w:right w:val="single" w:sz="4" w:color="e3f2fd"/>
            </w:tcBorders>
          </w:tcPr>
          <w:p>
            <w:r>
              <w:rPr>
                <w:b/>
              </w:rPr>
              <w:t>Edge Correction Impact Analysis</w:t>
            </w:r>
            <w:r>
              <w:br/>
              <w:t>• Uncorrected K(3.5 km): 72.86</w:t>
            </w:r>
            <w:r>
              <w:br/>
              <w:t>• Isotropic Corrected K(3.5 km): 75.18</w:t>
            </w:r>
            <w:r>
              <w:br/>
              <w:t>• Relative difference: +3.2%</w:t>
            </w:r>
            <w:r>
              <w:br/>
              <w:t>• Maximum edge weight applied: 50.0 (capped to prevent extreme values)</w:t>
            </w:r>
            <w:r>
              <w:br/>
              <w:t>• CSR theoretical K(3.5 km): π×(3.5)² = 38.48</w:t>
            </w:r>
            <w:r>
              <w:br/>
              <w:t>• 95% Simulation envelope: 99 Monte Carlo CSR replications</w:t>
            </w:r>
          </w:p>
        </w:tc>
      </w:tr>
    </w:tbl>
    <w:p/>
    <w:p>
      <w:r>
        <w:t>Figure 13 presents the side-by-side comparison. The isotropic-corrected K-function (red solid line) consistently lies above the uncorrected estimate (orange dashed line), particularly at larger radii where boundary effects are most pronounced. Both curves remain well above the CSR theoretical expectation and the 95% simulation envelope, confirming significant clustering even after rigorous edge correction. The correction amplifies the clustering signal by approximately 3–5% at r &gt; 2.5 km, demonstrating that boundary bias would have modestly understated the true clustering intensity.</w:t>
      </w:r>
    </w:p>
    <w:p>
      <w:pPr>
        <w:jc w:val="center"/>
      </w:pPr>
      <w:r>
        <w:drawing>
          <wp:inline xmlns:a="http://schemas.openxmlformats.org/drawingml/2006/main" xmlns:pic="http://schemas.openxmlformats.org/drawingml/2006/picture">
            <wp:extent cx="5486400" cy="2477617"/>
            <wp:docPr id="13" name="Picture 13"/>
            <wp:cNvGraphicFramePr>
              <a:graphicFrameLocks noChangeAspect="1"/>
            </wp:cNvGraphicFramePr>
            <a:graphic>
              <a:graphicData uri="http://schemas.openxmlformats.org/drawingml/2006/picture">
                <pic:pic>
                  <pic:nvPicPr>
                    <pic:cNvPr id="0" name="13_ripley_edge_correction.png"/>
                    <pic:cNvPicPr/>
                  </pic:nvPicPr>
                  <pic:blipFill>
                    <a:blip r:embed="rId21"/>
                    <a:stretch>
                      <a:fillRect/>
                    </a:stretch>
                  </pic:blipFill>
                  <pic:spPr>
                    <a:xfrm>
                      <a:off x="0" y="0"/>
                      <a:ext cx="5486400" cy="2477617"/>
                    </a:xfrm>
                    <a:prstGeom prst="rect"/>
                  </pic:spPr>
                </pic:pic>
              </a:graphicData>
            </a:graphic>
          </wp:inline>
        </w:drawing>
      </w:r>
    </w:p>
    <w:p>
      <w:pPr>
        <w:jc w:val="center"/>
      </w:pPr>
      <w:r>
        <w:rPr>
          <w:i/>
          <w:color w:val="78909C"/>
          <w:sz w:val="18"/>
        </w:rPr>
        <w:t>Figure 13: Ripley's K-function with isotropic edge correction vs. uncorrected estimate. The corrected curve (red) consistently exceeds the uncorrected (orange), particularly at larger radii where boundary effects are strongest.</w:t>
      </w:r>
    </w:p>
    <w:p>
      <w:pPr>
        <w:pStyle w:val="Heading2"/>
      </w:pPr>
      <w:r>
        <w:t>9.5 Practical Implications</w:t>
      </w:r>
    </w:p>
    <w:p>
      <w:r>
        <w:t>The isotropic correction is essential for rigorous point pattern analysis, especially when: (1) the study area is small relative to the scale of pattern being investigated; (2) points are concentrated near boundaries; or (3) large-radius analyses are conducted. Alternative corrections include: translation correction (shift window across torus), border correction (ignore points near boundary), and buffer-zone methods. For this analysis, the isotropic method provides the optimal balance of statistical rigour and computational tractability.</w:t>
      </w:r>
    </w:p>
    <w:p>
      <w:r>
        <w:br w:type="page"/>
      </w:r>
    </w:p>
    <w:p>
      <w:pPr>
        <w:pStyle w:val="Heading1"/>
      </w:pPr>
      <w:r>
        <w:bookmarkStart w:id="3906" w:name="fdr_correction"/>
        <w:t>10. MULTIPLE TESTING CORRECTION: BENJAMINI-HOCHBERG FDR</w:t>
        <w:bookmarkEnd w:id="3906"/>
      </w:r>
    </w:p>
    <w:p>
      <w:r>
        <w:t>This section addresses a fundamental statistical challenge in local spatial autocorrelation analysis: the multiple testing problem. When performing 100 simultaneous hypothesis tests (one per grid cell for LISA), the probability of observing at least one false positive (Type I error) under the null hypothesis is approximately 1 − (1 − α)^m, where m = 100 and α = 0.05. This yields a family-wise error rate (FWER) of 99.4%, meaning we are virtually guaranteed to declare some cells significant purely by chance.</w:t>
      </w:r>
    </w:p>
    <w:p>
      <w:pPr>
        <w:pStyle w:val="Heading2"/>
      </w:pPr>
      <w:r>
        <w:t>10.1 The Multiple Testing Problem</w:t>
      </w:r>
    </w:p>
    <w:p>
      <w:r>
        <w:t>For m independent tests at significance level α = 0.05:</w:t>
        <w:br/>
        <w:br/>
        <w:t>• Probability of ≥1 false positive: 1 − (1 − 0.05)^100 ≈ 99.4%</w:t>
        <w:br/>
        <w:t>• Expected number of false positives under null: m × α = 5 cells</w:t>
        <w:br/>
        <w:t>• With spatial dependence (non-independent tests), the problem is exacerbated</w:t>
        <w:br/>
        <w:br/>
        <w:t>Traditional solutions like the Bonferroni correction (α/m = 0.0005) are excessively conservative for spatial data, drastically reducing statistical power. The False Discovery Rate (FDR) approach offers a more balanced solution.</w:t>
      </w:r>
    </w:p>
    <w:p>
      <w:pPr>
        <w:pStyle w:val="Heading2"/>
      </w:pPr>
      <w:r>
        <w:t>10.2 Benjamini-Hochberg FDR Procedure (1995)</w:t>
      </w:r>
    </w:p>
    <w:p>
      <w:r>
        <w:t>The Benjamini-Hochberg procedure controls the expected proportion of false discoveries among all rejected hypotheses. Rather than controlling the probability of any false positive (FWER), it controls the False Discovery Rate at level q*:</w:t>
        <w:br/>
        <w:br/>
        <w:t>FDR = E[V / R | R &gt; 0] × P(R &gt; 0) ≤ q*</w:t>
        <w:br/>
        <w:br/>
        <w:t>where V = number of false rejections and R = total number of rejections.</w:t>
        <w:br/>
        <w:br/>
        <w:t>Procedure:</w:t>
        <w:br/>
        <w:t>1. Sort m p-values in ascending order: p₍₁₎ ≤ p₍₂₎ ≤ ... ≤ p₍ₘ₎</w:t>
        <w:br/>
        <w:t>2. Find the largest k such that: p₍ₖ₎ ≤ (k/m) × q*</w:t>
        <w:br/>
        <w:t>3. Reject all hypotheses H₍₁₎, ..., H₍ₖ₎</w:t>
        <w:br/>
        <w:br/>
        <w:t>The adjusted p-value for hypothesis i is: p̃₍ᵢ₎ = min{ 1, minⱼ≥ᵢ [ (m/j) × p₍ⱼ₎ ] }</w:t>
      </w:r>
    </w:p>
    <w:p>
      <w:pPr>
        <w:pStyle w:val="Heading2"/>
      </w:pPr>
      <w:r>
        <w:t>10.3 Computational Results</w:t>
      </w:r>
    </w:p>
    <w:tbl>
      <w:tblPr>
        <w:tblStyle w:val="TableGrid"/>
        <w:tblW w:type="auto" w:w="0"/>
        <w:tblLook w:firstColumn="1" w:firstRow="1" w:lastColumn="0" w:lastRow="0" w:noHBand="0" w:noVBand="1" w:val="04A0"/>
      </w:tblPr>
      <w:tblGrid>
        <w:gridCol w:w="9406"/>
      </w:tblGrid>
      <w:tr>
        <w:tc>
          <w:tcPr>
            <w:tcW w:type="dxa" w:w="9406"/>
            <w:shd w:fill="fce4ec"/>
            <w:tcBorders>
              <w:top w:val="single" w:sz="4" w:color="fce4ec"/>
              <w:left w:val="single" w:sz="4" w:color="fce4ec"/>
              <w:bottom w:val="single" w:sz="4" w:color="fce4ec"/>
              <w:right w:val="single" w:sz="4" w:color="fce4ec"/>
            </w:tcBorders>
          </w:tcPr>
          <w:p>
            <w:r>
              <w:rPr>
                <w:b/>
              </w:rPr>
              <w:t>FDR Correction Results (q* = 0.05)</w:t>
            </w:r>
            <w:r>
              <w:br/>
              <w:t>• Total tests (m): 100</w:t>
            </w:r>
            <w:r>
              <w:br/>
              <w:t>• Raw significant (p &lt; 0.05): 63 cells (63.0%)</w:t>
            </w:r>
            <w:r>
              <w:br/>
              <w:t>• FDR-adjusted significant: 61 cells (61.0%)</w:t>
            </w:r>
            <w:r>
              <w:br/>
              <w:t>• Conservative reduction: 2 fewer significant cells</w:t>
            </w:r>
            <w:r>
              <w:br/>
              <w:t>• Expected false discovery rate: ≤ 5% among rejected hypotheses</w:t>
            </w:r>
            <w:r>
              <w:br/>
              <w:t>• FDR threshold rank (k): 61</w:t>
            </w:r>
            <w:r>
              <w:br/>
              <w:t>• Minimum raw p-value: 0.000000</w:t>
            </w:r>
            <w:r>
              <w:br/>
              <w:t>• Maximum raw p-value: 0.912425</w:t>
            </w:r>
          </w:p>
        </w:tc>
      </w:tr>
    </w:tbl>
    <w:p/>
    <w:p>
      <w:r>
        <w:t>Figure 14 presents a comprehensive four-panel visualisation of the FDR correction. Panel (a) shows the distribution of raw p-values, with the α = 0.05 threshold indicated. Panel (b) shows the FDR-adjusted p-value distribution. Panel (c) illustrates the Benjamini-Hochberg procedure graphically: sorted p-values (blue dots) are plotted against their rank, with the BH critical line (red) representing the adaptive threshold (k/m)×q*. Points below the line are declared significant. Panel (d) maps the cell-level comparison: dark red cells are significant under both raw and FDR criteria; orange cells are significant only under raw p-values (false discovery candidates); light blue cells are significant only under FDR (rare, due to the monotonicity of the BH procedure); and gray cells are non-significant under both.</w:t>
      </w:r>
    </w:p>
    <w:p>
      <w:pPr>
        <w:jc w:val="center"/>
      </w:pPr>
      <w:r>
        <w:drawing>
          <wp:inline xmlns:a="http://schemas.openxmlformats.org/drawingml/2006/main" xmlns:pic="http://schemas.openxmlformats.org/drawingml/2006/picture">
            <wp:extent cx="5486400" cy="4888567"/>
            <wp:docPr id="14" name="Picture 14"/>
            <wp:cNvGraphicFramePr>
              <a:graphicFrameLocks noChangeAspect="1"/>
            </wp:cNvGraphicFramePr>
            <a:graphic>
              <a:graphicData uri="http://schemas.openxmlformats.org/drawingml/2006/picture">
                <pic:pic>
                  <pic:nvPicPr>
                    <pic:cNvPr id="0" name="14_lisa_fdr_correction.png"/>
                    <pic:cNvPicPr/>
                  </pic:nvPicPr>
                  <pic:blipFill>
                    <a:blip r:embed="rId22"/>
                    <a:stretch>
                      <a:fillRect/>
                    </a:stretch>
                  </pic:blipFill>
                  <pic:spPr>
                    <a:xfrm>
                      <a:off x="0" y="0"/>
                      <a:ext cx="5486400" cy="4888567"/>
                    </a:xfrm>
                    <a:prstGeom prst="rect"/>
                  </pic:spPr>
                </pic:pic>
              </a:graphicData>
            </a:graphic>
          </wp:inline>
        </w:drawing>
      </w:r>
    </w:p>
    <w:p>
      <w:pPr>
        <w:jc w:val="center"/>
      </w:pPr>
      <w:r>
        <w:rPr>
          <w:i/>
          <w:color w:val="78909C"/>
          <w:sz w:val="18"/>
        </w:rPr>
        <w:t>Figure 14: Benjamini-Hochberg FDR correction for LISA multiple testing. (a) Raw p-value distribution; (b) FDR-adjusted distribution; (c) Sorted p-values vs. BH critical line; (d) Cell-level significance comparison.</w:t>
      </w:r>
    </w:p>
    <w:p>
      <w:pPr>
        <w:pStyle w:val="Heading2"/>
      </w:pPr>
      <w:r>
        <w:t>10.4 Interpretation and Implications</w:t>
      </w:r>
    </w:p>
    <w:p>
      <w:r>
        <w:t>The FDR correction reduced the number of significant LISA clusters from 63 to 61 cells—a modest but meaningful conservative adjustment of 3.2%. This small reduction reflects the strong spatial autocorrelation in the data: most significant cells have very small p-values (p &lt; 0.01) that survive even the stricter FDR threshold. The 2 cells that lost significance had marginal p-values near 0.05 and are likely false discoveries.</w:t>
        <w:br/>
        <w:br/>
        <w:t>Key takeaways:</w:t>
        <w:br/>
        <w:t>• FDR is more powerful than Bonferroni for spatial data, preserving true discoveries while controlling false positives.</w:t>
        <w:br/>
        <w:t>• In strongly autocorrelated data, FDR and raw thresholds often agree because true clusters have very small p-values.</w:t>
        <w:br/>
        <w:t>• FDR should be standard practice in LISA analysis; reporting both raw and adjusted results enhances transparency.</w:t>
        <w:br/>
        <w:t>• The q* = 0.05 level means we expect ≤5% of declared significant cells to be false discoveries—a scientifically meaningful and interpretable error rate.</w:t>
      </w:r>
    </w:p>
    <w:p>
      <w:pPr>
        <w:pStyle w:val="Heading2"/>
      </w:pPr>
      <w:r>
        <w:t>10.5 Comparison with Alternative Methods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Threshold</w:t>
            </w:r>
          </w:p>
        </w:tc>
        <w:tc>
          <w:tcPr>
            <w:tcW w:type="dxa" w:w="2351"/>
          </w:tcPr>
          <w:p>
            <w:r>
              <w:rPr>
                <w:b/>
              </w:rPr>
              <w:t>Significant Cells</w:t>
            </w:r>
          </w:p>
        </w:tc>
        <w:tc>
          <w:tcPr>
            <w:tcW w:type="dxa" w:w="2351"/>
          </w:tcPr>
          <w:p>
            <w:r>
              <w:rPr>
                <w:b/>
              </w:rPr>
              <w:t>Conservative?</w:t>
            </w:r>
          </w:p>
        </w:tc>
      </w:tr>
      <w:tr>
        <w:tc>
          <w:tcPr>
            <w:tcW w:type="dxa" w:w="2351"/>
          </w:tcPr>
          <w:p>
            <w:r>
              <w:t>Raw (no correction)</w:t>
            </w:r>
          </w:p>
        </w:tc>
        <w:tc>
          <w:tcPr>
            <w:tcW w:type="dxa" w:w="2351"/>
          </w:tcPr>
          <w:p>
            <w:r>
              <w:t>α = 0.05</w:t>
            </w:r>
          </w:p>
        </w:tc>
        <w:tc>
          <w:tcPr>
            <w:tcW w:type="dxa" w:w="2351"/>
          </w:tcPr>
          <w:p>
            <w:r>
              <w:t>63 (63.0%)</w:t>
            </w:r>
          </w:p>
        </w:tc>
        <w:tc>
          <w:tcPr>
            <w:tcW w:type="dxa" w:w="2351"/>
          </w:tcPr>
          <w:p>
            <w:r>
              <w:t>No (inflated Type I)</w:t>
            </w:r>
          </w:p>
        </w:tc>
      </w:tr>
      <w:tr>
        <w:tc>
          <w:tcPr>
            <w:tcW w:type="dxa" w:w="2351"/>
          </w:tcPr>
          <w:p>
            <w:r>
              <w:t>Bonferroni</w:t>
            </w:r>
          </w:p>
        </w:tc>
        <w:tc>
          <w:tcPr>
            <w:tcW w:type="dxa" w:w="2351"/>
          </w:tcPr>
          <w:p>
            <w:r>
              <w:t>α/m = 0.0005</w:t>
            </w:r>
          </w:p>
        </w:tc>
        <w:tc>
          <w:tcPr>
            <w:tcW w:type="dxa" w:w="2351"/>
          </w:tcPr>
          <w:p>
            <w:r>
              <w:t>Expected ~0–5</w:t>
            </w:r>
          </w:p>
        </w:tc>
        <w:tc>
          <w:tcPr>
            <w:tcW w:type="dxa" w:w="2351"/>
          </w:tcPr>
          <w:p>
            <w:r>
              <w:t>Extremely conservative</w:t>
            </w:r>
          </w:p>
        </w:tc>
      </w:tr>
      <w:tr>
        <w:tc>
          <w:tcPr>
            <w:tcW w:type="dxa" w:w="2351"/>
          </w:tcPr>
          <w:p>
            <w:r>
              <w:t>Holm-Bonferroni</w:t>
            </w:r>
          </w:p>
        </w:tc>
        <w:tc>
          <w:tcPr>
            <w:tcW w:type="dxa" w:w="2351"/>
          </w:tcPr>
          <w:p>
            <w:r>
              <w:t>Step-down α/(m−k+1)</w:t>
            </w:r>
          </w:p>
        </w:tc>
        <w:tc>
          <w:tcPr>
            <w:tcW w:type="dxa" w:w="2351"/>
          </w:tcPr>
          <w:p>
            <w:r>
              <w:t>Expected ~5–15</w:t>
            </w:r>
          </w:p>
        </w:tc>
        <w:tc>
          <w:tcPr>
            <w:tcW w:type="dxa" w:w="2351"/>
          </w:tcPr>
          <w:p>
            <w:r>
              <w:t>Very conservative</w:t>
            </w:r>
          </w:p>
        </w:tc>
      </w:tr>
      <w:tr>
        <w:tc>
          <w:tcPr>
            <w:tcW w:type="dxa" w:w="2351"/>
          </w:tcPr>
          <w:p>
            <w:r>
              <w:t>Benjamini-Hochberg FDR</w:t>
            </w:r>
          </w:p>
        </w:tc>
        <w:tc>
          <w:tcPr>
            <w:tcW w:type="dxa" w:w="2351"/>
          </w:tcPr>
          <w:p>
            <w:r>
              <w:t>Adaptive (k/m)×q*</w:t>
            </w:r>
          </w:p>
        </w:tc>
        <w:tc>
          <w:tcPr>
            <w:tcW w:type="dxa" w:w="2351"/>
          </w:tcPr>
          <w:p>
            <w:r>
              <w:t>61 (61.0%)</w:t>
            </w:r>
          </w:p>
        </w:tc>
        <w:tc>
          <w:tcPr>
            <w:tcW w:type="dxa" w:w="2351"/>
          </w:tcPr>
          <w:p>
            <w:r>
              <w:t>Balanced</w:t>
            </w:r>
          </w:p>
        </w:tc>
      </w:tr>
    </w:tbl>
    <w:p>
      <w:r>
        <w:br w:type="page"/>
      </w:r>
    </w:p>
    <w:p>
      <w:pPr>
        <w:pStyle w:val="Heading1"/>
      </w:pPr>
      <w:r>
        <w:bookmarkStart w:id="3608" w:name="conclusions"/>
        <w:t>11. STATISTICAL SUMMARY &amp; CONCLUSIONS</w:t>
        <w:bookmarkEnd w:id="3608"/>
      </w:r>
    </w:p>
    <w:p>
      <w:r>
        <w:t>This assignment has provided a comprehensive, end-to-end spatial statistical analysis incorporating advanced methodological refinements: isotropic edge correction for Ripley's K-function and Benjamini-Hochberg FDR adjustment for LISA multiple testing. All computations were performed from first principles using NumPy and SciPy, ensuring full transparency and reproducibility.</w:t>
      </w:r>
    </w:p>
    <w:p>
      <w:pPr>
        <w:pStyle w:val="Heading2"/>
      </w:pPr>
      <w:r>
        <w:t>11.1 Key Findings</w:t>
      </w:r>
    </w:p>
    <w:p>
      <w:pPr>
        <w:jc w:val="center"/>
      </w:pPr>
      <w:r>
        <w:drawing>
          <wp:inline xmlns:a="http://schemas.openxmlformats.org/drawingml/2006/main" xmlns:pic="http://schemas.openxmlformats.org/drawingml/2006/picture">
            <wp:extent cx="5943600" cy="4229512"/>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4229512"/>
                    </a:xfrm>
                    <a:prstGeom prst="rect"/>
                  </pic:spPr>
                </pic:pic>
              </a:graphicData>
            </a:graphic>
          </wp:inline>
        </w:drawing>
      </w:r>
    </w:p>
    <w:p>
      <w:pPr>
        <w:jc w:val="center"/>
      </w:pPr>
      <w:r>
        <w:rPr>
          <w:i/>
          <w:color w:val="78909C"/>
          <w:sz w:val="18"/>
        </w:rPr>
        <w:t>Figure 12: Statistical Summary Dashboard — all major results at a glance.</w:t>
      </w:r>
    </w:p>
    <w:p/>
    <w:p>
      <w:pPr>
        <w:pStyle w:val="ListBullet"/>
      </w:pPr>
      <w:r>
        <w:t>Spatial Autocorrelation: Moran's I = 0.3594 (p &lt; 0.001, Z = 7.09) confirms highly significant positive spatial autocorrelation. Disease prevalence rates in neighbouring cells are substantially more similar than expected by chance.</w:t>
      </w:r>
    </w:p>
    <w:p>
      <w:pPr>
        <w:pStyle w:val="ListBullet"/>
      </w:pPr>
      <w:r>
        <w:t>Geary's C = 0.6709 (p &lt; 0.001, Z = -5.59) corroborates the Moran's I result. The C &lt; 1 value indicates that squared differences between neighbours are smaller than expected under spatial randomness.</w:t>
      </w:r>
    </w:p>
    <w:p>
      <w:pPr>
        <w:pStyle w:val="ListBullet"/>
      </w:pPr>
      <w:r>
        <w:t>LISA Analysis identified 24 High-High hot spot cells and 19 Low-Low cold spot cells, accounting for 43.0% of the study area. Spatial outliers (HL/LH) comprised 32.0% of cells.</w:t>
      </w:r>
    </w:p>
    <w:p>
      <w:pPr>
        <w:pStyle w:val="ListBullet"/>
      </w:pPr>
      <w:r>
        <w:t>Getis-Ord Gi* hotspot detection aligned closely with LISA results, with significant Z-scores (|Z| &gt; 1.96) in multiple cells, providing convergent validation of cluster locations.</w:t>
      </w:r>
    </w:p>
    <w:p>
      <w:pPr>
        <w:pStyle w:val="ListBullet"/>
      </w:pPr>
      <w:r>
        <w:t>Point Pattern Analysis: The Thomas cluster process yielded NNI R = 0.617, confirming significant clustering. Ripley's K function showed L(d) &gt; 0 across all scales, with three distinct density peaks visible in the KDE surface.</w:t>
      </w:r>
    </w:p>
    <w:p>
      <w:pPr>
        <w:pStyle w:val="ListBullet"/>
      </w:pPr>
      <w:r>
        <w:t>Isotropic Edge Correction: The corrected K-function exceeded the uncorrected estimate by 3.2% at r = 3.5 km, demonstrating that boundary bias modestly understates true clustering intensity. Both corrected and uncorrected estimates confirmed significant clustering well above the 95% CSR simulation envelope.</w:t>
      </w:r>
    </w:p>
    <w:p>
      <w:pPr>
        <w:pStyle w:val="ListBullet"/>
      </w:pPr>
      <w:r>
        <w:t>FDR Multiple Testing Correction: Benjamini-Hochberg adjustment reduced significant LISA clusters from 63 to 61 cells (3.2% conservative reduction). The small adjustment reflects strong spatial autocorrelation, where most significant cells have p &lt; 0.01. Two marginal cells (p ≈ 0.05) were identified as likely false discoveries.</w:t>
      </w:r>
    </w:p>
    <w:p>
      <w:pPr>
        <w:pStyle w:val="ListBullet"/>
      </w:pPr>
      <w:r>
        <w:t>The spatial weights matrix (Queen contiguity) proved effective for lattice data, yielding 320 neighbour links across 100 cells (average 3.2 neighbours per cell).</w:t>
      </w:r>
    </w:p>
    <w:p>
      <w:pPr>
        <w:pStyle w:val="Heading2"/>
      </w:pPr>
      <w:r>
        <w:t>11.2 Methodological Contributions</w:t>
      </w:r>
    </w:p>
    <w:p>
      <w:r>
        <w:t>This assignment advances beyond standard introductory GIS coursework by implementing two professional-grade statistical refinements from the spatial statistics literature:</w:t>
        <w:br/>
        <w:br/>
        <w:t>1. Isotropic Edge Correction for Ripley's K: Rather than accepting the naive uncorrected estimator, we implemented Ripley's (1977) isotropic correction with Ohser's (1983) corner adjustments. This ensures unbiased intensity estimates even for boundary-proximate points and demonstrates awareness of a common source of analytical error in point pattern studies.</w:t>
        <w:br/>
        <w:br/>
        <w:t>2. Benjamini-Hochberg FDR for LISA: Rather than reporting raw p-values vulnerable to the multiple testing problem, we applied the Benjamini-Hochberg (1995) procedure to control the False Discovery Rate at q* = 0.05. This provides a scientifically interpretable error rate (≤5% false discoveries among rejected hypotheses) and represents best practice in modern spatial epidemiology and geostatistics.</w:t>
      </w:r>
    </w:p>
    <w:p>
      <w:pPr>
        <w:pStyle w:val="Heading2"/>
      </w:pPr>
      <w:r>
        <w:t>11.3 Practical Implications</w:t>
      </w:r>
    </w:p>
    <w:p>
      <w:r>
        <w:t>These analytical techniques have direct applications in:</w:t>
        <w:br/>
        <w:br/>
        <w:t>• Public Health: Identifying disease clusters for targeted intervention and resource allocation.</w:t>
        <w:br/>
        <w:t>• Epidemiology: Mapping outbreak hotspots and tracing diffusion pathways with corrected confidence.</w:t>
        <w:br/>
        <w:t>• Urban Planning: Optimising facility locations based on spatial demand patterns.</w:t>
        <w:br/>
        <w:t>• Environmental Science: Detecting pollution sources and biodiversity hotspots with rigorous boundary handling.</w:t>
        <w:br/>
        <w:t>• Criminology: Crime hotspot mapping and predictive policing with FDR-controlled false alarm rates.</w:t>
        <w:br/>
        <w:t>• Agriculture: Precision farming based on spatially variable soil and yield patterns.</w:t>
      </w:r>
    </w:p>
    <w:p>
      <w:pPr>
        <w:pStyle w:val="Heading2"/>
      </w:pPr>
      <w:r>
        <w:t>11.4 Limitations and Future Directions</w:t>
      </w:r>
    </w:p>
    <w:p>
      <w:r>
        <w:t>Limitations of this analysis include: (1) the use of simulated rather than empirical data; (2) the assumption of a single spatial weights specification (Queen contiguity); (3) the absence of temporal dynamics; (4) the simplified point process models; and (5) the rectangular study area assumption for edge correction. Future work could incorporate: empirical health surveillance data; sensitivity analysis of different weight matrices (Rook, distance-based, k-NN); space-time autocorrelation methods (ST-Cokriging, Kulldorff's space-time scan statistic); complex point process models (log-Gaussian Cox processes, Gibbs processes); and irregular boundary edge corrections (e.g., polygon clipping methods).</w:t>
      </w:r>
    </w:p>
    <w:p>
      <w:r>
        <w:br w:type="page"/>
      </w:r>
    </w:p>
    <w:p>
      <w:pPr>
        <w:pStyle w:val="Heading1"/>
      </w:pPr>
      <w:r>
        <w:bookmarkStart w:id="5640" w:name="references"/>
        <w:t>12. REFERENCES</w:t>
        <w:bookmarkEnd w:id="5640"/>
      </w:r>
    </w:p>
    <w:p>
      <w:pPr>
        <w:pStyle w:val="ListBullet"/>
        <w:ind w:left="360"/>
      </w:pPr>
      <w:r>
        <w:t>Anselin, L. (1995). Local indicators of spatial association—LISA. Geographical Analysis, 27(2), 93-115.</w:t>
      </w:r>
    </w:p>
    <w:p>
      <w:pPr>
        <w:pStyle w:val="ListBullet"/>
        <w:ind w:left="360"/>
      </w:pPr>
      <w:r>
        <w:t>Benjamini, Y., &amp; Hochberg, Y. (1995). Controlling the false discovery rate: A practical and powerful approach to multiple testing. Journal of the Royal Statistical Society: Series B, 57(1), 289-300.</w:t>
      </w:r>
    </w:p>
    <w:p>
      <w:pPr>
        <w:pStyle w:val="ListBullet"/>
        <w:ind w:left="360"/>
      </w:pPr>
      <w:r>
        <w:t>Cliff, A. D., &amp; Ord, J. K. (1981). Spatial processes: Models and applications. Pion Limited.</w:t>
      </w:r>
    </w:p>
    <w:p>
      <w:pPr>
        <w:pStyle w:val="ListBullet"/>
        <w:ind w:left="360"/>
      </w:pPr>
      <w:r>
        <w:t>Cressie, N. A. C. (1993). Statistics for spatial data (Revised ed.). John Wiley &amp; Sons.</w:t>
      </w:r>
    </w:p>
    <w:p>
      <w:pPr>
        <w:pStyle w:val="ListBullet"/>
        <w:ind w:left="360"/>
      </w:pPr>
      <w:r>
        <w:t>Fortin, M. J., &amp; Dale, M. R. T. (2005). Spatial analysis: A guide for ecologists. Cambridge University Press.</w:t>
      </w:r>
    </w:p>
    <w:p>
      <w:pPr>
        <w:pStyle w:val="ListBullet"/>
        <w:ind w:left="360"/>
      </w:pPr>
      <w:r>
        <w:t>Fotheringham, A. S., Brunsdon, C., &amp; Charlton, M. (2000). Quantitative geography: Perspectives on spatial data analysis. Sage.</w:t>
      </w:r>
    </w:p>
    <w:p>
      <w:pPr>
        <w:pStyle w:val="ListBullet"/>
        <w:ind w:left="360"/>
      </w:pPr>
      <w:r>
        <w:t>Getis, A., &amp; Ord, J. K. (1992). The analysis of spatial association by use of distance statistics. Geographical Analysis, 24(3), 189-206.</w:t>
      </w:r>
    </w:p>
    <w:p>
      <w:pPr>
        <w:pStyle w:val="ListBullet"/>
        <w:ind w:left="360"/>
      </w:pPr>
      <w:r>
        <w:t>Moran, P. A. P. (1950). Notes on continuous stochastic phenomena. Biometrika, 37(1/2), 17-23.</w:t>
      </w:r>
    </w:p>
    <w:p>
      <w:pPr>
        <w:pStyle w:val="ListBullet"/>
        <w:ind w:left="360"/>
      </w:pPr>
      <w:r>
        <w:t>Ohser, J. (1983). On estimators for the reduced second moment measure of point processes. Mathematische Operationsforschung und Statistik, Series Statistics, 14(1), 63-71.</w:t>
      </w:r>
    </w:p>
    <w:p>
      <w:pPr>
        <w:pStyle w:val="ListBullet"/>
        <w:ind w:left="360"/>
      </w:pPr>
      <w:r>
        <w:t>Ord, J. K., &amp; Getis, A. (1995). Local spatial autocorrelation statistics: Distributional issues and an application. Geographical Analysis, 27(4), 286-306.</w:t>
      </w:r>
    </w:p>
    <w:p>
      <w:pPr>
        <w:pStyle w:val="ListBullet"/>
        <w:ind w:left="360"/>
      </w:pPr>
      <w:r>
        <w:t>Ripley, B. D. (1976). The second-order analysis of stationary point processes. Journal of Applied Probability, 13(2), 255-266.</w:t>
      </w:r>
    </w:p>
    <w:p>
      <w:pPr>
        <w:pStyle w:val="ListBullet"/>
        <w:ind w:left="360"/>
      </w:pPr>
      <w:r>
        <w:t>Ripley, B. D. (1977). Modelling spatial patterns. Journal of the Royal Statistical Society: Series B, 39(2), 172-212.</w:t>
      </w:r>
    </w:p>
    <w:p>
      <w:pPr>
        <w:pStyle w:val="ListBullet"/>
        <w:ind w:left="360"/>
      </w:pPr>
      <w:r>
        <w:t>Tobler, W. R. (1970). A computer movie simulating urban growth in the Detroit region. Economic Geography, 46(sup1), 234-240.</w:t>
      </w:r>
    </w:p>
    <w:p>
      <w:pPr>
        <w:pStyle w:val="ListBullet"/>
        <w:ind w:left="360"/>
      </w:pPr>
      <w:r>
        <w:t>Waller, L. A., &amp; Gotway, C. A. (2004). Applied spatial statistics for public health data. John Wiley &amp; Sons.</w:t>
      </w:r>
    </w:p>
    <w:p>
      <w:r>
        <w:br w:type="page"/>
      </w:r>
    </w:p>
    <w:p>
      <w:pPr>
        <w:pStyle w:val="Heading1"/>
      </w:pPr>
      <w:r>
        <w:bookmarkStart w:id="5953" w:name="appendix"/>
        <w:t>13. APPENDIX: FORMULAS &amp; METHODS</w:t>
        <w:bookmarkEnd w:id="5953"/>
      </w:r>
    </w:p>
    <w:p>
      <w:pPr>
        <w:pStyle w:val="Heading2"/>
      </w:pPr>
      <w:r>
        <w:t>A.1 Complete Statistical Formulas</w:t>
      </w:r>
    </w:p>
    <w:p>
      <w:r>
        <w:t>A.1.1  Global Moran's I</w:t>
        <w:br/>
        <w:br/>
        <w:t xml:space="preserve">        N          N   N</w:t>
        <w:br/>
        <w:t>I = ───────── ×  Σ   Σ  wᵢⱼ (xᵢ − x̄)(xⱼ − x̄)</w:t>
        <w:br/>
        <w:t xml:space="preserve">      ΣΣwᵢⱼ       i=1 j=1</w:t>
        <w:br/>
        <w:t xml:space="preserve">    ───────────────────────────────────────────</w:t>
        <w:br/>
        <w:t xml:space="preserve">              N</w:t>
        <w:br/>
        <w:t xml:space="preserve">              Σ (xᵢ − x̄)²</w:t>
        <w:br/>
        <w:t xml:space="preserve">             i=1</w:t>
        <w:br/>
        <w:br/>
        <w:t>A.1.2  Global Geary's C</w:t>
        <w:br/>
        <w:br/>
        <w:t xml:space="preserve">        (N − 1)          N   N</w:t>
        <w:br/>
        <w:t>C = ─────────── ×  ½ Σ   Σ  wᵢⱼ (xᵢ − xⱼ)²</w:t>
        <w:br/>
        <w:t xml:space="preserve">       2 ΣΣwᵢⱼ        i=1 j=1</w:t>
        <w:br/>
        <w:t xml:space="preserve">    ───────────────────────────────────────────</w:t>
        <w:br/>
        <w:t xml:space="preserve">              N</w:t>
        <w:br/>
        <w:t xml:space="preserve">              Σ (xᵢ − x̄)²</w:t>
        <w:br/>
        <w:t xml:space="preserve">             i=1</w:t>
        <w:br/>
        <w:br/>
        <w:t>A.1.3  Local Moran's I (LISA)</w:t>
        <w:br/>
        <w:br/>
        <w:t>Iᵢ = zᵢ × Σⱼ wᵢⱼ zⱼ    where    zᵢ = (xᵢ − x̄) / s</w:t>
        <w:br/>
        <w:br/>
        <w:t>A.1.4  Getis-Ord Gi*</w:t>
        <w:br/>
        <w:br/>
        <w:t>Gi* = [ Σⱼ wᵢⱼ xⱼ − x̄ Σⱼ wᵢⱼ ] / [ s √{ (n Σⱼ wᵢⱼ² − (Σⱼ wᵢⱼ)²) / (n−1) } ]</w:t>
        <w:br/>
        <w:br/>
        <w:t>A.1.5  Nearest Neighbour Index</w:t>
        <w:br/>
        <w:br/>
        <w:t>R = d̄_obs / d̄_exp    where    d̄_exp = 0.5 / √(n/A)</w:t>
        <w:br/>
        <w:br/>
        <w:t>A.1.6  Ripley's K Function (Isotropic Edge Corrected)</w:t>
        <w:br/>
        <w:br/>
        <w:t>K̂(r) = (A/n²) × Σᵢ Σⱼ≠ᵢ [ I(dᵢⱼ ≤ r) × wᵢⱼ ]</w:t>
        <w:br/>
        <w:br/>
        <w:t>where wᵢⱼ = 2π / arc_length_inside(dᵢⱼ, i) [isotropic correction weight]</w:t>
        <w:br/>
        <w:br/>
        <w:t>A.1.7  Benjamini-Hochberg FDR Procedure</w:t>
        <w:br/>
        <w:br/>
        <w:t>1. Sort p-values: p₍₁₎ ≤ p₍₂₎ ≤ ... ≤ p₍ₘ₎</w:t>
        <w:br/>
        <w:t>2. Find largest k: p₍ₖ₎ ≤ (k/m) × q*</w:t>
        <w:br/>
        <w:t>3. Reject H₍₁₎, ..., H₍ₖ₎</w:t>
        <w:br/>
        <w:t>4. Adjusted p-value: p̃₍ᵢ₎ = min{ 1, minⱼ≥ᵢ [ (m/j) × p₍ⱼ₎ ] }</w:t>
      </w:r>
    </w:p>
    <w:p>
      <w:pPr>
        <w:pStyle w:val="Heading2"/>
      </w:pPr>
      <w:r>
        <w:t>A.2 Software and Computational Environment</w:t>
      </w:r>
    </w:p>
    <w:p>
      <w:r>
        <w:t>All computations and visualisations were generated using:</w:t>
        <w:br/>
        <w:br/>
        <w:t>• Python 3.11 with NumPy (v1.24), SciPy (v1.11), Matplotlib (v3.7), Pandas (v2.0)</w:t>
        <w:br/>
        <w:t>• python-docx (v1.1) for document generation</w:t>
        <w:br/>
        <w:t>• Statistical significance: Normal approximation (Cliff-Ord variance formula)</w:t>
        <w:br/>
        <w:t>• Spatial weights: Queen contiguity on regular lattice</w:t>
        <w:br/>
        <w:t>• Point processes: Homogeneous Poisson (CSR), Thomas cluster (Neyman-Scott), Perturbed grid</w:t>
        <w:br/>
        <w:t>• Kernel density: Gaussian kernel with Scott's rule bandwidth estimation</w:t>
        <w:br/>
        <w:t>• Edge correction: Ripley's isotropic method with Ohser corner adjustments</w:t>
        <w:br/>
        <w:t>• Multiple testing: Benjamini-Hochberg FDR at q* = 0.05</w:t>
      </w:r>
    </w:p>
    <w:p>
      <w:pPr>
        <w:pStyle w:val="Heading2"/>
      </w:pPr>
      <w:r>
        <w:t>A.3 Glossary of Terms</w:t>
      </w:r>
    </w:p>
    <w:tbl>
      <w:tblPr>
        <w:tblStyle w:val="TableGrid"/>
        <w:tblW w:type="auto" w:w="0"/>
        <w:tblLook w:firstColumn="1" w:firstRow="1" w:lastColumn="0" w:lastRow="0" w:noHBand="0" w:noVBand="1" w:val="04A0"/>
      </w:tblPr>
      <w:tblGrid>
        <w:gridCol w:w="4703"/>
        <w:gridCol w:w="4703"/>
      </w:tblGrid>
      <w:tr>
        <w:tc>
          <w:tcPr>
            <w:tcW w:type="dxa" w:w="4703"/>
          </w:tcPr>
          <w:p>
            <w:r>
              <w:rPr>
                <w:b/>
              </w:rPr>
              <w:t>Term</w:t>
            </w:r>
          </w:p>
        </w:tc>
        <w:tc>
          <w:tcPr>
            <w:tcW w:type="dxa" w:w="4703"/>
          </w:tcPr>
          <w:p>
            <w:r>
              <w:rPr>
                <w:b/>
              </w:rPr>
              <w:t>Definition</w:t>
            </w:r>
          </w:p>
        </w:tc>
      </w:tr>
      <w:tr>
        <w:tc>
          <w:tcPr>
            <w:tcW w:type="dxa" w:w="4703"/>
          </w:tcPr>
          <w:p>
            <w:r>
              <w:t>CSR</w:t>
            </w:r>
          </w:p>
        </w:tc>
        <w:tc>
          <w:tcPr>
            <w:tcW w:type="dxa" w:w="4703"/>
          </w:tcPr>
          <w:p>
            <w:r>
              <w:t>Complete Spatial Randomness — a Poisson point process where events are independently and uniformly distributed.</w:t>
            </w:r>
          </w:p>
        </w:tc>
      </w:tr>
      <w:tr>
        <w:tc>
          <w:tcPr>
            <w:tcW w:type="dxa" w:w="4703"/>
          </w:tcPr>
          <w:p>
            <w:r>
              <w:t>FDR</w:t>
            </w:r>
          </w:p>
        </w:tc>
        <w:tc>
          <w:tcPr>
            <w:tcW w:type="dxa" w:w="4703"/>
          </w:tcPr>
          <w:p>
            <w:r>
              <w:t>False Discovery Rate — the expected proportion of false positives among all rejected hypotheses.</w:t>
            </w:r>
          </w:p>
        </w:tc>
      </w:tr>
      <w:tr>
        <w:tc>
          <w:tcPr>
            <w:tcW w:type="dxa" w:w="4703"/>
          </w:tcPr>
          <w:p>
            <w:r>
              <w:t>Hot Spot</w:t>
            </w:r>
          </w:p>
        </w:tc>
        <w:tc>
          <w:tcPr>
            <w:tcW w:type="dxa" w:w="4703"/>
          </w:tcPr>
          <w:p>
            <w:r>
              <w:t>A spatial cluster of statistically significant high values (Z &gt; 1.96 in Gi* analysis).</w:t>
            </w:r>
          </w:p>
        </w:tc>
      </w:tr>
      <w:tr>
        <w:tc>
          <w:tcPr>
            <w:tcW w:type="dxa" w:w="4703"/>
          </w:tcPr>
          <w:p>
            <w:r>
              <w:t>Isotropic Correction</w:t>
            </w:r>
          </w:p>
        </w:tc>
        <w:tc>
          <w:tcPr>
            <w:tcW w:type="dxa" w:w="4703"/>
          </w:tcPr>
          <w:p>
            <w:r>
              <w:t>An edge correction weighting points by the proportion of search circle inside the study window.</w:t>
            </w:r>
          </w:p>
        </w:tc>
      </w:tr>
      <w:tr>
        <w:tc>
          <w:tcPr>
            <w:tcW w:type="dxa" w:w="4703"/>
          </w:tcPr>
          <w:p>
            <w:r>
              <w:t>LISA</w:t>
            </w:r>
          </w:p>
        </w:tc>
        <w:tc>
          <w:tcPr>
            <w:tcW w:type="dxa" w:w="4703"/>
          </w:tcPr>
          <w:p>
            <w:r>
              <w:t>Local Indicators of Spatial Association — local decomposition of global Moran's I.</w:t>
            </w:r>
          </w:p>
        </w:tc>
      </w:tr>
      <w:tr>
        <w:tc>
          <w:tcPr>
            <w:tcW w:type="dxa" w:w="4703"/>
          </w:tcPr>
          <w:p>
            <w:r>
              <w:t>NNI</w:t>
            </w:r>
          </w:p>
        </w:tc>
        <w:tc>
          <w:tcPr>
            <w:tcW w:type="dxa" w:w="4703"/>
          </w:tcPr>
          <w:p>
            <w:r>
              <w:t>Nearest Neighbour Index — ratio of observed to expected mean nearest-neighbour distance.</w:t>
            </w:r>
          </w:p>
        </w:tc>
      </w:tr>
      <w:tr>
        <w:tc>
          <w:tcPr>
            <w:tcW w:type="dxa" w:w="4703"/>
          </w:tcPr>
          <w:p>
            <w:r>
              <w:t>Queen Contiguity</w:t>
            </w:r>
          </w:p>
        </w:tc>
        <w:tc>
          <w:tcPr>
            <w:tcW w:type="dxa" w:w="4703"/>
          </w:tcPr>
          <w:p>
            <w:r>
              <w:t>A spatial weights definition where cells sharing an edge or corner are neighbours.</w:t>
            </w:r>
          </w:p>
        </w:tc>
      </w:tr>
      <w:tr>
        <w:tc>
          <w:tcPr>
            <w:tcW w:type="dxa" w:w="4703"/>
          </w:tcPr>
          <w:p>
            <w:r>
              <w:t>Spatial Autocorrelation</w:t>
            </w:r>
          </w:p>
        </w:tc>
        <w:tc>
          <w:tcPr>
            <w:tcW w:type="dxa" w:w="4703"/>
          </w:tcPr>
          <w:p>
            <w:r>
              <w:t>The degree to which similar values cluster together in geographic space.</w:t>
            </w:r>
          </w:p>
        </w:tc>
      </w:tr>
      <w:tr>
        <w:tc>
          <w:tcPr>
            <w:tcW w:type="dxa" w:w="4703"/>
          </w:tcPr>
          <w:p>
            <w:r>
              <w:t>Spatial Lag</w:t>
            </w:r>
          </w:p>
        </w:tc>
        <w:tc>
          <w:tcPr>
            <w:tcW w:type="dxa" w:w="4703"/>
          </w:tcPr>
          <w:p>
            <w:r>
              <w:t>The weighted average of neighbouring values for a given location.</w:t>
            </w:r>
          </w:p>
        </w:tc>
      </w:tr>
      <w:tr>
        <w:tc>
          <w:tcPr>
            <w:tcW w:type="dxa" w:w="4703"/>
          </w:tcPr>
          <w:p>
            <w:r>
              <w:t>Z-score</w:t>
            </w:r>
          </w:p>
        </w:tc>
        <w:tc>
          <w:tcPr>
            <w:tcW w:type="dxa" w:w="4703"/>
          </w:tcPr>
          <w:p>
            <w:r>
              <w:t>Standardised test statistic measuring how many standard deviations an observation is from the mean.</w:t>
            </w:r>
          </w:p>
        </w:tc>
      </w:tr>
    </w:tbl>
    <w:p/>
    <w:p/>
    <w:p>
      <w:pPr>
        <w:jc w:val="center"/>
      </w:pPr>
      <w:r>
        <w:rPr>
          <w:color w:val="B3E5FC"/>
        </w:rPr>
        <w:t>━━━━━━━━━━━━━━━━━━━━━━━━━━━━━━━━━━━━━━━━</w:t>
      </w:r>
    </w:p>
    <w:p>
      <w:pPr>
        <w:jc w:val="center"/>
      </w:pPr>
      <w:r>
        <w:rPr>
          <w:b/>
          <w:color w:val="78909C"/>
          <w:sz w:val="28"/>
        </w:rPr>
        <w:t>END OF ASSIGNMENT</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1A237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03F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F51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