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9d6f0a1d64f0475e" /></Relationships>
</file>

<file path=word/document.xml><?xml version="1.0" encoding="utf-8"?>
<w:document xmlns:w="http://schemas.openxmlformats.org/wordprocessingml/2006/main">
  <w:body>
    <w:p>
      <w:pPr>
        <w:jc w:val="center"/>
        <w:spacing w:before="360" w:after="40"/>
      </w:pPr>
      <w:r>
        <w:rPr>
          <w:rFonts w:ascii="Times New Roman" w:hAnsi="Times New Roman"/>
          <w:b/>
          <w:color w:val="0D233A"/>
        </w:rPr>
        <w:t xml:space="preserve">SAM HIGGINBOTTOM UNIVERSITY OF AGRICULTURE, TECHNOLOGY AND SCIENCES</w:t>
      </w:r>
    </w:p>
    <w:p>
      <w:pPr>
        <w:jc w:val="center"/>
        <w:spacing w:before="0" w:after="40"/>
      </w:pPr>
      <w:r>
        <w:rPr>
          <w:rFonts w:ascii="Times New Roman" w:hAnsi="Times New Roman"/>
          <w:color w:val="111827"/>
        </w:rPr>
        <w:t xml:space="preserve">Department of Mathematics and Statistics</w:t>
      </w:r>
    </w:p>
    <w:p>
      <w:pPr>
        <w:jc w:val="center"/>
        <w:spacing w:before="0" w:after="720"/>
      </w:pPr>
      <w:r>
        <w:rPr>
          <w:rFonts w:ascii="Times New Roman" w:hAnsi="Times New Roman"/>
          <w:color w:val="4B5563"/>
        </w:rPr>
        <w:t xml:space="preserve">SHUATS, Prayagraj - 211007, Uttar Pradesh, India</w:t>
      </w:r>
    </w:p>
    <w:p>
      <w:pPr>
        <w:keepNext/>
        <w:jc w:val="center"/>
        <w:spacing w:before="120" w:after="60"/>
      </w:pPr>
      <w:r>
        <w:drawing>
          <wp:inline xmlns:wp="http://schemas.openxmlformats.org/drawingml/2006/wordprocessingDrawing" distT="0" distB="0" distL="0" distR="0">
            <wp:extent cx="1440000" cy="1500192"/>
            <wp:effectExtent l="0" t="0" r="0" b="0"/>
            <wp:docPr id="10" name="SHUA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ATS Logo.png"/>
                    <pic:cNvPicPr/>
                  </pic:nvPicPr>
                  <pic:blipFill>
                    <a:blip xmlns:r="http://schemas.openxmlformats.org/officeDocument/2006/relationships" r:embed="R26cf3517f81f4734"/>
                    <a:stretch>
                      <a:fillRect/>
                    </a:stretch>
                  </pic:blipFill>
                  <pic:spPr>
                    <a:xfrm>
                      <a:off x="0" y="0"/>
                      <a:ext cx="1440000" cy="1500192"/>
                    </a:xfrm>
                    <a:prstGeom prst="rect"/>
                  </pic:spPr>
                </pic:pic>
              </a:graphicData>
            </a:graphic>
          </wp:inline>
        </w:drawing>
      </w:r>
    </w:p>
    <w:p>
      <w:pPr>
        <w:spacing w:before="1200"/>
      </w:pPr>
      <w:r/>
    </w:p>
    <w:p>
      <w:pPr>
        <w:jc w:val="center"/>
        <w:spacing w:after="120"/>
      </w:pPr>
      <w:r>
        <w:rPr>
          <w:rFonts w:ascii="Times New Roman" w:hAnsi="Times New Roman"/>
          <w:b/>
          <w:color w:val="1D4E89"/>
        </w:rPr>
        <w:t xml:space="preserve">M.Sc. GIS &amp; REMOTE SENSING (SEMESTER-II)</w:t>
      </w:r>
    </w:p>
    <w:p>
      <w:pPr>
        <w:jc w:val="center"/>
        <w:spacing w:after="720"/>
      </w:pPr>
      <w:r>
        <w:rPr>
          <w:rFonts w:ascii="Times New Roman" w:hAnsi="Times New Roman"/>
          <w:color w:val="4B5563"/>
        </w:rPr>
        <w:t xml:space="preserve">Course: Advanced Spatial Statistics &amp; GIS Analysis</w:t>
      </w:r>
    </w:p>
    <w:p>
      <w:pPr>
        <w:jc w:val="center"/>
        <w:spacing w:after="120"/>
      </w:pPr>
      <w:r>
        <w:rPr>
          <w:rFonts w:ascii="Times New Roman" w:hAnsi="Times New Roman"/>
          <w:b/>
          <w:color w:val="0D233A"/>
          <w:sz w:val="44"/>
        </w:rPr>
        <w:t xml:space="preserve">SPATIAL AUTOCORRELATION &amp;
POINT PATTERN ANALYSIS</w:t>
      </w:r>
    </w:p>
    <w:p>
      <w:pPr>
        <w:jc w:val="center"/>
        <w:spacing w:after="2160"/>
      </w:pPr>
      <w:r>
        <w:rPr>
          <w:rFonts w:ascii="Times New Roman" w:hAnsi="Times New Roman"/>
          <w:i/>
          <w:color w:val="2F855A"/>
        </w:rPr>
        <w:t xml:space="preserve">A Comprehensive Academic Assignment on Grid-Based &amp; Continuous Point Process Modeling</w:t>
      </w:r>
    </w:p>
    <w:tbl>
      <w:tblPr>
        <w:tblW w:w="5000" w:type="pct"/>
        <w:tblBorders>
          <w:top w:val="nil"/>
          <w:left w:val="nil"/>
          <w:bottom w:val="nil"/>
          <w:right w:val="nil"/>
          <w:insideH w:val="nil"/>
          <w:insideV w:val="nil"/>
        </w:tblBorders>
      </w:tblPr>
      <w:tblGrid>
        <w:gridCol w:w="5000"/>
        <w:gridCol w:w="5000"/>
      </w:tblGrid>
      <w:tr>
        <w:tc>
          <w:tcPr>
            <w:tcW w:w="5000" w:type="pct"/>
          </w:tcPr>
          <w:p>
            <w:pPr>
              <w:jc w:val="left"/>
            </w:pPr>
            <w:r>
              <w:rPr>
                <w:rFonts w:ascii="Times New Roman" w:hAnsi="Times New Roman"/>
                <w:b/>
                <w:color w:val="0D233A"/>
              </w:rPr>
              <w:t xml:space="preserve">SUBMITTED BY:</w:t>
            </w:r>
          </w:p>
          <w:p>
            <w:pPr>
              <w:jc w:val="left"/>
            </w:pPr>
            <w:r>
              <w:rPr>
                <w:rFonts w:ascii="Times New Roman" w:hAnsi="Times New Roman"/>
                <w:color w:val="111827"/>
              </w:rPr>
              <w:t xml:space="preserve">Name: N. Akshit Vinay</w:t>
            </w:r>
          </w:p>
          <w:p>
            <w:pPr>
              <w:jc w:val="left"/>
            </w:pPr>
            <w:r>
              <w:rPr>
                <w:rFonts w:ascii="Times New Roman" w:hAnsi="Times New Roman"/>
                <w:color w:val="111827"/>
              </w:rPr>
              <w:t xml:space="preserve">PID: 25MSRSGIS001</w:t>
            </w:r>
          </w:p>
          <w:p>
            <w:pPr>
              <w:jc w:val="left"/>
            </w:pPr>
            <w:r>
              <w:rPr>
                <w:rFonts w:ascii="Times New Roman" w:hAnsi="Times New Roman"/>
                <w:color w:val="111827"/>
              </w:rPr>
              <w:t xml:space="preserve">Program: M.Sc. GIS &amp; Remote Sensing</w:t>
            </w:r>
          </w:p>
        </w:tc>
        <w:tc>
          <w:tcPr>
            <w:tcW w:w="5000" w:type="pct"/>
          </w:tcPr>
          <w:p>
            <w:pPr>
              <w:jc w:val="right"/>
            </w:pPr>
            <w:r>
              <w:rPr>
                <w:rFonts w:ascii="Times New Roman" w:hAnsi="Times New Roman"/>
                <w:b/>
                <w:color w:val="0D233A"/>
              </w:rPr>
              <w:t xml:space="preserve">SUBMITTED TO:</w:t>
            </w:r>
          </w:p>
          <w:p>
            <w:pPr>
              <w:jc w:val="right"/>
            </w:pPr>
            <w:r>
              <w:rPr>
                <w:rFonts w:ascii="Times New Roman" w:hAnsi="Times New Roman"/>
                <w:color w:val="111827"/>
              </w:rPr>
              <w:t xml:space="preserve">Instructor: Mrs. Arpita Esther</w:t>
            </w:r>
          </w:p>
          <w:p>
            <w:pPr>
              <w:jc w:val="right"/>
            </w:pPr>
            <w:r>
              <w:rPr>
                <w:rFonts w:ascii="Times New Roman" w:hAnsi="Times New Roman"/>
                <w:color w:val="111827"/>
              </w:rPr>
              <w:t xml:space="preserve">Assistant Professor</w:t>
            </w:r>
          </w:p>
          <w:p>
            <w:pPr>
              <w:jc w:val="right"/>
            </w:pPr>
            <w:r>
              <w:rPr>
                <w:rFonts w:ascii="Times New Roman" w:hAnsi="Times New Roman"/>
                <w:color w:val="111827"/>
              </w:rPr>
              <w:t xml:space="preserve">Dept. of Mathematics &amp; Statistics</w:t>
            </w:r>
          </w:p>
        </w:tc>
      </w:tr>
    </w:tbl>
    <w:p>
      <w:pPr>
        <w:sectPr>
          <w:type w:val="nextPage"/>
          <w:pgSz w:w="11906" w:h="16838"/>
          <w:pgMar w:top="1440" w:right="1440" w:bottom="1440" w:left="1440" w:header="720" w:footer="720"/>
          <w:titlePg/>
        </w:sectPr>
      </w:pPr>
    </w:p>
    <w:p>
      <w:pPr>
        <w:pStyle w:val="Heading1"/>
      </w:pPr>
      <w:bookmarkStart w:name="_TocPageHeader" w:id="1"/>
      <w:r>
        <w:t>Table of Contents</w:t>
      </w:r>
      <w:bookmarkEnd w:id="1"/>
    </w:p>
    <w:p>
      <w:pPr>
        <w:spacing w:after="240"/>
      </w:pPr>
      <w:r>
        <w:rPr>
          <w:i/>
          <w:color w:val="4B5563"/>
          <w:sz w:val="20"/>
        </w:rPr>
        <w:t>Right-click below and select 'Update Field' to refresh page numbers dynamically.</w:t>
      </w:r>
    </w:p>
    <w:p>
      <w:r>
        <w:fldChar w:fldCharType="begin"/>
      </w:r>
      <w:r>
        <w:instrText xml:space="preserve"> TOC \o "1-3" \h \z \u </w:instrText>
      </w:r>
      <w:r>
        <w:fldChar w:fldCharType="separate"/>
      </w:r>
    </w:p>
    <w:p>
      <w:pPr>
        <w:pStyle w:val="TOC1"/>
      </w:pPr>
      <w:r>
        <w:t>1. SPATIAL AUTOCORRELATION: MORAN'S I &amp; GEARY'S C</w:t>
      </w:r>
      <w:r>
        <w:tab/>
      </w:r>
      <w:r>
        <w:fldChar w:fldCharType="begin"/>
      </w:r>
      <w:r>
        <w:instrText xml:space="preserve"> PAGEREF Sec1 \h </w:instrText>
      </w:r>
      <w:r>
        <w:fldChar w:fldCharType="separate"/>
      </w:r>
      <w:r>
        <w:t>1</w:t>
      </w:r>
      <w:r>
        <w:fldChar w:fldCharType="end"/>
      </w:r>
    </w:p>
    <w:p>
      <w:pPr>
        <w:pStyle w:val="TOC2"/>
      </w:pPr>
      <w:r>
        <w:t>   1.1 Spatial Data &amp; Study Area Representation</w:t>
      </w:r>
      <w:r>
        <w:tab/>
      </w:r>
      <w:r>
        <w:fldChar w:fldCharType="begin"/>
      </w:r>
      <w:r>
        <w:instrText xml:space="preserve"> PAGEREF Sec1.1 \h </w:instrText>
      </w:r>
      <w:r>
        <w:fldChar w:fldCharType="separate"/>
      </w:r>
      <w:r>
        <w:t>1</w:t>
      </w:r>
      <w:r>
        <w:fldChar w:fldCharType="end"/>
      </w:r>
    </w:p>
    <w:p>
      <w:pPr>
        <w:pStyle w:val="TOC3"/>
      </w:pPr>
      <w:r>
        <w:t>      1.1.1 Data Generation Methodology</w:t>
      </w:r>
      <w:r>
        <w:tab/>
      </w:r>
      <w:r>
        <w:fldChar w:fldCharType="begin"/>
      </w:r>
      <w:r>
        <w:instrText xml:space="preserve"> PAGEREF Sec1.1.1 \h </w:instrText>
      </w:r>
      <w:r>
        <w:fldChar w:fldCharType="separate"/>
      </w:r>
      <w:r>
        <w:t>1</w:t>
      </w:r>
      <w:r>
        <w:fldChar w:fldCharType="end"/>
      </w:r>
    </w:p>
    <w:p>
      <w:pPr>
        <w:pStyle w:val="TOC3"/>
      </w:pPr>
      <w:r>
        <w:t>      1.1.2 Choropleth Map of Prevalence</w:t>
      </w:r>
      <w:r>
        <w:tab/>
      </w:r>
      <w:r>
        <w:fldChar w:fldCharType="begin"/>
      </w:r>
      <w:r>
        <w:instrText xml:space="preserve"> PAGEREF Sec1.1.2 \h </w:instrText>
      </w:r>
      <w:r>
        <w:fldChar w:fldCharType="separate"/>
      </w:r>
      <w:r>
        <w:t>1</w:t>
      </w:r>
      <w:r>
        <w:fldChar w:fldCharType="end"/>
      </w:r>
    </w:p>
    <w:p>
      <w:pPr>
        <w:pStyle w:val="TOC3"/>
      </w:pPr>
      <w:r>
        <w:t>      1.1.3 Data Table (First 10 Rows)</w:t>
      </w:r>
      <w:r>
        <w:tab/>
      </w:r>
      <w:r>
        <w:fldChar w:fldCharType="begin"/>
      </w:r>
      <w:r>
        <w:instrText xml:space="preserve"> PAGEREF Sec1.1.3 \h </w:instrText>
      </w:r>
      <w:r>
        <w:fldChar w:fldCharType="separate"/>
      </w:r>
      <w:r>
        <w:t>1</w:t>
      </w:r>
      <w:r>
        <w:fldChar w:fldCharType="end"/>
      </w:r>
    </w:p>
    <w:p>
      <w:pPr>
        <w:pStyle w:val="TOC2"/>
      </w:pPr>
      <w:r>
        <w:t>   1.2 Spatial Weights Matrix Construction</w:t>
      </w:r>
      <w:r>
        <w:tab/>
      </w:r>
      <w:r>
        <w:fldChar w:fldCharType="begin"/>
      </w:r>
      <w:r>
        <w:instrText xml:space="preserve"> PAGEREF Sec1.2 \h </w:instrText>
      </w:r>
      <w:r>
        <w:fldChar w:fldCharType="separate"/>
      </w:r>
      <w:r>
        <w:t>1</w:t>
      </w:r>
      <w:r>
        <w:fldChar w:fldCharType="end"/>
      </w:r>
    </w:p>
    <w:p>
      <w:pPr>
        <w:pStyle w:val="TOC3"/>
      </w:pPr>
      <w:r>
        <w:t>      1.2.1 Queen Contiguity Definition</w:t>
      </w:r>
      <w:r>
        <w:tab/>
      </w:r>
      <w:r>
        <w:fldChar w:fldCharType="begin"/>
      </w:r>
      <w:r>
        <w:instrText xml:space="preserve"> PAGEREF Sec1.2.1 \h </w:instrText>
      </w:r>
      <w:r>
        <w:fldChar w:fldCharType="separate"/>
      </w:r>
      <w:r>
        <w:t>1</w:t>
      </w:r>
      <w:r>
        <w:fldChar w:fldCharType="end"/>
      </w:r>
    </w:p>
    <w:p>
      <w:pPr>
        <w:pStyle w:val="TOC3"/>
      </w:pPr>
      <w:r>
        <w:t>      1.2.2 Matrix Properties</w:t>
      </w:r>
      <w:r>
        <w:tab/>
      </w:r>
      <w:r>
        <w:fldChar w:fldCharType="begin"/>
      </w:r>
      <w:r>
        <w:instrText xml:space="preserve"> PAGEREF Sec1.2.2 \h </w:instrText>
      </w:r>
      <w:r>
        <w:fldChar w:fldCharType="separate"/>
      </w:r>
      <w:r>
        <w:t>1</w:t>
      </w:r>
      <w:r>
        <w:fldChar w:fldCharType="end"/>
      </w:r>
    </w:p>
    <w:p>
      <w:pPr>
        <w:pStyle w:val="TOC3"/>
      </w:pPr>
      <w:r>
        <w:t>      1.2.3 Visualisation</w:t>
      </w:r>
      <w:r>
        <w:tab/>
      </w:r>
      <w:r>
        <w:fldChar w:fldCharType="begin"/>
      </w:r>
      <w:r>
        <w:instrText xml:space="preserve"> PAGEREF Sec1.2.3 \h </w:instrText>
      </w:r>
      <w:r>
        <w:fldChar w:fldCharType="separate"/>
      </w:r>
      <w:r>
        <w:t>1</w:t>
      </w:r>
      <w:r>
        <w:fldChar w:fldCharType="end"/>
      </w:r>
    </w:p>
    <w:p>
      <w:pPr>
        <w:pStyle w:val="TOC3"/>
      </w:pPr>
      <w:r>
        <w:t>      1.2.4 Alternative Weight Specifications</w:t>
      </w:r>
      <w:r>
        <w:tab/>
      </w:r>
      <w:r>
        <w:fldChar w:fldCharType="begin"/>
      </w:r>
      <w:r>
        <w:instrText xml:space="preserve"> PAGEREF Sec1.2.4 \h </w:instrText>
      </w:r>
      <w:r>
        <w:fldChar w:fldCharType="separate"/>
      </w:r>
      <w:r>
        <w:t>1</w:t>
      </w:r>
      <w:r>
        <w:fldChar w:fldCharType="end"/>
      </w:r>
    </w:p>
    <w:p>
      <w:pPr>
        <w:pStyle w:val="TOC2"/>
      </w:pPr>
      <w:r>
        <w:t>   1.3 Global Moran's I Statistic</w:t>
      </w:r>
      <w:r>
        <w:tab/>
      </w:r>
      <w:r>
        <w:fldChar w:fldCharType="begin"/>
      </w:r>
      <w:r>
        <w:instrText xml:space="preserve"> PAGEREF Sec1.3 \h </w:instrText>
      </w:r>
      <w:r>
        <w:fldChar w:fldCharType="separate"/>
      </w:r>
      <w:r>
        <w:t>1</w:t>
      </w:r>
      <w:r>
        <w:fldChar w:fldCharType="end"/>
      </w:r>
    </w:p>
    <w:p>
      <w:pPr>
        <w:pStyle w:val="TOC3"/>
      </w:pPr>
      <w:r>
        <w:t>      1.3.1 Mathematical Formulation</w:t>
      </w:r>
      <w:r>
        <w:tab/>
      </w:r>
      <w:r>
        <w:fldChar w:fldCharType="begin"/>
      </w:r>
      <w:r>
        <w:instrText xml:space="preserve"> PAGEREF Sec1.3.1 \h </w:instrText>
      </w:r>
      <w:r>
        <w:fldChar w:fldCharType="separate"/>
      </w:r>
      <w:r>
        <w:t>1</w:t>
      </w:r>
      <w:r>
        <w:fldChar w:fldCharType="end"/>
      </w:r>
    </w:p>
    <w:p>
      <w:pPr>
        <w:pStyle w:val="TOC3"/>
      </w:pPr>
      <w:r>
        <w:t>      1.3.2 Interpretation Guide</w:t>
      </w:r>
      <w:r>
        <w:tab/>
      </w:r>
      <w:r>
        <w:fldChar w:fldCharType="begin"/>
      </w:r>
      <w:r>
        <w:instrText xml:space="preserve"> PAGEREF Sec1.3.2 \h </w:instrText>
      </w:r>
      <w:r>
        <w:fldChar w:fldCharType="separate"/>
      </w:r>
      <w:r>
        <w:t>1</w:t>
      </w:r>
      <w:r>
        <w:fldChar w:fldCharType="end"/>
      </w:r>
    </w:p>
    <w:p>
      <w:pPr>
        <w:pStyle w:val="TOC3"/>
      </w:pPr>
      <w:r>
        <w:t>      1.3.3 Computational Results</w:t>
      </w:r>
      <w:r>
        <w:tab/>
      </w:r>
      <w:r>
        <w:fldChar w:fldCharType="begin"/>
      </w:r>
      <w:r>
        <w:instrText xml:space="preserve"> PAGEREF Sec1.3.3 \h </w:instrText>
      </w:r>
      <w:r>
        <w:fldChar w:fldCharType="separate"/>
      </w:r>
      <w:r>
        <w:t>1</w:t>
      </w:r>
      <w:r>
        <w:fldChar w:fldCharType="end"/>
      </w:r>
    </w:p>
    <w:p>
      <w:pPr>
        <w:pStyle w:val="TOC3"/>
      </w:pPr>
      <w:r>
        <w:t>      1.3.4 Moran Scatterplot Analysis</w:t>
      </w:r>
      <w:r>
        <w:tab/>
      </w:r>
      <w:r>
        <w:fldChar w:fldCharType="begin"/>
      </w:r>
      <w:r>
        <w:instrText xml:space="preserve"> PAGEREF Sec1.3.4 \h </w:instrText>
      </w:r>
      <w:r>
        <w:fldChar w:fldCharType="separate"/>
      </w:r>
      <w:r>
        <w:t>1</w:t>
      </w:r>
      <w:r>
        <w:fldChar w:fldCharType="end"/>
      </w:r>
    </w:p>
    <w:p>
      <w:pPr>
        <w:pStyle w:val="TOC2"/>
      </w:pPr>
      <w:r>
        <w:t>   1.4 Global Geary's C Statistic</w:t>
      </w:r>
      <w:r>
        <w:tab/>
      </w:r>
      <w:r>
        <w:fldChar w:fldCharType="begin"/>
      </w:r>
      <w:r>
        <w:instrText xml:space="preserve"> PAGEREF Sec1.4 \h </w:instrText>
      </w:r>
      <w:r>
        <w:fldChar w:fldCharType="separate"/>
      </w:r>
      <w:r>
        <w:t>1</w:t>
      </w:r>
      <w:r>
        <w:fldChar w:fldCharType="end"/>
      </w:r>
    </w:p>
    <w:p>
      <w:pPr>
        <w:pStyle w:val="TOC3"/>
      </w:pPr>
      <w:r>
        <w:t>      1.4.1 Mathematical Formulation</w:t>
      </w:r>
      <w:r>
        <w:tab/>
      </w:r>
      <w:r>
        <w:fldChar w:fldCharType="begin"/>
      </w:r>
      <w:r>
        <w:instrText xml:space="preserve"> PAGEREF Sec1.4.1 \h </w:instrText>
      </w:r>
      <w:r>
        <w:fldChar w:fldCharType="separate"/>
      </w:r>
      <w:r>
        <w:t>1</w:t>
      </w:r>
      <w:r>
        <w:fldChar w:fldCharType="end"/>
      </w:r>
    </w:p>
    <w:p>
      <w:pPr>
        <w:pStyle w:val="TOC3"/>
      </w:pPr>
      <w:r>
        <w:t>      1.4.2 Interpretation Guide</w:t>
      </w:r>
      <w:r>
        <w:tab/>
      </w:r>
      <w:r>
        <w:fldChar w:fldCharType="begin"/>
      </w:r>
      <w:r>
        <w:instrText xml:space="preserve"> PAGEREF Sec1.4.2 \h </w:instrText>
      </w:r>
      <w:r>
        <w:fldChar w:fldCharType="separate"/>
      </w:r>
      <w:r>
        <w:t>1</w:t>
      </w:r>
      <w:r>
        <w:fldChar w:fldCharType="end"/>
      </w:r>
    </w:p>
    <w:p>
      <w:pPr>
        <w:pStyle w:val="TOC3"/>
      </w:pPr>
      <w:r>
        <w:t>      1.4.3 Computational Results</w:t>
      </w:r>
      <w:r>
        <w:tab/>
      </w:r>
      <w:r>
        <w:fldChar w:fldCharType="begin"/>
      </w:r>
      <w:r>
        <w:instrText xml:space="preserve"> PAGEREF Sec1.4.3 \h </w:instrText>
      </w:r>
      <w:r>
        <w:fldChar w:fldCharType="separate"/>
      </w:r>
      <w:r>
        <w:t>1</w:t>
      </w:r>
      <w:r>
        <w:fldChar w:fldCharType="end"/>
      </w:r>
    </w:p>
    <w:p>
      <w:pPr>
        <w:pStyle w:val="TOC3"/>
      </w:pPr>
      <w:r>
        <w:t>      1.4.4 Comparison: Moran's I vs. Geary's C</w:t>
      </w:r>
      <w:r>
        <w:tab/>
      </w:r>
      <w:r>
        <w:fldChar w:fldCharType="begin"/>
      </w:r>
      <w:r>
        <w:instrText xml:space="preserve"> PAGEREF Sec1.4.4 \h </w:instrText>
      </w:r>
      <w:r>
        <w:fldChar w:fldCharType="separate"/>
      </w:r>
      <w:r>
        <w:t>1</w:t>
      </w:r>
      <w:r>
        <w:fldChar w:fldCharType="end"/>
      </w:r>
    </w:p>
    <w:p>
      <w:pPr>
        <w:pStyle w:val="TOC3"/>
      </w:pPr>
      <w:r>
        <w:t>      1.4.5 Local Geary Index Map</w:t>
      </w:r>
      <w:r>
        <w:tab/>
      </w:r>
      <w:r>
        <w:fldChar w:fldCharType="begin"/>
      </w:r>
      <w:r>
        <w:instrText xml:space="preserve"> PAGEREF Sec1.4.5 \h </w:instrText>
      </w:r>
      <w:r>
        <w:fldChar w:fldCharType="separate"/>
      </w:r>
      <w:r>
        <w:t>1</w:t>
      </w:r>
      <w:r>
        <w:fldChar w:fldCharType="end"/>
      </w:r>
    </w:p>
    <w:p>
      <w:pPr>
        <w:pStyle w:val="TOC2"/>
      </w:pPr>
      <w:r>
        <w:t>   1.5 Local Indicators of Spatial Association (LISA)</w:t>
      </w:r>
      <w:r>
        <w:tab/>
      </w:r>
      <w:r>
        <w:fldChar w:fldCharType="begin"/>
      </w:r>
      <w:r>
        <w:instrText xml:space="preserve"> PAGEREF Sec1.5 \h </w:instrText>
      </w:r>
      <w:r>
        <w:fldChar w:fldCharType="separate"/>
      </w:r>
      <w:r>
        <w:t>1</w:t>
      </w:r>
      <w:r>
        <w:fldChar w:fldCharType="end"/>
      </w:r>
    </w:p>
    <w:p>
      <w:pPr>
        <w:pStyle w:val="TOC3"/>
      </w:pPr>
      <w:r>
        <w:t>      1.5.1 Local Moran's I Formula</w:t>
      </w:r>
      <w:r>
        <w:tab/>
      </w:r>
      <w:r>
        <w:fldChar w:fldCharType="begin"/>
      </w:r>
      <w:r>
        <w:instrText xml:space="preserve"> PAGEREF Sec1.5.1 \h </w:instrText>
      </w:r>
      <w:r>
        <w:fldChar w:fldCharType="separate"/>
      </w:r>
      <w:r>
        <w:t>1</w:t>
      </w:r>
      <w:r>
        <w:fldChar w:fldCharType="end"/>
      </w:r>
    </w:p>
    <w:p>
      <w:pPr>
        <w:pStyle w:val="TOC3"/>
      </w:pPr>
      <w:r>
        <w:t>      1.5.2 Cluster Classification</w:t>
      </w:r>
      <w:r>
        <w:tab/>
      </w:r>
      <w:r>
        <w:fldChar w:fldCharType="begin"/>
      </w:r>
      <w:r>
        <w:instrText xml:space="preserve"> PAGEREF Sec1.5.2 \h </w:instrText>
      </w:r>
      <w:r>
        <w:fldChar w:fldCharType="separate"/>
      </w:r>
      <w:r>
        <w:t>1</w:t>
      </w:r>
      <w:r>
        <w:fldChar w:fldCharType="end"/>
      </w:r>
    </w:p>
    <w:p>
      <w:pPr>
        <w:pStyle w:val="TOC3"/>
      </w:pPr>
      <w:r>
        <w:t>      1.5.3 LISA Cluster Map</w:t>
      </w:r>
      <w:r>
        <w:tab/>
      </w:r>
      <w:r>
        <w:fldChar w:fldCharType="begin"/>
      </w:r>
      <w:r>
        <w:instrText xml:space="preserve"> PAGEREF Sec1.5.3 \h </w:instrText>
      </w:r>
      <w:r>
        <w:fldChar w:fldCharType="separate"/>
      </w:r>
      <w:r>
        <w:t>1</w:t>
      </w:r>
      <w:r>
        <w:fldChar w:fldCharType="end"/>
      </w:r>
    </w:p>
    <w:p>
      <w:pPr>
        <w:pStyle w:val="TOC1"/>
      </w:pPr>
      <w:r>
        <w:t>2. POINT PATTERN ANALYSIS AND HOTSPOT DETECTION</w:t>
      </w:r>
      <w:r>
        <w:tab/>
      </w:r>
      <w:r>
        <w:fldChar w:fldCharType="begin"/>
      </w:r>
      <w:r>
        <w:instrText xml:space="preserve"> PAGEREF Sec2 \h </w:instrText>
      </w:r>
      <w:r>
        <w:fldChar w:fldCharType="separate"/>
      </w:r>
      <w:r>
        <w:t>1</w:t>
      </w:r>
      <w:r>
        <w:fldChar w:fldCharType="end"/>
      </w:r>
    </w:p>
    <w:p>
      <w:pPr>
        <w:pStyle w:val="TOC2"/>
      </w:pPr>
      <w:r>
        <w:t>   2.1 Getis-Ord Gi* Local Hotspot Detection</w:t>
      </w:r>
      <w:r>
        <w:tab/>
      </w:r>
      <w:r>
        <w:fldChar w:fldCharType="begin"/>
      </w:r>
      <w:r>
        <w:instrText xml:space="preserve"> PAGEREF Sec2.1 \h </w:instrText>
      </w:r>
      <w:r>
        <w:fldChar w:fldCharType="separate"/>
      </w:r>
      <w:r>
        <w:t>1</w:t>
      </w:r>
      <w:r>
        <w:fldChar w:fldCharType="end"/>
      </w:r>
    </w:p>
    <w:p>
      <w:pPr>
        <w:pStyle w:val="TOC3"/>
      </w:pPr>
      <w:r>
        <w:t>      2.1.1 Gi* Formula</w:t>
      </w:r>
      <w:r>
        <w:tab/>
      </w:r>
      <w:r>
        <w:fldChar w:fldCharType="begin"/>
      </w:r>
      <w:r>
        <w:instrText xml:space="preserve"> PAGEREF Sec2.1.1 \h </w:instrText>
      </w:r>
      <w:r>
        <w:fldChar w:fldCharType="separate"/>
      </w:r>
      <w:r>
        <w:t>1</w:t>
      </w:r>
      <w:r>
        <w:fldChar w:fldCharType="end"/>
      </w:r>
    </w:p>
    <w:p>
      <w:pPr>
        <w:pStyle w:val="TOC3"/>
      </w:pPr>
      <w:r>
        <w:t>      2.1.2 Significance Thresholds</w:t>
      </w:r>
      <w:r>
        <w:tab/>
      </w:r>
      <w:r>
        <w:fldChar w:fldCharType="begin"/>
      </w:r>
      <w:r>
        <w:instrText xml:space="preserve"> PAGEREF Sec2.1.2 \h </w:instrText>
      </w:r>
      <w:r>
        <w:fldChar w:fldCharType="separate"/>
      </w:r>
      <w:r>
        <w:t>1</w:t>
      </w:r>
      <w:r>
        <w:fldChar w:fldCharType="end"/>
      </w:r>
    </w:p>
    <w:p>
      <w:pPr>
        <w:pStyle w:val="TOC3"/>
      </w:pPr>
      <w:r>
        <w:t>      2.1.3 Hotspot Map</w:t>
      </w:r>
      <w:r>
        <w:tab/>
      </w:r>
      <w:r>
        <w:fldChar w:fldCharType="begin"/>
      </w:r>
      <w:r>
        <w:instrText xml:space="preserve"> PAGEREF Sec2.1.3 \h </w:instrText>
      </w:r>
      <w:r>
        <w:fldChar w:fldCharType="separate"/>
      </w:r>
      <w:r>
        <w:t>1</w:t>
      </w:r>
      <w:r>
        <w:fldChar w:fldCharType="end"/>
      </w:r>
    </w:p>
    <w:p>
      <w:pPr>
        <w:pStyle w:val="TOC2"/>
      </w:pPr>
      <w:r>
        <w:t>   2.2 Discrete Point Pattern Classifications</w:t>
      </w:r>
      <w:r>
        <w:tab/>
      </w:r>
      <w:r>
        <w:fldChar w:fldCharType="begin"/>
      </w:r>
      <w:r>
        <w:instrText xml:space="preserve"> PAGEREF Sec2.2 \h </w:instrText>
      </w:r>
      <w:r>
        <w:fldChar w:fldCharType="separate"/>
      </w:r>
      <w:r>
        <w:t>1</w:t>
      </w:r>
      <w:r>
        <w:fldChar w:fldCharType="end"/>
      </w:r>
    </w:p>
    <w:p>
      <w:pPr>
        <w:pStyle w:val="TOC3"/>
      </w:pPr>
      <w:r>
        <w:t>      2.2.1 Pattern Types</w:t>
      </w:r>
      <w:r>
        <w:tab/>
      </w:r>
      <w:r>
        <w:fldChar w:fldCharType="begin"/>
      </w:r>
      <w:r>
        <w:instrText xml:space="preserve"> PAGEREF Sec2.2.1 \h </w:instrText>
      </w:r>
      <w:r>
        <w:fldChar w:fldCharType="separate"/>
      </w:r>
      <w:r>
        <w:t>1</w:t>
      </w:r>
      <w:r>
        <w:fldChar w:fldCharType="end"/>
      </w:r>
    </w:p>
    <w:p>
      <w:pPr>
        <w:pStyle w:val="TOC3"/>
      </w:pPr>
      <w:r>
        <w:t>      2.2.2 Visual Comparison</w:t>
      </w:r>
      <w:r>
        <w:tab/>
      </w:r>
      <w:r>
        <w:fldChar w:fldCharType="begin"/>
      </w:r>
      <w:r>
        <w:instrText xml:space="preserve"> PAGEREF Sec2.2.2 \h </w:instrText>
      </w:r>
      <w:r>
        <w:fldChar w:fldCharType="separate"/>
      </w:r>
      <w:r>
        <w:t>1</w:t>
      </w:r>
      <w:r>
        <w:fldChar w:fldCharType="end"/>
      </w:r>
    </w:p>
    <w:p>
      <w:pPr>
        <w:pStyle w:val="TOC2"/>
      </w:pPr>
      <w:r>
        <w:t>   2.3 Nearest Neighbour Index (NNI)</w:t>
      </w:r>
      <w:r>
        <w:tab/>
      </w:r>
      <w:r>
        <w:fldChar w:fldCharType="begin"/>
      </w:r>
      <w:r>
        <w:instrText xml:space="preserve"> PAGEREF Sec2.3 \h </w:instrText>
      </w:r>
      <w:r>
        <w:fldChar w:fldCharType="separate"/>
      </w:r>
      <w:r>
        <w:t>1</w:t>
      </w:r>
      <w:r>
        <w:fldChar w:fldCharType="end"/>
      </w:r>
    </w:p>
    <w:p>
      <w:pPr>
        <w:pStyle w:val="TOC3"/>
      </w:pPr>
      <w:r>
        <w:t>      2.3.1 NNI Definition &amp; Formula</w:t>
      </w:r>
      <w:r>
        <w:tab/>
      </w:r>
      <w:r>
        <w:fldChar w:fldCharType="begin"/>
      </w:r>
      <w:r>
        <w:instrText xml:space="preserve"> PAGEREF Sec2.3.1 \h </w:instrText>
      </w:r>
      <w:r>
        <w:fldChar w:fldCharType="separate"/>
      </w:r>
      <w:r>
        <w:t>1</w:t>
      </w:r>
      <w:r>
        <w:fldChar w:fldCharType="end"/>
      </w:r>
    </w:p>
    <w:p>
      <w:pPr>
        <w:pStyle w:val="TOC3"/>
      </w:pPr>
      <w:r>
        <w:t>      2.3.2 Calculations &amp; Interpretation</w:t>
      </w:r>
      <w:r>
        <w:tab/>
      </w:r>
      <w:r>
        <w:fldChar w:fldCharType="begin"/>
      </w:r>
      <w:r>
        <w:instrText xml:space="preserve"> PAGEREF Sec2.3.2 \h </w:instrText>
      </w:r>
      <w:r>
        <w:fldChar w:fldCharType="separate"/>
      </w:r>
      <w:r>
        <w:t>1</w:t>
      </w:r>
      <w:r>
        <w:fldChar w:fldCharType="end"/>
      </w:r>
    </w:p>
    <w:p>
      <w:pPr>
        <w:pStyle w:val="TOC2"/>
      </w:pPr>
      <w:r>
        <w:t>   2.4 Kernel Density Estimation (KDE) Modeling</w:t>
      </w:r>
      <w:r>
        <w:tab/>
      </w:r>
      <w:r>
        <w:fldChar w:fldCharType="begin"/>
      </w:r>
      <w:r>
        <w:instrText xml:space="preserve"> PAGEREF Sec2.4 \h </w:instrText>
      </w:r>
      <w:r>
        <w:fldChar w:fldCharType="separate"/>
      </w:r>
      <w:r>
        <w:t>1</w:t>
      </w:r>
      <w:r>
        <w:fldChar w:fldCharType="end"/>
      </w:r>
    </w:p>
    <w:p>
      <w:pPr>
        <w:pStyle w:val="TOC3"/>
      </w:pPr>
      <w:r>
        <w:t>      2.4.1 KDE Surface Generation</w:t>
      </w:r>
      <w:r>
        <w:tab/>
      </w:r>
      <w:r>
        <w:fldChar w:fldCharType="begin"/>
      </w:r>
      <w:r>
        <w:instrText xml:space="preserve"> PAGEREF Sec2.4.1 \h </w:instrText>
      </w:r>
      <w:r>
        <w:fldChar w:fldCharType="separate"/>
      </w:r>
      <w:r>
        <w:t>1</w:t>
      </w:r>
      <w:r>
        <w:fldChar w:fldCharType="end"/>
      </w:r>
    </w:p>
    <w:p>
      <w:pPr>
        <w:pStyle w:val="TOC3"/>
      </w:pPr>
      <w:r>
        <w:t>      2.4.2 Density Visualisation</w:t>
      </w:r>
      <w:r>
        <w:tab/>
      </w:r>
      <w:r>
        <w:fldChar w:fldCharType="begin"/>
      </w:r>
      <w:r>
        <w:instrText xml:space="preserve"> PAGEREF Sec2.4.2 \h </w:instrText>
      </w:r>
      <w:r>
        <w:fldChar w:fldCharType="separate"/>
      </w:r>
      <w:r>
        <w:t>1</w:t>
      </w:r>
      <w:r>
        <w:fldChar w:fldCharType="end"/>
      </w:r>
    </w:p>
    <w:p>
      <w:pPr>
        <w:pStyle w:val="TOC2"/>
      </w:pPr>
      <w:r>
        <w:t>   2.5 Ripley's K &amp; Besag's L-Function Multi-Scale Analysis</w:t>
      </w:r>
      <w:r>
        <w:tab/>
      </w:r>
      <w:r>
        <w:fldChar w:fldCharType="begin"/>
      </w:r>
      <w:r>
        <w:instrText xml:space="preserve"> PAGEREF Sec2.5 \h </w:instrText>
      </w:r>
      <w:r>
        <w:fldChar w:fldCharType="separate"/>
      </w:r>
      <w:r>
        <w:t>1</w:t>
      </w:r>
      <w:r>
        <w:fldChar w:fldCharType="end"/>
      </w:r>
    </w:p>
    <w:p>
      <w:pPr>
        <w:pStyle w:val="TOC3"/>
      </w:pPr>
      <w:r>
        <w:t>      2.5.1 Mathematical Definition</w:t>
      </w:r>
      <w:r>
        <w:tab/>
      </w:r>
      <w:r>
        <w:fldChar w:fldCharType="begin"/>
      </w:r>
      <w:r>
        <w:instrText xml:space="preserve"> PAGEREF Sec2.5.1 \h </w:instrText>
      </w:r>
      <w:r>
        <w:fldChar w:fldCharType="separate"/>
      </w:r>
      <w:r>
        <w:t>1</w:t>
      </w:r>
      <w:r>
        <w:fldChar w:fldCharType="end"/>
      </w:r>
    </w:p>
    <w:p>
      <w:pPr>
        <w:pStyle w:val="TOC3"/>
      </w:pPr>
      <w:r>
        <w:t>      2.5.2 Multi-Scale Results &amp; Interpretation</w:t>
      </w:r>
      <w:r>
        <w:tab/>
      </w:r>
      <w:r>
        <w:fldChar w:fldCharType="begin"/>
      </w:r>
      <w:r>
        <w:instrText xml:space="preserve"> PAGEREF Sec2.5.2 \h </w:instrText>
      </w:r>
      <w:r>
        <w:fldChar w:fldCharType="separate"/>
      </w:r>
      <w:r>
        <w:t>1</w:t>
      </w:r>
      <w:r>
        <w:fldChar w:fldCharType="end"/>
      </w:r>
    </w:p>
    <w:p>
      <w:pPr>
        <w:pStyle w:val="TOC3"/>
      </w:pPr>
      <w:r>
        <w:t>      2.5.3 Spatial Analytics Dashboard</w:t>
      </w:r>
      <w:r>
        <w:tab/>
      </w:r>
      <w:r>
        <w:fldChar w:fldCharType="begin"/>
      </w:r>
      <w:r>
        <w:instrText xml:space="preserve"> PAGEREF Sec2.5.3 \h </w:instrText>
      </w:r>
      <w:r>
        <w:fldChar w:fldCharType="separate"/>
      </w:r>
      <w:r>
        <w:t>1</w:t>
      </w:r>
      <w:r>
        <w:fldChar w:fldCharType="end"/>
      </w:r>
    </w:p>
    <w:p>
      <w:pPr>
        <w:pStyle w:val="TOC1"/>
      </w:pPr>
      <w:r>
        <w:t>3. REFERENCES</w:t>
      </w:r>
      <w:r>
        <w:tab/>
      </w:r>
      <w:r>
        <w:fldChar w:fldCharType="begin"/>
      </w:r>
      <w:r>
        <w:instrText xml:space="preserve"> PAGEREF Sec3 \h </w:instrText>
      </w:r>
      <w:r>
        <w:fldChar w:fldCharType="separate"/>
      </w:r>
      <w:r>
        <w:t>1</w:t>
      </w:r>
      <w:r>
        <w:fldChar w:fldCharType="end"/>
      </w:r>
    </w:p>
    <w:p>
      <w:pPr>
        <w:pStyle w:val="TOC1"/>
      </w:pPr>
      <w:r>
        <w:t>4. APPENDIX: FORMULAS &amp; DATA MATRIX</w:t>
      </w:r>
      <w:r>
        <w:tab/>
      </w:r>
      <w:r>
        <w:fldChar w:fldCharType="begin"/>
      </w:r>
      <w:r>
        <w:instrText xml:space="preserve"> PAGEREF Sec4 \h </w:instrText>
      </w:r>
      <w:r>
        <w:fldChar w:fldCharType="separate"/>
      </w:r>
      <w:r>
        <w:t>1</w:t>
      </w:r>
      <w:r>
        <w:fldChar w:fldCharType="end"/>
      </w:r>
    </w:p>
    <w:p>
      <w:pPr>
        <w:pStyle w:val="TOC2"/>
      </w:pPr>
      <w:r>
        <w:t>   4.1 Complete Statistical Formula Summary</w:t>
      </w:r>
      <w:r>
        <w:tab/>
      </w:r>
      <w:r>
        <w:fldChar w:fldCharType="begin"/>
      </w:r>
      <w:r>
        <w:instrText xml:space="preserve"> PAGEREF Sec4.1 \h </w:instrText>
      </w:r>
      <w:r>
        <w:fldChar w:fldCharType="separate"/>
      </w:r>
      <w:r>
        <w:t>1</w:t>
      </w:r>
      <w:r>
        <w:fldChar w:fldCharType="end"/>
      </w:r>
    </w:p>
    <w:p>
      <w:pPr>
        <w:pStyle w:val="TOC2"/>
      </w:pPr>
      <w:r>
        <w:t>   4.2 Complete 10×10 Grid Prevalence Data Matrix</w:t>
      </w:r>
      <w:r>
        <w:tab/>
      </w:r>
      <w:r>
        <w:fldChar w:fldCharType="begin"/>
      </w:r>
      <w:r>
        <w:instrText xml:space="preserve"> PAGEREF Sec4.2 \h </w:instrText>
      </w:r>
      <w:r>
        <w:fldChar w:fldCharType="separate"/>
      </w:r>
      <w:r>
        <w:t>1</w:t>
      </w:r>
      <w:r>
        <w:fldChar w:fldCharType="end"/>
      </w:r>
    </w:p>
    <w:p>
      <w:r>
        <w:fldChar w:fldCharType="end"/>
      </w:r>
    </w:p>
    <w:p>
      <w:pPr>
        <w:sectPr>
          <w:type w:val="nextPage"/>
          <w:pgSz w:w="11906" w:h="16838"/>
          <w:pgMar w:top="1440" w:right="1440" w:bottom="1440" w:left="1440" w:header="720" w:footer="720"/>
        </w:sectPr>
      </w:pPr>
    </w:p>
    <w:p>
      <w:pPr>
        <w:pStyle w:val="Heading1"/>
      </w:pPr>
      <w:bookmarkStart w:name="_WorkflowNavigator" w:id="2"/>
      <w:r>
        <w:t>INTERACTIVE ANALYSIS WORKFLOW</w:t>
      </w:r>
      <w:bookmarkEnd w:id="2"/>
    </w:p>
    <w:p>
      <w:r>
        <w:t>This interactive navigator acts as a quick access console for the analysis steps. Click on the button in the third column to navigate directly to the corresponding section within the document.</w:t>
      </w:r>
    </w:p>
    <w:tbl>
      <w:tblPr>
        <w:tblW w:w="5000" w:type="pct"/>
        <w:tblBorders>
          <w:top w:val="single" w:color="0D233A" w:sz="12"/>
          <w:left w:val="nil"/>
          <w:bottom w:val="single" w:color="0D233A" w:sz="12"/>
          <w:right w:val="nil"/>
          <w:insideH w:val="single" w:color="D1D5DB" w:sz="4"/>
          <w:insideV w:val="nil"/>
        </w:tblBorders>
      </w:tblPr>
      <w:tblGrid>
        <w:gridCol w:w="1200"/>
        <w:gridCol w:w="6300"/>
        <w:gridCol w:w="2000"/>
      </w:tblGrid>
      <w:tr>
        <w:trPr>
          <w:tblHeader/>
        </w:trPr>
        <w:tc>
          <w:tcPr>
            <w:tcW w:w="0" w:type="auto"/>
            <w:shd w:val="clear" w:fill="F3F4F6"/>
          </w:tcPr>
          <w:p>
            <w:pPr>
              <w:jc w:val="center"/>
              <w:spacing w:before="60" w:after="60"/>
            </w:pPr>
            <w:r>
              <w:rPr>
                <w:sz w:val="20"/>
                <w:color w:val="111827"/>
                <w:b/>
              </w:rPr>
              <w:t>Step</w:t>
            </w:r>
          </w:p>
        </w:tc>
        <w:tc>
          <w:tcPr>
            <w:tcW w:w="0" w:type="auto"/>
            <w:shd w:val="clear" w:fill="F3F4F6"/>
          </w:tcPr>
          <w:p>
            <w:pPr>
              <w:jc w:val="center"/>
              <w:spacing w:before="60" w:after="60"/>
            </w:pPr>
            <w:r>
              <w:rPr>
                <w:sz w:val="20"/>
                <w:color w:val="111827"/>
                <w:b/>
              </w:rPr>
              <w:t>Analytical Workflow Component</w:t>
            </w:r>
          </w:p>
        </w:tc>
        <w:tc>
          <w:tcPr>
            <w:tcW w:w="0" w:type="auto"/>
            <w:shd w:val="clear" w:fill="F3F4F6"/>
          </w:tcPr>
          <w:p>
            <w:pPr>
              <w:jc w:val="center"/>
              <w:spacing w:before="60" w:after="60"/>
            </w:pPr>
            <w:r>
              <w:rPr>
                <w:sz w:val="20"/>
                <w:color w:val="111827"/>
                <w:b/>
              </w:rPr>
              <w:t>Document Navigation Link</w:t>
            </w:r>
          </w:p>
        </w:tc>
      </w:tr>
      <w:tr>
        <w:tc>
          <w:p>
            <w:pPr>
              <w:jc w:val="center"/>
            </w:pPr>
            <w:r>
              <w:rPr>
                <w:b/>
                <w:color w:val="0D233A"/>
              </w:rPr>
              <w:t>Step 1</w:t>
            </w:r>
          </w:p>
        </w:tc>
        <w:tc>
          <w:p>
            <w:r>
              <w:t>Spatial Data &amp; Study Area: Prevalence data generation methodology, choropleth map (Figure 1), and sample matrix.</w:t>
            </w:r>
          </w:p>
        </w:tc>
        <w:tc>
          <w:p>
            <w:pPr>
              <w:jc w:val="center"/>
            </w:pPr>
            <w:hyperlink w:anchor="Sec1.1">
              <w:r>
                <w:rPr>
                  <w:b/>
                  <w:u/>
                  <w:color w:val="1D4E89"/>
                </w:rPr>
                <w:t>Go to Section ➜</w:t>
              </w:r>
            </w:hyperlink>
          </w:p>
        </w:tc>
      </w:tr>
      <w:tr>
        <w:tc>
          <w:p>
            <w:pPr>
              <w:jc w:val="center"/>
            </w:pPr>
            <w:r>
              <w:rPr>
                <w:b/>
                <w:color w:val="0D233A"/>
              </w:rPr>
              <w:t>Step 2</w:t>
            </w:r>
          </w:p>
        </w:tc>
        <w:tc>
          <w:p>
            <w:r>
              <w:t>Spatial Weights Matrix: Queen contiguity definition, connectivity properties, and network graph (Figure 2).</w:t>
            </w:r>
          </w:p>
        </w:tc>
        <w:tc>
          <w:p>
            <w:pPr>
              <w:jc w:val="center"/>
            </w:pPr>
            <w:hyperlink w:anchor="Sec1.2">
              <w:r>
                <w:rPr>
                  <w:b/>
                  <w:u/>
                  <w:color w:val="1D4E89"/>
                </w:rPr>
                <w:t>Go to Section ➜</w:t>
              </w:r>
            </w:hyperlink>
          </w:p>
        </w:tc>
      </w:tr>
      <w:tr>
        <w:tc>
          <w:p>
            <w:pPr>
              <w:jc w:val="center"/>
            </w:pPr>
            <w:r>
              <w:rPr>
                <w:b/>
                <w:color w:val="0D233A"/>
              </w:rPr>
              <w:t>Step 3</w:t>
            </w:r>
          </w:p>
        </w:tc>
        <w:tc>
          <w:p>
            <w:r>
              <w:t>Global Moran's I: Formulation, expected values, results, and Moran scatterplot (Figure 3).</w:t>
            </w:r>
          </w:p>
        </w:tc>
        <w:tc>
          <w:p>
            <w:pPr>
              <w:jc w:val="center"/>
            </w:pPr>
            <w:hyperlink w:anchor="Sec1.3">
              <w:r>
                <w:rPr>
                  <w:b/>
                  <w:u/>
                  <w:color w:val="1D4E89"/>
                </w:rPr>
                <w:t>Go to Section ➜</w:t>
              </w:r>
            </w:hyperlink>
          </w:p>
        </w:tc>
      </w:tr>
      <w:tr>
        <w:tc>
          <w:p>
            <w:pPr>
              <w:jc w:val="center"/>
            </w:pPr>
            <w:r>
              <w:rPr>
                <w:b/>
                <w:color w:val="0D233A"/>
              </w:rPr>
              <w:t>Step 4</w:t>
            </w:r>
          </w:p>
        </w:tc>
        <w:tc>
          <w:p>
            <w:r>
              <w:t>Global Geary's C: Local/global formulations, calculations, comparison table, and Local Geary map (Figure 4).</w:t>
            </w:r>
          </w:p>
        </w:tc>
        <w:tc>
          <w:p>
            <w:pPr>
              <w:jc w:val="center"/>
            </w:pPr>
            <w:hyperlink w:anchor="Sec1.4">
              <w:r>
                <w:rPr>
                  <w:b/>
                  <w:u/>
                  <w:color w:val="1D4E89"/>
                </w:rPr>
                <w:t>Go to Section ➜</w:t>
              </w:r>
            </w:hyperlink>
          </w:p>
        </w:tc>
      </w:tr>
      <w:tr>
        <w:tc>
          <w:p>
            <w:pPr>
              <w:jc w:val="center"/>
            </w:pPr>
            <w:r>
              <w:rPr>
                <w:b/>
                <w:color w:val="0D233A"/>
              </w:rPr>
              <w:t>Step 5</w:t>
            </w:r>
          </w:p>
        </w:tc>
        <w:tc>
          <w:p>
            <w:r>
              <w:t>Local Indicators of Spatial Association (LISA): Formulation, cluster classifications, and LISA cluster map (Figure 5).</w:t>
            </w:r>
          </w:p>
        </w:tc>
        <w:tc>
          <w:p>
            <w:pPr>
              <w:jc w:val="center"/>
            </w:pPr>
            <w:hyperlink w:anchor="Sec1.5">
              <w:r>
                <w:rPr>
                  <w:b/>
                  <w:u/>
                  <w:color w:val="1D4E89"/>
                </w:rPr>
                <w:t>Go to Section ➜</w:t>
              </w:r>
            </w:hyperlink>
          </w:p>
        </w:tc>
      </w:tr>
      <w:tr>
        <w:tc>
          <w:p>
            <w:pPr>
              <w:jc w:val="center"/>
            </w:pPr>
            <w:r>
              <w:rPr>
                <w:b/>
                <w:color w:val="0D233A"/>
              </w:rPr>
              <w:t>Step 6</w:t>
            </w:r>
          </w:p>
        </w:tc>
        <w:tc>
          <w:p>
            <w:r>
              <w:t>Getis-Ord Gi* Hotspot Detection: Formulation, z-score significance thresholds, and hotspot map (Figure 6).</w:t>
            </w:r>
          </w:p>
        </w:tc>
        <w:tc>
          <w:p>
            <w:pPr>
              <w:jc w:val="center"/>
            </w:pPr>
            <w:hyperlink w:anchor="Sec2.1">
              <w:r>
                <w:rPr>
                  <w:b/>
                  <w:u/>
                  <w:color w:val="1D4E89"/>
                </w:rPr>
                <w:t>Go to Section ➜</w:t>
              </w:r>
            </w:hyperlink>
          </w:p>
        </w:tc>
      </w:tr>
      <w:tr>
        <w:tc>
          <w:p>
            <w:pPr>
              <w:jc w:val="center"/>
            </w:pPr>
            <w:r>
              <w:rPr>
                <w:b/>
                <w:color w:val="0D233A"/>
              </w:rPr>
              <w:t>Step 7</w:t>
            </w:r>
          </w:p>
        </w:tc>
        <w:tc>
          <w:p>
            <w:r>
              <w:t>Point Pattern Classifications: Pattern types, visual comparison of Clustered/Random/Regular (Figure 7).</w:t>
            </w:r>
          </w:p>
        </w:tc>
        <w:tc>
          <w:p>
            <w:pPr>
              <w:jc w:val="center"/>
            </w:pPr>
            <w:hyperlink w:anchor="Sec2.2">
              <w:r>
                <w:rPr>
                  <w:b/>
                  <w:u/>
                  <w:color w:val="1D4E89"/>
                </w:rPr>
                <w:t>Go to Section ➜</w:t>
              </w:r>
            </w:hyperlink>
          </w:p>
        </w:tc>
      </w:tr>
      <w:tr>
        <w:tc>
          <w:p>
            <w:pPr>
              <w:jc w:val="center"/>
            </w:pPr>
            <w:r>
              <w:rPr>
                <w:b/>
                <w:color w:val="0D233A"/>
              </w:rPr>
              <w:t>Step 8</w:t>
            </w:r>
          </w:p>
        </w:tc>
        <w:tc>
          <w:p>
            <w:r>
              <w:t>Nearest Neighbour Index &amp; KDE: NNI formulation, calculations, and KDE density surface (Figure 8).</w:t>
            </w:r>
          </w:p>
        </w:tc>
        <w:tc>
          <w:p>
            <w:pPr>
              <w:jc w:val="center"/>
            </w:pPr>
            <w:hyperlink w:anchor="Sec2.3">
              <w:r>
                <w:rPr>
                  <w:b/>
                  <w:u/>
                  <w:color w:val="1D4E89"/>
                </w:rPr>
                <w:t>Go to Section ➜</w:t>
              </w:r>
            </w:hyperlink>
          </w:p>
        </w:tc>
      </w:tr>
      <w:tr>
        <w:tc>
          <w:p>
            <w:pPr>
              <w:jc w:val="center"/>
            </w:pPr>
            <w:r>
              <w:rPr>
                <w:b/>
                <w:color w:val="0D233A"/>
              </w:rPr>
              <w:t>Step 9</w:t>
            </w:r>
          </w:p>
        </w:tc>
        <w:tc>
          <w:p>
            <w:r>
              <w:t>Ripley's K &amp; Besag's L-Function: Mathematical definition, multi-scale results (Figure 9), and Integrated Dashboard (Figure 10).</w:t>
            </w:r>
          </w:p>
        </w:tc>
        <w:tc>
          <w:p>
            <w:pPr>
              <w:jc w:val="center"/>
            </w:pPr>
            <w:hyperlink w:anchor="Sec2.5">
              <w:r>
                <w:rPr>
                  <w:b/>
                  <w:u/>
                  <w:color w:val="1D4E89"/>
                </w:rPr>
                <w:t>Go to Section ➜</w:t>
              </w:r>
            </w:hyperlink>
          </w:p>
        </w:tc>
      </w:tr>
    </w:tbl>
    <w:p>
      <w:pPr>
        <w:sectPr>
          <w:type w:val="nextPage"/>
          <w:pgSz w:w="11906" w:h="16838"/>
          <w:pgMar w:top="1440" w:right="1440" w:bottom="1440" w:left="1440" w:header="720" w:footer="720"/>
        </w:sectPr>
      </w:pPr>
    </w:p>
    <w:p>
      <w:pPr>
        <w:pStyle w:val="Heading1"/>
      </w:pPr>
      <w:bookmarkStart w:name="ExecSummary" w:id="3"/>
      <w:r>
        <w:t>EXECUTIVE SUMMARY &amp; QUICK REFERENCE</w:t>
      </w:r>
      <w:bookmarkEnd w:id="3"/>
    </w:p>
    <w:tbl>
      <w:tblPr>
        <w:tblW w:w="5000" w:type="pct"/>
        <w:tblBorders>
          <w:top w:val="single" w:color="1D4E89" w:sz="12"/>
          <w:left w:val="single" w:color="1D4E89" w:sz="12"/>
          <w:bottom w:val="single" w:color="1D4E89" w:sz="12"/>
          <w:right w:val="single" w:color="1D4E89" w:sz="12"/>
          <w:insideH w:val="nil"/>
          <w:insideV w:val="nil"/>
        </w:tblBorders>
        <w:tcMar>
          <w:top w:w="120" w:type="dxa"/>
          <w:left w:w="240" w:type="dxa"/>
          <w:bottom w:w="120" w:type="dxa"/>
          <w:right w:w="240" w:type="dxa"/>
        </w:tcMar>
        <w:jc w:val="center"/>
      </w:tblPr>
      <w:tr>
        <w:tc>
          <w:tcPr>
            <w:shd w:val="clear" w:fill="EFF6FF"/>
          </w:tcPr>
          <w:p>
            <w:pPr>
              <w:spacing w:before="60" w:after="60"/>
            </w:pPr>
            <w:r>
              <w:rPr>
                <w:i/>
                <w:color w:val="1D4E89"/>
                <w:sz w:val="20"/>
              </w:rPr>
              <w:t xml:space="preserve">This comprehensive assignment explores the fundamental theories and practical applications of Spatial Statistics. The analysis is divided into two primary domains:</w:t>
            </w:r>
          </w:p>
          <w:p>
            <w:pPr>
              <w:spacing w:before="60" w:after="60"/>
            </w:pPr>
            <w:r>
              <w:rPr>
                <w:i/>
                <w:color w:val="1D4E89"/>
                <w:sz w:val="20"/>
              </w:rPr>
              <w:t xml:space="preserve">1. Continuous Areal Data (Chapter 1): Utilizing Global Moran's I and Geary's C to assess macro-level spatial clustering, and Local Indicators of Spatial Association (LISA) to pinpoint specific hotspots and coldspots.</w:t>
            </w:r>
          </w:p>
          <w:p>
            <w:pPr>
              <w:spacing w:before="60" w:after="60"/>
            </w:pPr>
            <w:r>
              <w:rPr>
                <w:i/>
                <w:color w:val="1D4E89"/>
                <w:sz w:val="20"/>
              </w:rPr>
              <w:t xml:space="preserve">2. Discrete Point Pattern Data (Chapter 2): Applying Getis-Ord Gi*, Nearest Neighbour Index (NNI), Kernel Density Estimation (KDE), and multi-scale Ripley's K and Besag's L-functions to evaluate the geometric distribution of events.</w:t>
            </w:r>
          </w:p>
        </w:tc>
      </w:tr>
    </w:tbl>
    <w:p>
      <w:r>
        <w:rPr>
          <w:rFonts w:ascii="Times New Roman" w:hAnsi="Times New Roman"/>
          <w:b/>
          <w:color w:val="0D233A"/>
        </w:rPr>
        <w:t xml:space="preserve">Quick Reference - Key Formulas:
</w:t>
      </w:r>
      <w:r>
        <w:rPr>
          <w:rFonts w:ascii="Times New Roman" w:hAnsi="Times New Roman"/>
          <w:b/>
          <w:color w:val="1D4E89"/>
        </w:rPr>
        <w:t xml:space="preserve">• Global Moran's I: </w:t>
      </w:r>
      <w:r>
        <w:rPr>
          <w:rFonts w:ascii="Times New Roman" w:hAnsi="Times New Roman"/>
          <w:color w:val="111827"/>
        </w:rPr>
        <w:t xml:space="preserve">I = (N / S₀) · [ΣΣ w_ij (x_i - x̄)(x_j - x̄)] / [Σ (x_i - x̄)²]
</w:t>
      </w:r>
      <w:r>
        <w:rPr>
          <w:rFonts w:ascii="Times New Roman" w:hAnsi="Times New Roman"/>
          <w:b/>
          <w:color w:val="1D4E89"/>
        </w:rPr>
        <w:t xml:space="preserve">• Global Geary's C: </w:t>
      </w:r>
      <w:r>
        <w:rPr>
          <w:rFonts w:ascii="Times New Roman" w:hAnsi="Times New Roman"/>
          <w:color w:val="111827"/>
        </w:rPr>
        <w:t xml:space="preserve">C = [(N - 1) / 2S₀] · [ΣΣ w_ij (x_i - x_j)²] / [Σ (x_i - x̄)²]
</w:t>
      </w:r>
      <w:r>
        <w:rPr>
          <w:rFonts w:ascii="Times New Roman" w:hAnsi="Times New Roman"/>
          <w:b/>
          <w:color w:val="1D4E89"/>
        </w:rPr>
        <w:t xml:space="preserve">• Getis-Ord Gi*: </w:t>
      </w:r>
      <w:r>
        <w:rPr>
          <w:rFonts w:ascii="Times New Roman" w:hAnsi="Times New Roman"/>
          <w:color w:val="111827"/>
        </w:rPr>
        <w:t xml:space="preserve">Gi* = [Σ w_ij x_j - X̄ Σ w_ij] / [S √((N Σ w_ij² - (Σ w_ij)²) / (N - 1))]
</w:t>
      </w:r>
      <w:r>
        <w:rPr>
          <w:rFonts w:ascii="Times New Roman" w:hAnsi="Times New Roman"/>
          <w:b/>
          <w:color w:val="1D4E89"/>
        </w:rPr>
        <w:t xml:space="preserve">• Nearest Neighbour Index: </w:t>
      </w:r>
      <w:r>
        <w:rPr>
          <w:rFonts w:ascii="Times New Roman" w:hAnsi="Times New Roman"/>
          <w:color w:val="111827"/>
        </w:rPr>
        <w:t xml:space="preserve">NNI = d_obs / d_exp = [Σ d_i / n] / [0.5 / √(n/A)]</w:t>
      </w:r>
    </w:p>
    <w:p>
      <w:r>
        <w:br w:type="page"/>
      </w:r>
    </w:p>
    <w:p>
      <w:pPr>
        <w:pStyle w:val="Heading1"/>
      </w:pPr>
      <w:bookmarkStart w:name="Sec1" w:id="4"/>
      <w:r>
        <w:t>1. SPATIAL AUTOCORRELATION: MORAN'S I &amp; GEARY'S C</w:t>
      </w:r>
      <w:bookmarkEnd w:id="4"/>
    </w:p>
    <w:p>
      <w:r>
        <w:t>Spatial statistics extends classical statistical models by explicitly incorporating geographic space as a core parameter. In geographic information science (GISc), spatial processes are fundamentally governed by Tobler's First Law of Geography, which states that 'everything is related to everything else, but near things are more related than distant things'. This chapter examines Spatial Autocorrelation: global indicators (Moran's I and Geary's C) and local indicators (LISA and Gi*) of spatial dependency.</w:t>
      </w:r>
    </w:p>
    <w:p>
      <w:pPr>
        <w:pStyle w:val="Heading2"/>
      </w:pPr>
      <w:bookmarkStart w:name="Sec1.1" w:id="5"/>
      <w:r>
        <w:t>1.1 Spatial Data &amp; Study Area Representation</w:t>
      </w:r>
      <w:bookmarkEnd w:id="5"/>
    </w:p>
    <w:p>
      <w:pPr>
        <w:pStyle w:val="Heading3"/>
      </w:pPr>
      <w:bookmarkStart w:name="Sec1.1.1" w:id="6"/>
      <w:r>
        <w:t>1.1.1 Data Generation Methodology</w:t>
      </w:r>
      <w:bookmarkEnd w:id="6"/>
    </w:p>
    <w:p>
      <w:r>
        <w:t>Geographic analyses are grounded in empirical data representing real-world processes. For this assignment, disease prevalence is simulated over a 10×10 grid lattice (N=100 zones). To model a realistic spatial clustering pattern, we use a bivariate Gaussian kernel decay function. The disease prevalence P_ij for cell (i,j) is calculated using the formula:</w:t>
      </w:r>
    </w:p>
    <w:p>
      <m:oMathPara xmlns:m="http://schemas.openxmlformats.org/officeDocument/2006/math">
        <m:oMath>
          <m:sSub>
            <m:e>
              <m:r>
                <m:t>P</m:t>
              </m:r>
            </m:e>
            <m:sub>
              <m:r>
                <m:t>ij</m:t>
              </m:r>
            </m:sub>
          </m:sSub>
          <m:r>
            <m:t>=</m:t>
          </m:r>
          <m:r>
            <m:t>80</m:t>
          </m:r>
          <m:r>
            <m:t>·</m:t>
          </m:r>
          <m:sSup>
            <m:e>
              <m:r>
                <m:t>e</m:t>
              </m:r>
            </m:e>
            <m:sup>
              <m:f>
                <m:num>
                  <m:r>
                    <m:t>-</m:t>
                  </m:r>
                  <m:sSup>
                    <m:e>
                      <m:d>
                        <m:dPr>
                          <m:begChr m:val="("/>
                          <m:endChr m:val=")"/>
                        </m:dPr>
                        <m:e>
                          <m:r>
                            <m:t>x</m:t>
                          </m:r>
                          <m:r>
                            <m:t>-</m:t>
                          </m:r>
                          <m:r>
                            <m:t>3</m:t>
                          </m:r>
                        </m:e>
                      </m:d>
                    </m:e>
                    <m:sup>
                      <m:r>
                        <m:t>2</m:t>
                      </m:r>
                    </m:sup>
                  </m:sSup>
                  <m:r>
                    <m:t>-</m:t>
                  </m:r>
                  <m:sSup>
                    <m:e>
                      <m:d>
                        <m:dPr>
                          <m:begChr m:val="("/>
                          <m:endChr m:val=")"/>
                        </m:dPr>
                        <m:e>
                          <m:r>
                            <m:t>y</m:t>
                          </m:r>
                          <m:r>
                            <m:t>-</m:t>
                          </m:r>
                          <m:r>
                            <m:t>3</m:t>
                          </m:r>
                        </m:e>
                      </m:d>
                    </m:e>
                    <m:sup>
                      <m:r>
                        <m:t>2</m:t>
                      </m:r>
                    </m:sup>
                  </m:sSup>
                </m:num>
                <m:den>
                  <m:r>
                    <m:t>18</m:t>
                  </m:r>
                </m:den>
              </m:f>
            </m:sup>
          </m:sSup>
          <m:r>
            <m:t>+</m:t>
          </m:r>
          <m:sSub>
            <m:e>
              <m:r>
                <m:t>ε</m:t>
              </m:r>
            </m:e>
            <m:sub>
              <m:r>
                <m:t>ij</m:t>
              </m:r>
            </m:sub>
          </m:sSub>
        </m:oMath>
      </m:oMathPara>
    </w:p>
    <w:p>
      <w:r>
        <w:rPr>
          <w:rFonts w:ascii="Times New Roman" w:hAnsi="Times New Roman"/>
          <w:b/>
          <w:color w:val="0D233A"/>
        </w:rPr>
        <w:t xml:space="preserve">Equation Parameter Deconstruction:
Where:
</w:t>
      </w:r>
      <w:r>
        <w:rPr>
          <w:rFonts w:ascii="Times New Roman" w:hAnsi="Times New Roman"/>
          <w:b/>
          <w:color w:val="9B2C2C"/>
        </w:rPr>
        <w:t xml:space="preserve">       P_ij  </w:t>
      </w:r>
      <w:r>
        <w:rPr>
          <w:rFonts w:ascii="Times New Roman" w:hAnsi="Times New Roman"/>
          <w:color w:val="111827"/>
        </w:rPr>
        <w:t xml:space="preserve">=  simulated disease prevalence (%) at grid cell (i, j)
</w:t>
      </w:r>
      <w:r>
        <w:rPr>
          <w:rFonts w:ascii="Times New Roman" w:hAnsi="Times New Roman"/>
          <w:b/>
          <w:color w:val="2F855A"/>
        </w:rPr>
        <w:t xml:space="preserve">       80    </w:t>
      </w:r>
      <w:r>
        <w:rPr>
          <w:rFonts w:ascii="Times New Roman" w:hAnsi="Times New Roman"/>
          <w:color w:val="111827"/>
        </w:rPr>
        <w:t xml:space="preserve">=  peak cluster amplitude (%), the theoretical maximum at the hotspot centre before noise is added
</w:t>
      </w:r>
      <w:r>
        <w:rPr>
          <w:rFonts w:ascii="Times New Roman" w:hAnsi="Times New Roman"/>
          <w:b/>
          <w:color w:val="2B6CB0"/>
        </w:rPr>
        <w:t xml:space="preserve">       e     </w:t>
      </w:r>
      <w:r>
        <w:rPr>
          <w:rFonts w:ascii="Times New Roman" w:hAnsi="Times New Roman"/>
          <w:color w:val="111827"/>
        </w:rPr>
        <w:t xml:space="preserve">=  Euler's constant (≈ 2.71828); base of the natural exponential function
</w:t>
      </w:r>
      <w:r>
        <w:rPr>
          <w:rFonts w:ascii="Times New Roman" w:hAnsi="Times New Roman"/>
          <w:b/>
          <w:color w:val="2B6CB0"/>
        </w:rPr>
        <w:t xml:space="preserve">       x, y  </w:t>
      </w:r>
      <w:r>
        <w:rPr>
          <w:rFonts w:ascii="Times New Roman" w:hAnsi="Times New Roman"/>
          <w:color w:val="111827"/>
        </w:rPr>
        <w:t xml:space="preserve">=  spatial coordinates of the cell centroid in the 10×10 lattice (range: 0 to 9)
</w:t>
      </w:r>
      <w:r>
        <w:rPr>
          <w:rFonts w:ascii="Times New Roman" w:hAnsi="Times New Roman"/>
          <w:b/>
          <w:color w:val="2B6CB0"/>
        </w:rPr>
        <w:t xml:space="preserve">       3, 3  </w:t>
      </w:r>
      <w:r>
        <w:rPr>
          <w:rFonts w:ascii="Times New Roman" w:hAnsi="Times New Roman"/>
          <w:color w:val="111827"/>
        </w:rPr>
        <w:t xml:space="preserve">=  geographic centre coordinates of the simulated hotspot (X₀ = 3, Y₀ = 3)
</w:t>
      </w:r>
      <w:r>
        <w:rPr>
          <w:rFonts w:ascii="Times New Roman" w:hAnsi="Times New Roman"/>
          <w:b/>
          <w:color w:val="2B6CB0"/>
        </w:rPr>
        <w:t xml:space="preserve">       18    </w:t>
      </w:r>
      <w:r>
        <w:rPr>
          <w:rFonts w:ascii="Times New Roman" w:hAnsi="Times New Roman"/>
          <w:color w:val="111827"/>
        </w:rPr>
        <w:t xml:space="preserve">=  scaling factor 2σ² of the bivariate normal distribution; controls spatial spread (σ² = 9, σ = 3 units)
</w:t>
      </w:r>
      <w:r>
        <w:rPr>
          <w:rFonts w:ascii="Times New Roman" w:hAnsi="Times New Roman"/>
          <w:b/>
          <w:color w:val="9B2C2C"/>
        </w:rPr>
        <w:t xml:space="preserve">       ε_ij  </w:t>
      </w:r>
      <w:r>
        <w:rPr>
          <w:rFonts w:ascii="Times New Roman" w:hAnsi="Times New Roman"/>
          <w:color w:val="111827"/>
        </w:rPr>
        <w:t xml:space="preserve">=  spatially i.i.d. Gaussian noise representing unexplained local variation: ε_ij ~ N(0, σ² = 4.0)</w:t>
      </w:r>
    </w:p>
    <w:p>
      <w:r>
        <w:rPr>
          <w:rFonts w:ascii="Times New Roman" w:hAnsi="Times New Roman"/>
          <w:b/>
          <w:color w:val="0D233A"/>
        </w:rPr>
        <w:t xml:space="preserve">Step-by-Step Computational Example — Cell (3,3) [Hotspot Centre]:
</w:t>
      </w:r>
      <w:r>
        <w:rPr>
          <w:rFonts w:ascii="Times New Roman" w:hAnsi="Times New Roman"/>
          <w:b/>
          <w:color w:val="0D233A"/>
        </w:rPr>
        <w:t xml:space="preserve">  Step 1:  </w:t>
      </w:r>
      <w:r>
        <w:rPr>
          <w:rFonts w:ascii="Times New Roman" w:hAnsi="Times New Roman"/>
          <w:color w:val="111827"/>
        </w:rPr>
        <w:t xml:space="preserve">Exponent numerator = (3−3)² + (3−3)² = 0
</w:t>
      </w:r>
      <w:r>
        <w:rPr>
          <w:rFonts w:ascii="Times New Roman" w:hAnsi="Times New Roman"/>
          <w:b/>
          <w:color w:val="0D233A"/>
        </w:rPr>
        <w:t xml:space="preserve">  Step 2:  </w:t>
      </w:r>
      <w:r>
        <w:rPr>
          <w:rFonts w:ascii="Times New Roman" w:hAnsi="Times New Roman"/>
          <w:color w:val="111827"/>
        </w:rPr>
        <w:t xml:space="preserve">Exponential decay term = e^0 = 1
</w:t>
      </w:r>
      <w:r>
        <w:rPr>
          <w:rFonts w:ascii="Times New Roman" w:hAnsi="Times New Roman"/>
          <w:b/>
          <w:color w:val="0D233A"/>
        </w:rPr>
        <w:t xml:space="preserve">  Step 3:  </w:t>
      </w:r>
      <w:r>
        <w:rPr>
          <w:rFonts w:ascii="Times New Roman" w:hAnsi="Times New Roman"/>
          <w:color w:val="111827"/>
        </w:rPr>
        <w:t xml:space="preserve">Deterministic component = 80 × 1 = 80.0%
</w:t>
      </w:r>
      <w:r>
        <w:rPr>
          <w:rFonts w:ascii="Times New Roman" w:hAnsi="Times New Roman"/>
          <w:b/>
          <w:color w:val="0D233A"/>
        </w:rPr>
        <w:t xml:space="preserve">  Step 4:  </w:t>
      </w:r>
      <w:r>
        <w:rPr>
          <w:rFonts w:ascii="Times New Roman" w:hAnsi="Times New Roman"/>
          <w:color w:val="111827"/>
        </w:rPr>
        <w:t xml:space="preserve">Noise term simulated = ε₃,₃ = +1.65%
</w:t>
      </w:r>
      <w:r>
        <w:rPr>
          <w:rFonts w:ascii="Times New Roman" w:hAnsi="Times New Roman"/>
          <w:b/>
          <w:color w:val="0D233A"/>
        </w:rPr>
        <w:t xml:space="preserve">  Step 5 (Final):  </w:t>
      </w:r>
      <w:r>
        <w:rPr>
          <w:rFonts w:ascii="Times New Roman" w:hAnsi="Times New Roman"/>
          <w:color w:val="111827"/>
        </w:rPr>
        <w:t xml:space="preserve">P₃,₃ = 80.0 + 1.65 = </w:t>
      </w:r>
      <w:r>
        <w:rPr>
          <w:rFonts w:ascii="Times New Roman" w:hAnsi="Times New Roman"/>
          <w:b/>
          <w:color w:val="2F855A"/>
        </w:rPr>
        <w:t xml:space="preserve">81.65%</w:t>
      </w:r>
      <w:r>
        <w:rPr>
          <w:rFonts w:ascii="Times New Roman" w:hAnsi="Times New Roman"/>
          <w:color w:val="111827"/>
        </w:rPr>
        <w:t xml:space="preserve">  ← absolute peak value (hotspot core)
</w:t>
      </w:r>
      <w:r>
        <w:rPr>
          <w:rFonts w:ascii="Times New Roman" w:hAnsi="Times New Roman"/>
          <w:b/>
          <w:color w:val="0D233A"/>
        </w:rPr>
        <w:t xml:space="preserve">Step-by-Step Computational Example — Cell (0,0) [Peripheral]:
</w:t>
      </w:r>
      <w:r>
        <w:rPr>
          <w:rFonts w:ascii="Times New Roman" w:hAnsi="Times New Roman"/>
          <w:b/>
          <w:color w:val="0D233A"/>
        </w:rPr>
        <w:t xml:space="preserve">  Step 1:  </w:t>
      </w:r>
      <w:r>
        <w:rPr>
          <w:rFonts w:ascii="Times New Roman" w:hAnsi="Times New Roman"/>
          <w:color w:val="111827"/>
        </w:rPr>
        <w:t xml:space="preserve">Exponent numerator = (0−3)² + (0−3)² = 9 + 9 = 18
</w:t>
      </w:r>
      <w:r>
        <w:rPr>
          <w:rFonts w:ascii="Times New Roman" w:hAnsi="Times New Roman"/>
          <w:b/>
          <w:color w:val="0D233A"/>
        </w:rPr>
        <w:t xml:space="preserve">  Step 2:  </w:t>
      </w:r>
      <w:r>
        <w:rPr>
          <w:rFonts w:ascii="Times New Roman" w:hAnsi="Times New Roman"/>
          <w:color w:val="111827"/>
        </w:rPr>
        <w:t xml:space="preserve">Exponential decay = e^(−18/18) = e^(−1) ≈ 0.3679
</w:t>
      </w:r>
      <w:r>
        <w:rPr>
          <w:rFonts w:ascii="Times New Roman" w:hAnsi="Times New Roman"/>
          <w:b/>
          <w:color w:val="0D233A"/>
        </w:rPr>
        <w:t xml:space="preserve">  Step 3:  </w:t>
      </w:r>
      <w:r>
        <w:rPr>
          <w:rFonts w:ascii="Times New Roman" w:hAnsi="Times New Roman"/>
          <w:color w:val="111827"/>
        </w:rPr>
        <w:t xml:space="preserve">Deterministic component = 80 × 0.3679 ≈ 29.43%
</w:t>
      </w:r>
      <w:r>
        <w:rPr>
          <w:rFonts w:ascii="Times New Roman" w:hAnsi="Times New Roman"/>
          <w:b/>
          <w:color w:val="0D233A"/>
        </w:rPr>
        <w:t xml:space="preserve">  Step 4:  </w:t>
      </w:r>
      <w:r>
        <w:rPr>
          <w:rFonts w:ascii="Times New Roman" w:hAnsi="Times New Roman"/>
          <w:color w:val="111827"/>
        </w:rPr>
        <w:t xml:space="preserve">Noise term simulated = ε₀,₀ = −1.03%
</w:t>
      </w:r>
      <w:r>
        <w:rPr>
          <w:rFonts w:ascii="Times New Roman" w:hAnsi="Times New Roman"/>
          <w:b/>
          <w:color w:val="0D233A"/>
        </w:rPr>
        <w:t xml:space="preserve">  Step 5 (Final):  </w:t>
      </w:r>
      <w:r>
        <w:rPr>
          <w:rFonts w:ascii="Times New Roman" w:hAnsi="Times New Roman"/>
          <w:color w:val="111827"/>
        </w:rPr>
        <w:t xml:space="preserve">P₀,₀ = 29.43 − 1.03 = </w:t>
      </w:r>
      <w:r>
        <w:rPr>
          <w:rFonts w:ascii="Times New Roman" w:hAnsi="Times New Roman"/>
          <w:b/>
          <w:color w:val="2F855A"/>
        </w:rPr>
        <w:t xml:space="preserve">28.40%</w:t>
      </w:r>
      <w:r>
        <w:rPr>
          <w:rFonts w:ascii="Times New Roman" w:hAnsi="Times New Roman"/>
          <w:color w:val="111827"/>
        </w:rPr>
        <w:t xml:space="preserve">  ← peripheral low-prevalence cell</w:t>
      </w:r>
    </w:p>
    <w:p>
      <w:pPr>
        <w:pStyle w:val="Heading3"/>
      </w:pPr>
      <w:bookmarkStart w:name="Sec1.1.2" w:id="7"/>
      <w:r>
        <w:t>1.1.2 Choropleth Map of Prevalence</w:t>
      </w:r>
      <w:bookmarkEnd w:id="7"/>
    </w:p>
    <w:p>
      <w:r>
        <w:t>Figure 1 visualizes the generated dataset. Cell colors transition from cool greens (low prevalence) to warm purples (high prevalence), revealing a core-periphery distribution pattern. The highest prevalence value (81.65%) is recorded at grid cell (3,3), while boundary values decay toward zero.</w:t>
      </w:r>
    </w:p>
    <w:p>
      <w:pPr>
        <w:keepNext/>
        <w:jc w:val="center"/>
        <w:spacing w:before="120" w:after="60"/>
      </w:pPr>
      <w:r>
        <w:drawing>
          <wp:inline xmlns:wp="http://schemas.openxmlformats.org/drawingml/2006/wordprocessingDrawing" distT="0" distB="0" distL="0" distR="0">
            <wp:extent cx="4320000" cy="3774617"/>
            <wp:effectExtent l="0" t="0" r="0" b="0"/>
            <wp:docPr id="11" name="Figure 1: Prevalence Chorople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 Prevalence Choropleth.png"/>
                    <pic:cNvPicPr/>
                  </pic:nvPicPr>
                  <pic:blipFill>
                    <a:blip xmlns:r="http://schemas.openxmlformats.org/officeDocument/2006/relationships" r:embed="Rdafab4cb452f4e10"/>
                    <a:stretch>
                      <a:fillRect/>
                    </a:stretch>
                  </pic:blipFill>
                  <pic:spPr>
                    <a:xfrm>
                      <a:off x="0" y="0"/>
                      <a:ext cx="4320000" cy="3774617"/>
                    </a:xfrm>
                    <a:prstGeom prst="rect"/>
                  </pic:spPr>
                </pic:pic>
              </a:graphicData>
            </a:graphic>
          </wp:inline>
        </w:drawing>
      </w:r>
    </w:p>
    <w:p>
      <w:pPr>
        <w:pStyle w:val="Caption"/>
      </w:pPr>
      <w:r>
        <w:t>Figure 1: 10×10 Grid Map of Disease Prevalence</w:t>
      </w:r>
    </w:p>
    <w:p>
      <w:pPr>
        <w:pStyle w:val="Heading3"/>
      </w:pPr>
      <w:bookmarkStart w:name="Sec1.1.3" w:id="8"/>
      <w:r>
        <w:t>1.1.3 Data Table (First 10 Rows)</w:t>
      </w:r>
      <w:bookmarkEnd w:id="8"/>
    </w:p>
    <w:p>
      <w:r>
        <w:t>Table 1 displays the attribute details for the first 10 zones in the study grid. It lists their ID, coordinates, and calculated prevalence values.</w:t>
      </w:r>
    </w:p>
    <w:tbl>
      <w:tblPr>
        <w:tblW w:w="5000" w:type="pct"/>
        <w:tblBorders>
          <w:top w:val="single" w:color="0D233A" w:sz="12"/>
          <w:left w:val="nil"/>
          <w:bottom w:val="single" w:color="0D233A" w:sz="12"/>
          <w:right w:val="nil"/>
          <w:insideH w:val="single" w:color="D1D5DB" w:sz="4"/>
          <w:insideV w:val="nil"/>
        </w:tblBorders>
      </w:tblPr>
      <w:tblGrid>
        <w:gridCol w:w="1500"/>
        <w:gridCol w:w="2000"/>
        <w:gridCol w:w="2000"/>
        <w:gridCol w:w="2500"/>
        <w:gridCol w:w="2000"/>
      </w:tblGrid>
      <w:tr>
        <w:trPr>
          <w:tblHeader/>
        </w:trPr>
        <w:tc>
          <w:tcPr>
            <w:tcW w:w="0" w:type="auto"/>
            <w:shd w:val="clear" w:fill="F3F4F6"/>
          </w:tcPr>
          <w:p>
            <w:pPr>
              <w:jc w:val="center"/>
              <w:spacing w:before="60" w:after="60"/>
            </w:pPr>
            <w:r>
              <w:rPr>
                <w:sz w:val="20"/>
                <w:color w:val="111827"/>
                <w:b/>
              </w:rPr>
              <w:t>Zone ID</w:t>
            </w:r>
          </w:p>
        </w:tc>
        <w:tc>
          <w:tcPr>
            <w:tcW w:w="0" w:type="auto"/>
            <w:shd w:val="clear" w:fill="F3F4F6"/>
          </w:tcPr>
          <w:p>
            <w:pPr>
              <w:jc w:val="center"/>
              <w:spacing w:before="60" w:after="60"/>
            </w:pPr>
            <w:r>
              <w:rPr>
                <w:sz w:val="20"/>
                <w:color w:val="111827"/>
                <w:b/>
              </w:rPr>
              <w:t>X Coord</w:t>
            </w:r>
          </w:p>
        </w:tc>
        <w:tc>
          <w:tcPr>
            <w:tcW w:w="0" w:type="auto"/>
            <w:shd w:val="clear" w:fill="F3F4F6"/>
          </w:tcPr>
          <w:p>
            <w:pPr>
              <w:jc w:val="center"/>
              <w:spacing w:before="60" w:after="60"/>
            </w:pPr>
            <w:r>
              <w:rPr>
                <w:sz w:val="20"/>
                <w:color w:val="111827"/>
                <w:b/>
              </w:rPr>
              <w:t>Y Coord</w:t>
            </w:r>
          </w:p>
        </w:tc>
        <w:tc>
          <w:tcPr>
            <w:tcW w:w="0" w:type="auto"/>
            <w:shd w:val="clear" w:fill="F3F4F6"/>
          </w:tcPr>
          <w:p>
            <w:pPr>
              <w:jc w:val="center"/>
              <w:spacing w:before="60" w:after="60"/>
            </w:pPr>
            <w:r>
              <w:rPr>
                <w:sz w:val="20"/>
                <w:color w:val="111827"/>
                <w:b/>
              </w:rPr>
              <w:t>Prevalence (%)</w:t>
            </w:r>
          </w:p>
        </w:tc>
        <w:tc>
          <w:tcPr>
            <w:tcW w:w="0" w:type="auto"/>
            <w:shd w:val="clear" w:fill="F3F4F6"/>
          </w:tcPr>
          <w:p>
            <w:pPr>
              <w:jc w:val="center"/>
              <w:spacing w:before="60" w:after="60"/>
            </w:pPr>
            <w:r>
              <w:rPr>
                <w:sz w:val="20"/>
                <w:color w:val="111827"/>
                <w:b/>
              </w:rPr>
              <w:t>Type</w:t>
            </w:r>
          </w:p>
        </w:tc>
      </w:tr>
      <w:tr>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1.65%</w:t>
            </w:r>
          </w:p>
        </w:tc>
        <w:tc>
          <w:tcPr>
            <w:tcW w:w="0" w:type="auto"/>
          </w:tcPr>
          <w:p>
            <w:pPr>
              <w:jc w:val="center"/>
              <w:spacing w:before="60" w:after="60"/>
            </w:pPr>
            <w:r>
              <w:rPr>
                <w:sz w:val="20"/>
                <w:color w:val="111827"/>
              </w:rPr>
              <w:t>Peripheral</w:t>
            </w:r>
          </w:p>
        </w:tc>
      </w:tr>
      <w:tr>
        <w:tc>
          <w:tcPr>
            <w:tcW w:w="0" w:type="auto"/>
          </w:tcPr>
          <w:p>
            <w:pPr>
              <w:jc w:val="center"/>
              <w:spacing w:before="60" w:after="60"/>
            </w:pPr>
            <w:r>
              <w:rPr>
                <w:sz w:val="20"/>
                <w:color w:val="111827"/>
              </w:rPr>
              <w:t>1</w:t>
            </w:r>
          </w:p>
        </w:tc>
        <w:tc>
          <w:tcPr>
            <w:tcW w:w="0" w:type="auto"/>
          </w:tcPr>
          <w:p>
            <w:pPr>
              <w:jc w:val="center"/>
              <w:spacing w:before="60" w:after="60"/>
            </w:pPr>
            <w:r>
              <w:rPr>
                <w:sz w:val="20"/>
                <w:color w:val="111827"/>
              </w:rPr>
              <w:t>1</w:t>
            </w:r>
          </w:p>
        </w:tc>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4.89%</w:t>
            </w:r>
          </w:p>
        </w:tc>
        <w:tc>
          <w:tcPr>
            <w:tcW w:w="0" w:type="auto"/>
          </w:tcPr>
          <w:p>
            <w:pPr>
              <w:jc w:val="center"/>
              <w:spacing w:before="60" w:after="60"/>
            </w:pPr>
            <w:r>
              <w:rPr>
                <w:sz w:val="20"/>
                <w:color w:val="111827"/>
              </w:rPr>
              <w:t>Peripheral</w:t>
            </w:r>
          </w:p>
        </w:tc>
      </w:tr>
      <w:tr>
        <w:tc>
          <w:tcPr>
            <w:tcW w:w="0" w:type="auto"/>
          </w:tcPr>
          <w:p>
            <w:pPr>
              <w:jc w:val="center"/>
              <w:spacing w:before="60" w:after="60"/>
            </w:pPr>
            <w:r>
              <w:rPr>
                <w:sz w:val="20"/>
                <w:color w:val="111827"/>
              </w:rPr>
              <w:t>2</w:t>
            </w:r>
          </w:p>
        </w:tc>
        <w:tc>
          <w:tcPr>
            <w:tcW w:w="0" w:type="auto"/>
          </w:tcPr>
          <w:p>
            <w:pPr>
              <w:jc w:val="center"/>
              <w:spacing w:before="60" w:after="60"/>
            </w:pPr>
            <w:r>
              <w:rPr>
                <w:sz w:val="20"/>
                <w:color w:val="111827"/>
              </w:rPr>
              <w:t>2</w:t>
            </w:r>
          </w:p>
        </w:tc>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12.30%</w:t>
            </w:r>
          </w:p>
        </w:tc>
        <w:tc>
          <w:tcPr>
            <w:tcW w:w="0" w:type="auto"/>
          </w:tcPr>
          <w:p>
            <w:pPr>
              <w:jc w:val="center"/>
              <w:spacing w:before="60" w:after="60"/>
            </w:pPr>
            <w:r>
              <w:rPr>
                <w:sz w:val="20"/>
                <w:color w:val="111827"/>
              </w:rPr>
              <w:t>Transition</w:t>
            </w:r>
          </w:p>
        </w:tc>
      </w:tr>
      <w:tr>
        <w:tc>
          <w:tcPr>
            <w:tcW w:w="0" w:type="auto"/>
          </w:tcPr>
          <w:p>
            <w:pPr>
              <w:jc w:val="center"/>
              <w:spacing w:before="60" w:after="60"/>
            </w:pPr>
            <w:r>
              <w:rPr>
                <w:sz w:val="20"/>
                <w:color w:val="111827"/>
              </w:rPr>
              <w:t>3</w:t>
            </w:r>
          </w:p>
        </w:tc>
        <w:tc>
          <w:tcPr>
            <w:tcW w:w="0" w:type="auto"/>
          </w:tcPr>
          <w:p>
            <w:pPr>
              <w:jc w:val="center"/>
              <w:spacing w:before="60" w:after="60"/>
            </w:pPr>
            <w:r>
              <w:rPr>
                <w:sz w:val="20"/>
                <w:color w:val="111827"/>
              </w:rPr>
              <w:t>3</w:t>
            </w:r>
          </w:p>
        </w:tc>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18.52%</w:t>
            </w:r>
          </w:p>
        </w:tc>
        <w:tc>
          <w:tcPr>
            <w:tcW w:w="0" w:type="auto"/>
          </w:tcPr>
          <w:p>
            <w:pPr>
              <w:jc w:val="center"/>
              <w:spacing w:before="60" w:after="60"/>
            </w:pPr>
            <w:r>
              <w:rPr>
                <w:sz w:val="20"/>
                <w:color w:val="111827"/>
              </w:rPr>
              <w:t>Transition</w:t>
            </w:r>
          </w:p>
        </w:tc>
      </w:tr>
      <w:tr>
        <w:tc>
          <w:tcPr>
            <w:tcW w:w="0" w:type="auto"/>
          </w:tcPr>
          <w:p>
            <w:pPr>
              <w:jc w:val="center"/>
              <w:spacing w:before="60" w:after="60"/>
            </w:pPr>
            <w:r>
              <w:rPr>
                <w:sz w:val="20"/>
                <w:color w:val="111827"/>
              </w:rPr>
              <w:t>4</w:t>
            </w:r>
          </w:p>
        </w:tc>
        <w:tc>
          <w:tcPr>
            <w:tcW w:w="0" w:type="auto"/>
          </w:tcPr>
          <w:p>
            <w:pPr>
              <w:jc w:val="center"/>
              <w:spacing w:before="60" w:after="60"/>
            </w:pPr>
            <w:r>
              <w:rPr>
                <w:sz w:val="20"/>
                <w:color w:val="111827"/>
              </w:rPr>
              <w:t>4</w:t>
            </w:r>
          </w:p>
        </w:tc>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15.44%</w:t>
            </w:r>
          </w:p>
        </w:tc>
        <w:tc>
          <w:tcPr>
            <w:tcW w:w="0" w:type="auto"/>
          </w:tcPr>
          <w:p>
            <w:pPr>
              <w:jc w:val="center"/>
              <w:spacing w:before="60" w:after="60"/>
            </w:pPr>
            <w:r>
              <w:rPr>
                <w:sz w:val="20"/>
                <w:color w:val="111827"/>
              </w:rPr>
              <w:t>Transition</w:t>
            </w:r>
          </w:p>
        </w:tc>
      </w:tr>
      <w:tr>
        <w:tc>
          <w:tcPr>
            <w:tcW w:w="0" w:type="auto"/>
          </w:tcPr>
          <w:p>
            <w:pPr>
              <w:jc w:val="center"/>
              <w:spacing w:before="60" w:after="60"/>
            </w:pPr>
            <w:r>
              <w:rPr>
                <w:sz w:val="20"/>
                <w:color w:val="111827"/>
              </w:rPr>
              <w:t>5</w:t>
            </w:r>
          </w:p>
        </w:tc>
        <w:tc>
          <w:tcPr>
            <w:tcW w:w="0" w:type="auto"/>
          </w:tcPr>
          <w:p>
            <w:pPr>
              <w:jc w:val="center"/>
              <w:spacing w:before="60" w:after="60"/>
            </w:pPr>
            <w:r>
              <w:rPr>
                <w:sz w:val="20"/>
                <w:color w:val="111827"/>
              </w:rPr>
              <w:t>5</w:t>
            </w:r>
          </w:p>
        </w:tc>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8.90%</w:t>
            </w:r>
          </w:p>
        </w:tc>
        <w:tc>
          <w:tcPr>
            <w:tcW w:w="0" w:type="auto"/>
          </w:tcPr>
          <w:p>
            <w:pPr>
              <w:jc w:val="center"/>
              <w:spacing w:before="60" w:after="60"/>
            </w:pPr>
            <w:r>
              <w:rPr>
                <w:sz w:val="20"/>
                <w:color w:val="111827"/>
              </w:rPr>
              <w:t>Peripheral</w:t>
            </w:r>
          </w:p>
        </w:tc>
      </w:tr>
      <w:tr>
        <w:tc>
          <w:tcPr>
            <w:tcW w:w="0" w:type="auto"/>
          </w:tcPr>
          <w:p>
            <w:pPr>
              <w:jc w:val="center"/>
              <w:spacing w:before="60" w:after="60"/>
            </w:pPr>
            <w:r>
              <w:rPr>
                <w:sz w:val="20"/>
                <w:color w:val="111827"/>
              </w:rPr>
              <w:t>6</w:t>
            </w:r>
          </w:p>
        </w:tc>
        <w:tc>
          <w:tcPr>
            <w:tcW w:w="0" w:type="auto"/>
          </w:tcPr>
          <w:p>
            <w:pPr>
              <w:jc w:val="center"/>
              <w:spacing w:before="60" w:after="60"/>
            </w:pPr>
            <w:r>
              <w:rPr>
                <w:sz w:val="20"/>
                <w:color w:val="111827"/>
              </w:rPr>
              <w:t>6</w:t>
            </w:r>
          </w:p>
        </w:tc>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3.22%</w:t>
            </w:r>
          </w:p>
        </w:tc>
        <w:tc>
          <w:tcPr>
            <w:tcW w:w="0" w:type="auto"/>
          </w:tcPr>
          <w:p>
            <w:pPr>
              <w:jc w:val="center"/>
              <w:spacing w:before="60" w:after="60"/>
            </w:pPr>
            <w:r>
              <w:rPr>
                <w:sz w:val="20"/>
                <w:color w:val="111827"/>
              </w:rPr>
              <w:t>Peripheral</w:t>
            </w:r>
          </w:p>
        </w:tc>
      </w:tr>
      <w:tr>
        <w:tc>
          <w:tcPr>
            <w:tcW w:w="0" w:type="auto"/>
          </w:tcPr>
          <w:p>
            <w:pPr>
              <w:jc w:val="center"/>
              <w:spacing w:before="60" w:after="60"/>
            </w:pPr>
            <w:r>
              <w:rPr>
                <w:sz w:val="20"/>
                <w:color w:val="111827"/>
              </w:rPr>
              <w:t>7</w:t>
            </w:r>
          </w:p>
        </w:tc>
        <w:tc>
          <w:tcPr>
            <w:tcW w:w="0" w:type="auto"/>
          </w:tcPr>
          <w:p>
            <w:pPr>
              <w:jc w:val="center"/>
              <w:spacing w:before="60" w:after="60"/>
            </w:pPr>
            <w:r>
              <w:rPr>
                <w:sz w:val="20"/>
                <w:color w:val="111827"/>
              </w:rPr>
              <w:t>7</w:t>
            </w:r>
          </w:p>
        </w:tc>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0.98%</w:t>
            </w:r>
          </w:p>
        </w:tc>
        <w:tc>
          <w:tcPr>
            <w:tcW w:w="0" w:type="auto"/>
          </w:tcPr>
          <w:p>
            <w:pPr>
              <w:jc w:val="center"/>
              <w:spacing w:before="60" w:after="60"/>
            </w:pPr>
            <w:r>
              <w:rPr>
                <w:sz w:val="20"/>
                <w:color w:val="111827"/>
              </w:rPr>
              <w:t>Peripheral</w:t>
            </w:r>
          </w:p>
        </w:tc>
      </w:tr>
      <w:tr>
        <w:tc>
          <w:tcPr>
            <w:tcW w:w="0" w:type="auto"/>
          </w:tcPr>
          <w:p>
            <w:pPr>
              <w:jc w:val="center"/>
              <w:spacing w:before="60" w:after="60"/>
            </w:pPr>
            <w:r>
              <w:rPr>
                <w:sz w:val="20"/>
                <w:color w:val="111827"/>
              </w:rPr>
              <w:t>8</w:t>
            </w:r>
          </w:p>
        </w:tc>
        <w:tc>
          <w:tcPr>
            <w:tcW w:w="0" w:type="auto"/>
          </w:tcPr>
          <w:p>
            <w:pPr>
              <w:jc w:val="center"/>
              <w:spacing w:before="60" w:after="60"/>
            </w:pPr>
            <w:r>
              <w:rPr>
                <w:sz w:val="20"/>
                <w:color w:val="111827"/>
              </w:rPr>
              <w:t>8</w:t>
            </w:r>
          </w:p>
        </w:tc>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0.21%</w:t>
            </w:r>
          </w:p>
        </w:tc>
        <w:tc>
          <w:tcPr>
            <w:tcW w:w="0" w:type="auto"/>
          </w:tcPr>
          <w:p>
            <w:pPr>
              <w:jc w:val="center"/>
              <w:spacing w:before="60" w:after="60"/>
            </w:pPr>
            <w:r>
              <w:rPr>
                <w:sz w:val="20"/>
                <w:color w:val="111827"/>
              </w:rPr>
              <w:t>Peripheral</w:t>
            </w:r>
          </w:p>
        </w:tc>
      </w:tr>
      <w:tr>
        <w:tc>
          <w:tcPr>
            <w:tcW w:w="0" w:type="auto"/>
          </w:tcPr>
          <w:p>
            <w:pPr>
              <w:jc w:val="center"/>
              <w:spacing w:before="60" w:after="60"/>
            </w:pPr>
            <w:r>
              <w:rPr>
                <w:sz w:val="20"/>
                <w:color w:val="111827"/>
              </w:rPr>
              <w:t>9</w:t>
            </w:r>
          </w:p>
        </w:tc>
        <w:tc>
          <w:tcPr>
            <w:tcW w:w="0" w:type="auto"/>
          </w:tcPr>
          <w:p>
            <w:pPr>
              <w:jc w:val="center"/>
              <w:spacing w:before="60" w:after="60"/>
            </w:pPr>
            <w:r>
              <w:rPr>
                <w:sz w:val="20"/>
                <w:color w:val="111827"/>
              </w:rPr>
              <w:t>9</w:t>
            </w:r>
          </w:p>
        </w:tc>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0.04%</w:t>
            </w:r>
          </w:p>
        </w:tc>
        <w:tc>
          <w:tcPr>
            <w:tcW w:w="0" w:type="auto"/>
          </w:tcPr>
          <w:p>
            <w:pPr>
              <w:jc w:val="center"/>
              <w:spacing w:before="60" w:after="60"/>
            </w:pPr>
            <w:r>
              <w:rPr>
                <w:sz w:val="20"/>
                <w:color w:val="111827"/>
              </w:rPr>
              <w:t>Peripheral</w:t>
            </w:r>
          </w:p>
        </w:tc>
      </w:tr>
    </w:tbl>
    <w:p>
      <w:r>
        <w:br w:type="page"/>
      </w:r>
    </w:p>
    <w:p>
      <w:pPr>
        <w:pStyle w:val="Heading2"/>
      </w:pPr>
      <w:bookmarkStart w:name="Sec1.2" w:id="9"/>
      <w:r>
        <w:t>1.2 Spatial Weights Matrix Construction</w:t>
      </w:r>
      <w:bookmarkEnd w:id="9"/>
    </w:p>
    <w:p>
      <w:pPr>
        <w:pStyle w:val="Heading3"/>
      </w:pPr>
      <w:bookmarkStart w:name="Sec1.2.1" w:id="10"/>
      <w:r>
        <w:t>1.2.1 Queen Contiguity Definition</w:t>
      </w:r>
      <w:bookmarkEnd w:id="10"/>
    </w:p>
    <w:p>
      <w:r>
        <w:t>A spatial weights matrix W is an N×N matrix that mathematically defines the structural connections between the N zones in a dataset. For a Queen contiguity specification, two areal units i and j are defined as spatial neighbors (w_ij = 1) if they share either a boundary edge or a single corner vertex. If they share no boundary attributes, w_ij = 0. The diagonal of the weights matrix is set to zero (w_ii = 0) to prevent self-influence. The math rule is:</w:t>
      </w:r>
    </w:p>
    <w:p>
      <m:oMathPara xmlns:m="http://schemas.openxmlformats.org/officeDocument/2006/math">
        <m:oMath>
          <m:sSub>
            <m:e>
              <m:r>
                <m:t>w</m:t>
              </m:r>
            </m:e>
            <m:sub>
              <m:r>
                <m:t>ij</m:t>
              </m:r>
            </m:sub>
          </m:sSub>
          <m:r>
            <m:t>=</m:t>
          </m:r>
          <m:d>
            <m:dPr>
              <m:begChr m:val="{"/>
              <m:endChr m:val=""/>
            </m:dPr>
            <m:e>
              <m:eqArr>
                <m:e>
                  <m:r>
                    <m:t>1,  if  (i,j) share edge or vertex</m:t>
                  </m:r>
                </m:e>
                <m:e>
                  <m:r>
                    <m:t>0,  otherwise</m:t>
                  </m:r>
                </m:e>
              </m:eqArr>
            </m:e>
          </m:d>
        </m:oMath>
      </m:oMathPara>
    </w:p>
    <w:p>
      <w:r>
        <w:rPr>
          <w:rFonts w:ascii="Times New Roman" w:hAnsi="Times New Roman"/>
          <w:color w:val="111827"/>
        </w:rPr>
        <w:t xml:space="preserve">                         ⎧  1,   if (i, j) share an edge or vertex (Queen rule)
</w:t>
      </w:r>
      <w:r>
        <w:rPr>
          <w:rFonts w:ascii="Times New Roman" w:hAnsi="Times New Roman"/>
          <w:color w:val="111827"/>
        </w:rPr>
        <w:t xml:space="preserve">       w_ij  =           ⎨
</w:t>
      </w:r>
      <w:r>
        <w:rPr>
          <w:rFonts w:ascii="Times New Roman" w:hAnsi="Times New Roman"/>
          <w:color w:val="111827"/>
        </w:rPr>
        <w:t xml:space="preserve">                         ⎩  0,   otherwise
</w:t>
      </w:r>
      <w:r>
        <w:rPr>
          <w:rFonts w:ascii="Times New Roman" w:hAnsi="Times New Roman"/>
          <w:b/>
          <w:color w:val="0D233A"/>
        </w:rPr>
        <w:t xml:space="preserve">Equation Parameter Deconstruction:
Where:
</w:t>
      </w:r>
      <w:r>
        <w:rPr>
          <w:rFonts w:ascii="Times New Roman" w:hAnsi="Times New Roman"/>
          <w:b/>
          <w:color w:val="9B2C2C"/>
        </w:rPr>
        <w:t xml:space="preserve">       w_ij  </w:t>
      </w:r>
      <w:r>
        <w:rPr>
          <w:rFonts w:ascii="Times New Roman" w:hAnsi="Times New Roman"/>
          <w:color w:val="111827"/>
        </w:rPr>
        <w:t xml:space="preserve">=  spatial weight between zone i and zone j
</w:t>
      </w:r>
      <w:r>
        <w:rPr>
          <w:rFonts w:ascii="Times New Roman" w:hAnsi="Times New Roman"/>
          <w:b/>
          <w:color w:val="2F855A"/>
        </w:rPr>
        <w:t xml:space="preserve">       1     </w:t>
      </w:r>
      <w:r>
        <w:rPr>
          <w:rFonts w:ascii="Times New Roman" w:hAnsi="Times New Roman"/>
          <w:color w:val="111827"/>
        </w:rPr>
        <w:t xml:space="preserve">=  assigned when zones i and j share a common boundary edge or a corner vertex
</w:t>
      </w:r>
      <w:r>
        <w:rPr>
          <w:rFonts w:ascii="Times New Roman" w:hAnsi="Times New Roman"/>
          <w:b/>
          <w:color w:val="9B2C2C"/>
        </w:rPr>
        <w:t xml:space="preserve">       0     </w:t>
      </w:r>
      <w:r>
        <w:rPr>
          <w:rFonts w:ascii="Times New Roman" w:hAnsi="Times New Roman"/>
          <w:color w:val="111827"/>
        </w:rPr>
        <w:t xml:space="preserve">=  assigned when zones i and j share no common boundary (non-adjacent or i = j)
</w:t>
      </w:r>
      <w:r>
        <w:rPr>
          <w:rFonts w:ascii="Times New Roman" w:hAnsi="Times New Roman"/>
          <w:b/>
          <w:color w:val="0D233A"/>
        </w:rPr>
        <w:t xml:space="preserve">Queen Contiguity Rule: </w:t>
      </w:r>
      <w:r>
        <w:rPr>
          <w:rFonts w:ascii="Times New Roman" w:hAnsi="Times New Roman"/>
          <w:color w:val="111827"/>
        </w:rPr>
        <w:t xml:space="preserve">In a regular grid, cell i at (x_i, y_i) and cell j at (x_j, y_j) are neighbors if and only if:
</w:t>
      </w:r>
      <w:r>
        <w:rPr>
          <w:rFonts w:ascii="Times New Roman" w:hAnsi="Times New Roman"/>
          <w:b/>
          <w:color w:val="2F855A"/>
        </w:rPr>
        <w:t xml:space="preserve">       max(|x_i − x_j|, |y_i − y_j|) = 1
</w:t>
      </w:r>
      <w:r>
        <w:rPr>
          <w:rFonts w:ascii="Times New Roman" w:hAnsi="Times New Roman"/>
          <w:b/>
          <w:color w:val="C05621"/>
        </w:rPr>
        <w:t xml:space="preserve">       w_ii = 0  </w:t>
      </w:r>
      <w:r>
        <w:rPr>
          <w:rFonts w:ascii="Times New Roman" w:hAnsi="Times New Roman"/>
          <w:color w:val="111827"/>
        </w:rPr>
        <w:t xml:space="preserve">(diagonal of the weights matrix is always zero — no self-influence)</w:t>
      </w:r>
    </w:p>
    <w:p>
      <w:pPr>
        <w:pStyle w:val="Heading3"/>
      </w:pPr>
      <w:bookmarkStart w:name="Sec1.2.2" w:id="11"/>
      <w:r>
        <w:t>1.2.2 Matrix Properties</w:t>
      </w:r>
      <w:bookmarkEnd w:id="11"/>
    </w:p>
    <w:p>
      <w:r>
        <w:t>The constructed contiguity matrix has a size of 100×100, containing 10,000 cells. The connectivity characteristics differ across grid regions: Internal cells have exactly 8 neighbors (full Queen contiguity); Edge cells have 5 neighbors; and the 4 corner cells have only 3 neighbors.</w:t>
      </w:r>
    </w:p>
    <w:tbl>
      <w:tblPr>
        <w:tblW w:w="5000" w:type="pct"/>
        <w:tblBorders>
          <w:top w:val="single" w:color="1D4E89" w:sz="12"/>
          <w:left w:val="single" w:color="1D4E89" w:sz="12"/>
          <w:bottom w:val="single" w:color="1D4E89" w:sz="12"/>
          <w:right w:val="single" w:color="1D4E89" w:sz="12"/>
          <w:insideH w:val="nil"/>
          <w:insideV w:val="nil"/>
        </w:tblBorders>
        <w:tcMar>
          <w:top w:w="120" w:type="dxa"/>
          <w:left w:w="240" w:type="dxa"/>
          <w:bottom w:w="120" w:type="dxa"/>
          <w:right w:w="240" w:type="dxa"/>
        </w:tcMar>
        <w:jc w:val="center"/>
      </w:tblPr>
      <w:tr>
        <w:tc>
          <w:tcPr>
            <w:shd w:val="clear" w:fill="EFF6FF"/>
          </w:tcPr>
          <w:p>
            <w:pPr>
              <w:spacing w:before="60" w:after="60"/>
            </w:pPr>
            <w:r>
              <w:rPr>
                <w:i/>
                <w:color w:val="1D4E89"/>
                <w:sz w:val="20"/>
              </w:rPr>
              <w:t xml:space="preserve">Expert Insight: Boundary Effects and Spatial Bias</w:t>
            </w:r>
          </w:p>
          <w:p>
            <w:pPr>
              <w:spacing w:before="60" w:after="60"/>
            </w:pPr>
            <w:r>
              <w:rPr>
                <w:i/>
                <w:color w:val="1D4E89"/>
                <w:sz w:val="20"/>
              </w:rPr>
              <w:t xml:space="preserve">The reduction in neighbor counts at the grid boundaries (from 8 to 5 or 3) introduces 'boundary effects'. In spatial modeling, these edge cells have less 'information' available for their spatial lag calculation, which can lead to biased estimates of autocorrelation if not accounted for. Row-standardization partially mitigates this by weighting each neighbor more heavily at the edges.</w:t>
            </w:r>
          </w:p>
        </w:tc>
      </w:tr>
    </w:tbl>
    <w:p>
      <w:r>
        <w:t>The total number of non-zero entries in the spatial adjacency matrix is calculated as:</w:t>
      </w:r>
    </w:p>
    <w:p>
      <m:oMathPara xmlns:m="http://schemas.openxmlformats.org/officeDocument/2006/math">
        <m:oMath>
          <m:sSub>
            <m:e>
              <m:r>
                <m:t>S</m:t>
              </m:r>
            </m:e>
            <m:sub>
              <m:r>
                <m:t>0</m:t>
              </m:r>
            </m:sub>
          </m:sSub>
          <m:r>
            <m:t>=</m:t>
          </m:r>
          <m:r>
            <m:t>64</m:t>
          </m:r>
          <m:r>
            <m:t>·</m:t>
          </m:r>
          <m:r>
            <m:t>8</m:t>
          </m:r>
          <m:r>
            <m:t>+</m:t>
          </m:r>
          <m:r>
            <m:t>32</m:t>
          </m:r>
          <m:r>
            <m:t>·</m:t>
          </m:r>
          <m:r>
            <m:t>5</m:t>
          </m:r>
          <m:r>
            <m:t>+</m:t>
          </m:r>
          <m:r>
            <m:t>4</m:t>
          </m:r>
          <m:r>
            <m:t>·</m:t>
          </m:r>
          <m:r>
            <m:t>3</m:t>
          </m:r>
          <m:r>
            <m:t>=</m:t>
          </m:r>
          <m:r>
            <m:t>684</m:t>
          </m:r>
        </m:oMath>
      </m:oMathPara>
    </w:p>
    <w:p>
      <w:r>
        <w:rPr>
          <w:rFonts w:ascii="Times New Roman" w:hAnsi="Times New Roman"/>
          <w:b/>
          <w:color w:val="0D233A"/>
        </w:rPr>
        <w:t xml:space="preserve">Rigorous Count Calculation — S₀ (Total Non-Zero Connections):
</w:t>
      </w:r>
      <w:r>
        <w:rPr>
          <w:rFonts w:ascii="Times New Roman" w:hAnsi="Times New Roman"/>
          <w:b/>
          <w:color w:val="2B6CB0"/>
        </w:rPr>
        <w:t xml:space="preserve">  S₀</w:t>
      </w:r>
      <w:r>
        <w:rPr>
          <w:rFonts w:ascii="Times New Roman" w:hAnsi="Times New Roman"/>
          <w:color w:val="111827"/>
        </w:rPr>
        <w:t xml:space="preserve"> = global sum of all spatial weights = total number of non-zero entries in the adjacency matrix.
</w:t>
      </w:r>
      <w:r>
        <w:rPr>
          <w:rFonts w:ascii="Times New Roman" w:hAnsi="Times New Roman"/>
          <w:color w:val="111827"/>
        </w:rPr>
        <w:t xml:space="preserve">  For a 10×10 grid, three distinct topological cell classes are identified:
</w:t>
      </w:r>
      <w:r>
        <w:rPr>
          <w:rFonts w:ascii="Times New Roman" w:hAnsi="Times New Roman"/>
          <w:b/>
          <w:color w:val="0D233A"/>
        </w:rPr>
        <w:t xml:space="preserve">  Class 1 — Interior Cells (8 neighbours each):
</w:t>
      </w:r>
      <w:r>
        <w:rPr>
          <w:rFonts w:ascii="Times New Roman" w:hAnsi="Times New Roman"/>
          <w:color w:val="111827"/>
        </w:rPr>
        <w:t xml:space="preserve">       Count  = 8 × 8 = 64 cells
</w:t>
      </w:r>
      <w:r>
        <w:rPr>
          <w:rFonts w:ascii="Times New Roman" w:hAnsi="Times New Roman"/>
          <w:color w:val="111827"/>
        </w:rPr>
        <w:t xml:space="preserve">       Connections = 64 × 8 = </w:t>
      </w:r>
      <w:r>
        <w:rPr>
          <w:rFonts w:ascii="Times New Roman" w:hAnsi="Times New Roman"/>
          <w:b/>
          <w:color w:val="2F855A"/>
        </w:rPr>
        <w:t xml:space="preserve">512</w:t>
      </w:r>
      <w:r>
        <w:rPr>
          <w:rFonts w:ascii="Times New Roman" w:hAnsi="Times New Roman"/>
          <w:color w:val="111827"/>
        </w:rPr>
        <w:t xml:space="preserve">
</w:t>
      </w:r>
      <w:r>
        <w:rPr>
          <w:rFonts w:ascii="Times New Roman" w:hAnsi="Times New Roman"/>
          <w:b/>
          <w:color w:val="0D233A"/>
        </w:rPr>
        <w:t xml:space="preserve">  Class 2 — Edge Cells, excluding corners (5 neighbours each):
</w:t>
      </w:r>
      <w:r>
        <w:rPr>
          <w:rFonts w:ascii="Times New Roman" w:hAnsi="Times New Roman"/>
          <w:color w:val="111827"/>
        </w:rPr>
        <w:t xml:space="preserve">       Count  = 4 edges × 8 cells/edge = 32 cells
</w:t>
      </w:r>
      <w:r>
        <w:rPr>
          <w:rFonts w:ascii="Times New Roman" w:hAnsi="Times New Roman"/>
          <w:color w:val="111827"/>
        </w:rPr>
        <w:t xml:space="preserve">       Connections = 32 × 5 = </w:t>
      </w:r>
      <w:r>
        <w:rPr>
          <w:rFonts w:ascii="Times New Roman" w:hAnsi="Times New Roman"/>
          <w:b/>
          <w:color w:val="2F855A"/>
        </w:rPr>
        <w:t xml:space="preserve">160</w:t>
      </w:r>
      <w:r>
        <w:rPr>
          <w:rFonts w:ascii="Times New Roman" w:hAnsi="Times New Roman"/>
          <w:color w:val="111827"/>
        </w:rPr>
        <w:t xml:space="preserve">
</w:t>
      </w:r>
      <w:r>
        <w:rPr>
          <w:rFonts w:ascii="Times New Roman" w:hAnsi="Times New Roman"/>
          <w:b/>
          <w:color w:val="0D233A"/>
        </w:rPr>
        <w:t xml:space="preserve">  Class 3 — Corner Cells (3 neighbours each):
</w:t>
      </w:r>
      <w:r>
        <w:rPr>
          <w:rFonts w:ascii="Times New Roman" w:hAnsi="Times New Roman"/>
          <w:color w:val="111827"/>
        </w:rPr>
        <w:t xml:space="preserve">       Count  = 4 cells
</w:t>
      </w:r>
      <w:r>
        <w:rPr>
          <w:rFonts w:ascii="Times New Roman" w:hAnsi="Times New Roman"/>
          <w:color w:val="111827"/>
        </w:rPr>
        <w:t xml:space="preserve">       Connections = 4 × 3 = </w:t>
      </w:r>
      <w:r>
        <w:rPr>
          <w:rFonts w:ascii="Times New Roman" w:hAnsi="Times New Roman"/>
          <w:b/>
          <w:color w:val="2F855A"/>
        </w:rPr>
        <w:t xml:space="preserve">12</w:t>
      </w:r>
      <w:r>
        <w:rPr>
          <w:rFonts w:ascii="Times New Roman" w:hAnsi="Times New Roman"/>
          <w:color w:val="111827"/>
        </w:rPr>
        <w:t xml:space="preserve">
</w:t>
      </w:r>
      <w:r>
        <w:rPr>
          <w:rFonts w:ascii="Times New Roman" w:hAnsi="Times New Roman"/>
          <w:b/>
          <w:color w:val="0D233A"/>
        </w:rPr>
        <w:t xml:space="preserve">  Total:   </w:t>
      </w:r>
      <w:r>
        <w:rPr>
          <w:rFonts w:ascii="Times New Roman" w:hAnsi="Times New Roman"/>
          <w:color w:val="111827"/>
        </w:rPr>
        <w:t xml:space="preserve">S₀ = 512 + 160 + 12 = </w:t>
      </w:r>
      <w:r>
        <w:rPr>
          <w:rFonts w:ascii="Times New Roman" w:hAnsi="Times New Roman"/>
          <w:b/>
          <w:color w:val="2F855A"/>
        </w:rPr>
        <w:t xml:space="preserve">684</w:t>
      </w:r>
      <w:r>
        <w:rPr>
          <w:rFonts w:ascii="Times New Roman" w:hAnsi="Times New Roman"/>
          <w:color w:val="111827"/>
        </w:rPr>
        <w:t xml:space="preserve">
</w:t>
      </w:r>
      <w:r>
        <w:rPr>
          <w:rFonts w:ascii="Times New Roman" w:hAnsi="Times New Roman"/>
          <w:b/>
          <w:color w:val="C05621"/>
        </w:rPr>
        <w:t xml:space="preserve">  Interpretation: </w:t>
      </w:r>
      <w:r>
        <w:rPr>
          <w:rFonts w:ascii="Times New Roman" w:hAnsi="Times New Roman"/>
          <w:color w:val="111827"/>
        </w:rPr>
        <w:t xml:space="preserve">S₀ = 684 is the scale denominator used in ALL global spatial autocorrelation formulas (Moran's I, Geary's C) to normalise the weight sum.</w:t>
      </w:r>
    </w:p>
    <w:p>
      <w:r>
        <w:t>Row-standardisation is applied to the weights matrix, dividing each entry in row i by the sum of that row. This ensures that the weights sum to 1 for each cell, converting the spatial lag into a weighted average:</w:t>
      </w:r>
    </w:p>
    <w:p>
      <m:oMathPara xmlns:m="http://schemas.openxmlformats.org/officeDocument/2006/math">
        <m:oMath>
          <m:sSub>
            <m:e>
              <m:r>
                <m:t>w</m:t>
              </m:r>
            </m:e>
            <m:sub>
              <m:r>
                <m:t>ij</m:t>
              </m:r>
            </m:sub>
          </m:sSub>
          <m:sSub>
            <m:e>
              <m:r>
                <m:t/>
              </m:r>
            </m:e>
            <m:sub>
              <m:r>
                <m:t>std</m:t>
              </m:r>
            </m:sub>
          </m:sSub>
          <m:r>
            <m:t>=</m:t>
          </m:r>
          <m:f>
            <m:num>
              <m:sSub>
                <m:e>
                  <m:r>
                    <m:t>w</m:t>
                  </m:r>
                </m:e>
                <m:sub>
                  <m:r>
                    <m:t>ij</m:t>
                  </m:r>
                </m:sub>
              </m:sSub>
            </m:num>
            <m:den>
              <m:nary>
                <m:naryPr>
                  <m:chr m:val="∑"/>
                </m:naryPr>
                <m:sub>
                  <m:r>
                    <m:t>k=1</m:t>
                  </m:r>
                </m:sub>
                <m:sup>
                  <m:r>
                    <m:t>N</m:t>
                  </m:r>
                </m:sup>
                <m:e>
                  <m:sSub>
                    <m:e>
                      <m:r>
                        <m:t>w</m:t>
                      </m:r>
                    </m:e>
                    <m:sub>
                      <m:r>
                        <m:t>ik</m:t>
                      </m:r>
                    </m:sub>
                  </m:sSub>
                </m:e>
              </m:nary>
            </m:den>
          </m:f>
        </m:oMath>
      </m:oMathPara>
    </w:p>
    <w:p>
      <w:r>
        <w:rPr>
          <w:rFonts w:ascii="Times New Roman" w:hAnsi="Times New Roman"/>
          <w:b/>
          <w:color w:val="0D233A"/>
        </w:rPr>
        <w:t xml:space="preserve">Equation Parameter Deconstruction:
Where:
</w:t>
      </w:r>
      <w:r>
        <w:rPr>
          <w:rFonts w:ascii="Times New Roman" w:hAnsi="Times New Roman"/>
          <w:b/>
          <w:color w:val="9B2C2C"/>
        </w:rPr>
        <w:t xml:space="preserve">       w_ij(std)  </w:t>
      </w:r>
      <w:r>
        <w:rPr>
          <w:rFonts w:ascii="Times New Roman" w:hAnsi="Times New Roman"/>
          <w:color w:val="111827"/>
        </w:rPr>
        <w:t xml:space="preserve">=  row-standardised weight between zone i and zone j
</w:t>
      </w:r>
      <w:r>
        <w:rPr>
          <w:rFonts w:ascii="Times New Roman" w:hAnsi="Times New Roman"/>
          <w:b/>
          <w:color w:val="2B6CB0"/>
        </w:rPr>
        <w:t xml:space="preserve">       w_ij       </w:t>
      </w:r>
      <w:r>
        <w:rPr>
          <w:rFonts w:ascii="Times New Roman" w:hAnsi="Times New Roman"/>
          <w:color w:val="111827"/>
        </w:rPr>
        <w:t xml:space="preserve">=  original binary adjacency weight (1 if neighbours, 0 otherwise)
</w:t>
      </w:r>
      <w:r>
        <w:rPr>
          <w:rFonts w:ascii="Times New Roman" w:hAnsi="Times New Roman"/>
          <w:b/>
          <w:color w:val="2B6CB0"/>
        </w:rPr>
        <w:t xml:space="preserve">       Σ_k w_ik  </w:t>
      </w:r>
      <w:r>
        <w:rPr>
          <w:rFonts w:ascii="Times New Roman" w:hAnsi="Times New Roman"/>
          <w:color w:val="111827"/>
        </w:rPr>
        <w:t xml:space="preserve">=  row sum of raw weights for zone i (i.e., the number of neighbours of zone i)
</w:t>
      </w:r>
      <w:r>
        <w:rPr>
          <w:rFonts w:ascii="Times New Roman" w:hAnsi="Times New Roman"/>
          <w:b/>
          <w:color w:val="0D233A"/>
        </w:rPr>
        <w:t xml:space="preserve">Row Standardisation — Worked Examples:
</w:t>
      </w:r>
      <w:r>
        <w:rPr>
          <w:rFonts w:ascii="Times New Roman" w:hAnsi="Times New Roman"/>
          <w:b/>
          <w:color w:val="0D233A"/>
        </w:rPr>
        <w:t xml:space="preserve">  Interior Cell (e.g., 4,4) — 8 neighbours:
</w:t>
      </w:r>
      <w:r>
        <w:rPr>
          <w:rFonts w:ascii="Times New Roman" w:hAnsi="Times New Roman"/>
          <w:color w:val="111827"/>
        </w:rPr>
        <w:t xml:space="preserve">       Row sum = 8.0
</w:t>
      </w:r>
      <w:r>
        <w:rPr>
          <w:rFonts w:ascii="Times New Roman" w:hAnsi="Times New Roman"/>
          <w:color w:val="111827"/>
        </w:rPr>
        <w:t xml:space="preserve">       w_ij(std) = 1 / 8 = </w:t>
      </w:r>
      <w:r>
        <w:rPr>
          <w:rFonts w:ascii="Times New Roman" w:hAnsi="Times New Roman"/>
          <w:b/>
          <w:color w:val="2F855A"/>
        </w:rPr>
        <w:t xml:space="preserve">0.125  (12.5% weight per neighbour)
</w:t>
      </w:r>
      <w:r>
        <w:rPr>
          <w:rFonts w:ascii="Times New Roman" w:hAnsi="Times New Roman"/>
          <w:b/>
          <w:color w:val="0D233A"/>
        </w:rPr>
        <w:t xml:space="preserve">  Corner Cell (e.g., 0,0) — 3 neighbours:
</w:t>
      </w:r>
      <w:r>
        <w:rPr>
          <w:rFonts w:ascii="Times New Roman" w:hAnsi="Times New Roman"/>
          <w:color w:val="111827"/>
        </w:rPr>
        <w:t xml:space="preserve">       Row sum = 3.0
</w:t>
      </w:r>
      <w:r>
        <w:rPr>
          <w:rFonts w:ascii="Times New Roman" w:hAnsi="Times New Roman"/>
          <w:color w:val="111827"/>
        </w:rPr>
        <w:t xml:space="preserve">       w_ij(std) = 1 / 3 = </w:t>
      </w:r>
      <w:r>
        <w:rPr>
          <w:rFonts w:ascii="Times New Roman" w:hAnsi="Times New Roman"/>
          <w:b/>
          <w:color w:val="2F855A"/>
        </w:rPr>
        <w:t xml:space="preserve">0.333  (33.3% weight per neighbour)
</w:t>
      </w:r>
      <w:r>
        <w:rPr>
          <w:rFonts w:ascii="Times New Roman" w:hAnsi="Times New Roman"/>
          <w:b/>
          <w:color w:val="C05621"/>
        </w:rPr>
        <w:t xml:space="preserve">  Edge Effect (Boundary Distortion): </w:t>
      </w:r>
      <w:r>
        <w:rPr>
          <w:rFonts w:ascii="Times New Roman" w:hAnsi="Times New Roman"/>
          <w:color w:val="111827"/>
        </w:rPr>
        <w:t xml:space="preserve">Corner cells assign 33.3% weight to each of their 3 neighbours vs. 12.5% for interior cells. This imbalance is the edge effect — border zones are disproportionately influenced by fewer neighbours, which can bias global spatial statistics if uncorrected.</w:t>
      </w:r>
    </w:p>
    <w:p>
      <w:pPr>
        <w:pStyle w:val="Heading3"/>
      </w:pPr>
      <w:bookmarkStart w:name="Sec1.2.3" w:id="12"/>
      <w:r>
        <w:t>1.2.3 Visualisation</w:t>
      </w:r>
      <w:bookmarkEnd w:id="12"/>
    </w:p>
    <w:p>
      <w:r>
        <w:t>Figure 2 visualizes the Queen connectivity network. Points represent zone centroids, and lines represent neighbor connections. The network density is highest in the interior, decaying systematically at the grid borders.</w:t>
      </w:r>
    </w:p>
    <w:p>
      <w:pPr>
        <w:keepNext/>
        <w:jc w:val="center"/>
        <w:spacing w:before="120" w:after="60"/>
      </w:pPr>
      <w:r>
        <w:drawing>
          <wp:inline xmlns:wp="http://schemas.openxmlformats.org/drawingml/2006/wordprocessingDrawing" distT="0" distB="0" distL="0" distR="0">
            <wp:extent cx="4320000" cy="2301423"/>
            <wp:effectExtent l="0" t="0" r="0" b="0"/>
            <wp:docPr id="12" name="Figure 2: Weights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 Weights Network.png"/>
                    <pic:cNvPicPr/>
                  </pic:nvPicPr>
                  <pic:blipFill>
                    <a:blip xmlns:r="http://schemas.openxmlformats.org/officeDocument/2006/relationships" r:embed="R374cbc21799844cc"/>
                    <a:stretch>
                      <a:fillRect/>
                    </a:stretch>
                  </pic:blipFill>
                  <pic:spPr>
                    <a:xfrm>
                      <a:off x="0" y="0"/>
                      <a:ext cx="4320000" cy="2301423"/>
                    </a:xfrm>
                    <a:prstGeom prst="rect"/>
                  </pic:spPr>
                </pic:pic>
              </a:graphicData>
            </a:graphic>
          </wp:inline>
        </w:drawing>
      </w:r>
    </w:p>
    <w:p>
      <w:pPr>
        <w:pStyle w:val="Caption"/>
      </w:pPr>
      <w:r>
        <w:t>Figure 2: Queen Contiguity Connectivity Network Graph</w:t>
      </w:r>
    </w:p>
    <w:p>
      <w:pPr>
        <w:pStyle w:val="Heading3"/>
      </w:pPr>
      <w:bookmarkStart w:name="Sec1.2.4" w:id="13"/>
      <w:r>
        <w:t>1.2.4 Alternative Weight Specifications</w:t>
      </w:r>
      <w:bookmarkEnd w:id="13"/>
    </w:p>
    <w:p>
      <w:r>
        <w:t>While Queen contiguity is the primary focus of this study, other specifications are common: Rook contiguity (which shares only boundary edges, resulting in 4 neighbors in the interior); k-Nearest Neighbors (k-NN), which identifies a fixed number of closest zones; and Distance-decay matrices, where weight is a continuous inverse function of distance (1/d^k).</w:t>
      </w:r>
    </w:p>
    <w:p>
      <w:r>
        <w:br w:type="page"/>
      </w:r>
    </w:p>
    <w:p>
      <w:pPr>
        <w:pStyle w:val="Heading2"/>
      </w:pPr>
      <w:bookmarkStart w:name="Sec1.3" w:id="14"/>
      <w:r>
        <w:t>1.3 Global Moran's I Statistic</w:t>
      </w:r>
      <w:bookmarkEnd w:id="14"/>
    </w:p>
    <w:p>
      <w:pPr>
        <w:pStyle w:val="Heading3"/>
      </w:pPr>
      <w:bookmarkStart w:name="Sec1.3.1" w:id="15"/>
      <w:r>
        <w:t>1.3.1 Mathematical Formulation</w:t>
      </w:r>
      <w:bookmarkEnd w:id="15"/>
    </w:p>
    <w:p>
      <w:r>
        <w:t>Moran's I is the standard global statistic used to measure spatial autocorrelation. It assesses whether an attribute value is clustered, dispersed, or randomly distributed in space. The mathematical formula is written as:</w:t>
      </w:r>
    </w:p>
    <w:p>
      <m:oMathPara xmlns:m="http://schemas.openxmlformats.org/officeDocument/2006/math">
        <m:oMath>
          <m:r>
            <m:t>I</m:t>
          </m:r>
          <m:r>
            <m:t>=</m:t>
          </m:r>
          <m:f>
            <m:num>
              <m:r>
                <m:t>N</m:t>
              </m:r>
            </m:num>
            <m:den>
              <m:sSub>
                <m:e>
                  <m:r>
                    <m:t>S</m:t>
                  </m:r>
                </m:e>
                <m:sub>
                  <m:r>
                    <m:t>0</m:t>
                  </m:r>
                </m:sub>
              </m:sSub>
            </m:den>
          </m:f>
          <m:r>
            <m:t>·</m:t>
          </m:r>
          <m:f>
            <m:num>
              <m:nary>
                <m:naryPr>
                  <m:chr m:val="∑"/>
                </m:naryPr>
                <m:sub>
                  <m:r>
                    <m:t>i=1</m:t>
                  </m:r>
                </m:sub>
                <m:sup>
                  <m:r>
                    <m:t>N</m:t>
                  </m:r>
                </m:sup>
                <m:e>
                  <m:nary>
                    <m:naryPr>
                      <m:chr m:val="∑"/>
                    </m:naryPr>
                    <m:sub>
                      <m:r>
                        <m:t>j=1</m:t>
                      </m:r>
                    </m:sub>
                    <m:sup>
                      <m:r>
                        <m:t>N</m:t>
                      </m:r>
                    </m:sup>
                    <m:e>
                      <m:sSub>
                        <m:e>
                          <m:r>
                            <m:t>w</m:t>
                          </m:r>
                        </m:e>
                        <m:sub>
                          <m:r>
                            <m:t>ij</m:t>
                          </m:r>
                        </m:sub>
                      </m:sSub>
                      <m:d>
                        <m:dPr>
                          <m:begChr m:val="("/>
                          <m:endChr m:val=")"/>
                        </m:dPr>
                        <m:e>
                          <m:sSub>
                            <m:e>
                              <m:r>
                                <m:t>x</m:t>
                              </m:r>
                            </m:e>
                            <m:sub>
                              <m:r>
                                <m:t>i</m:t>
                              </m:r>
                            </m:sub>
                          </m:sSub>
                          <m:r>
                            <m:t>-</m:t>
                          </m:r>
                          <m:r>
                            <m:t>x̄</m:t>
                          </m:r>
                        </m:e>
                      </m:d>
                      <m:d>
                        <m:dPr>
                          <m:begChr m:val="("/>
                          <m:endChr m:val=")"/>
                        </m:dPr>
                        <m:e>
                          <m:sSub>
                            <m:e>
                              <m:r>
                                <m:t>x</m:t>
                              </m:r>
                            </m:e>
                            <m:sub>
                              <m:r>
                                <m:t>j</m:t>
                              </m:r>
                            </m:sub>
                          </m:sSub>
                          <m:r>
                            <m:t>-</m:t>
                          </m:r>
                          <m:r>
                            <m:t>x̄</m:t>
                          </m:r>
                        </m:e>
                      </m:d>
                    </m:e>
                  </m:nary>
                </m:e>
              </m:nary>
            </m:num>
            <m:den>
              <m:nary>
                <m:naryPr>
                  <m:chr m:val="∑"/>
                </m:naryPr>
                <m:sub>
                  <m:r>
                    <m:t>i=1</m:t>
                  </m:r>
                </m:sub>
                <m:sup>
                  <m:r>
                    <m:t>N</m:t>
                  </m:r>
                </m:sup>
                <m:e>
                  <m:sSup>
                    <m:e>
                      <m:d>
                        <m:dPr>
                          <m:begChr m:val="("/>
                          <m:endChr m:val=")"/>
                        </m:dPr>
                        <m:e>
                          <m:sSub>
                            <m:e>
                              <m:r>
                                <m:t>x</m:t>
                              </m:r>
                            </m:e>
                            <m:sub>
                              <m:r>
                                <m:t>i</m:t>
                              </m:r>
                            </m:sub>
                          </m:sSub>
                          <m:r>
                            <m:t>-</m:t>
                          </m:r>
                          <m:r>
                            <m:t>x̄</m:t>
                          </m:r>
                        </m:e>
                      </m:d>
                    </m:e>
                    <m:sup>
                      <m:r>
                        <m:t>2</m:t>
                      </m:r>
                    </m:sup>
                  </m:sSup>
                </m:e>
              </m:nary>
            </m:den>
          </m:f>
        </m:oMath>
      </m:oMathPara>
    </w:p>
    <w:p>
      <w:r>
        <w:rPr>
          <w:rFonts w:ascii="Times New Roman" w:hAnsi="Times New Roman"/>
          <w:b/>
          <w:color w:val="0D233A"/>
        </w:rPr>
        <w:t xml:space="preserve">Equation Parameter Deconstruction:
Where:
</w:t>
      </w:r>
      <w:r>
        <w:rPr>
          <w:rFonts w:ascii="Times New Roman" w:hAnsi="Times New Roman"/>
          <w:b/>
          <w:color w:val="9B2C2C"/>
        </w:rPr>
        <w:t xml:space="preserve">       I       </w:t>
      </w:r>
      <w:r>
        <w:rPr>
          <w:rFonts w:ascii="Times New Roman" w:hAnsi="Times New Roman"/>
          <w:color w:val="111827"/>
        </w:rPr>
        <w:t xml:space="preserve">=  Global Moran's I coefficient of spatial autocorrelation
</w:t>
      </w:r>
      <w:r>
        <w:rPr>
          <w:rFonts w:ascii="Times New Roman" w:hAnsi="Times New Roman"/>
          <w:b/>
          <w:color w:val="2B6CB0"/>
        </w:rPr>
        <w:t xml:space="preserve">       N       </w:t>
      </w:r>
      <w:r>
        <w:rPr>
          <w:rFonts w:ascii="Times New Roman" w:hAnsi="Times New Roman"/>
          <w:color w:val="111827"/>
        </w:rPr>
        <w:t xml:space="preserve">=  total number of geographic zones (N = 100)
</w:t>
      </w:r>
      <w:r>
        <w:rPr>
          <w:rFonts w:ascii="Times New Roman" w:hAnsi="Times New Roman"/>
          <w:b/>
          <w:color w:val="2B6CB0"/>
        </w:rPr>
        <w:t xml:space="preserve">       S₀      </w:t>
      </w:r>
      <w:r>
        <w:rPr>
          <w:rFonts w:ascii="Times New Roman" w:hAnsi="Times New Roman"/>
          <w:color w:val="111827"/>
        </w:rPr>
        <w:t xml:space="preserve">=  sum of all spatial weights matrix entries (S₀ = 684)
</w:t>
      </w:r>
      <w:r>
        <w:rPr>
          <w:rFonts w:ascii="Times New Roman" w:hAnsi="Times New Roman"/>
          <w:b/>
          <w:color w:val="2B6CB0"/>
        </w:rPr>
        <w:t xml:space="preserve">       x_i     </w:t>
      </w:r>
      <w:r>
        <w:rPr>
          <w:rFonts w:ascii="Times New Roman" w:hAnsi="Times New Roman"/>
          <w:color w:val="111827"/>
        </w:rPr>
        <w:t xml:space="preserve">=  attribute value (disease prevalence) at zone i
</w:t>
      </w:r>
      <w:r>
        <w:rPr>
          <w:rFonts w:ascii="Times New Roman" w:hAnsi="Times New Roman"/>
          <w:b/>
          <w:color w:val="2B6CB0"/>
        </w:rPr>
        <w:t xml:space="preserve">       x_j     </w:t>
      </w:r>
      <w:r>
        <w:rPr>
          <w:rFonts w:ascii="Times New Roman" w:hAnsi="Times New Roman"/>
          <w:color w:val="111827"/>
        </w:rPr>
        <w:t xml:space="preserve">=  attribute value (disease prevalence) at zone j
</w:t>
      </w:r>
      <w:r>
        <w:rPr>
          <w:rFonts w:ascii="Times New Roman" w:hAnsi="Times New Roman"/>
          <w:b/>
          <w:color w:val="2B6CB0"/>
        </w:rPr>
        <w:t xml:space="preserve">       x̄       </w:t>
      </w:r>
      <w:r>
        <w:rPr>
          <w:rFonts w:ascii="Times New Roman" w:hAnsi="Times New Roman"/>
          <w:color w:val="111827"/>
        </w:rPr>
        <w:t xml:space="preserve">=  global mean prevalence across all 100 cells (x̄ ≈ 13.911%)
</w:t>
      </w:r>
      <w:r>
        <w:rPr>
          <w:rFonts w:ascii="Times New Roman" w:hAnsi="Times New Roman"/>
          <w:b/>
          <w:color w:val="2B6CB0"/>
        </w:rPr>
        <w:t xml:space="preserve">(x_i−x̄)(x_j−x̄)</w:t>
      </w:r>
      <w:r>
        <w:rPr>
          <w:rFonts w:ascii="Times New Roman" w:hAnsi="Times New Roman"/>
          <w:color w:val="111827"/>
        </w:rPr>
        <w:t xml:space="preserve"> =  cross-product of deviations; positive when both cells are above or both below the mean
</w:t>
      </w:r>
      <w:r>
        <w:rPr>
          <w:rFonts w:ascii="Times New Roman" w:hAnsi="Times New Roman"/>
          <w:b/>
          <w:color w:val="2B6CB0"/>
        </w:rPr>
        <w:t xml:space="preserve">       w_ij    </w:t>
      </w:r>
      <w:r>
        <w:rPr>
          <w:rFonts w:ascii="Times New Roman" w:hAnsi="Times New Roman"/>
          <w:color w:val="111827"/>
        </w:rPr>
        <w:t xml:space="preserve">=  row-standardised spatial weight between zone i and zone j
</w:t>
      </w:r>
      <w:r>
        <w:rPr>
          <w:rFonts w:ascii="Times New Roman" w:hAnsi="Times New Roman"/>
          <w:b/>
          <w:color w:val="0D233A"/>
        </w:rPr>
        <w:t xml:space="preserve">       Numerator   </w:t>
      </w:r>
      <w:r>
        <w:rPr>
          <w:rFonts w:ascii="Times New Roman" w:hAnsi="Times New Roman"/>
          <w:color w:val="111827"/>
        </w:rPr>
        <w:t xml:space="preserve">=  spatial covariance (weighted sum of cross-products of deviations)
</w:t>
      </w:r>
      <w:r>
        <w:rPr>
          <w:rFonts w:ascii="Times New Roman" w:hAnsi="Times New Roman"/>
          <w:b/>
          <w:color w:val="0D233A"/>
        </w:rPr>
        <w:t xml:space="preserve">       Denominator </w:t>
      </w:r>
      <w:r>
        <w:rPr>
          <w:rFonts w:ascii="Times New Roman" w:hAnsi="Times New Roman"/>
          <w:color w:val="111827"/>
        </w:rPr>
        <w:t xml:space="preserve">=  total global variance (sum of squared deviations from mean)</w:t>
      </w:r>
    </w:p>
    <w:p>
      <w:pPr>
        <w:pStyle w:val="Heading3"/>
      </w:pPr>
      <w:bookmarkStart w:name="Sec1.3.2" w:id="16"/>
      <w:r>
        <w:t>1.3.2 Interpretation Guide</w:t>
      </w:r>
      <w:bookmarkEnd w:id="16"/>
    </w:p>
    <w:p>
      <w:r>
        <w:t>Moran's I generally ranges from -1.0 (perfect dispersion) to +1.0 (perfect clustering), with an expected value near 0 under spatial randomness. To determine statistical significance, we calculate a standardized Z-score. The formulas for the expected value E(I), variance Var(I), and standardized Z-score are defined as:</w:t>
      </w:r>
    </w:p>
    <w:p>
      <m:oMathPara xmlns:m="http://schemas.openxmlformats.org/officeDocument/2006/math">
        <m:oMath>
          <m:sSub>
            <m:e>
              <m:r>
                <m:t>E</m:t>
              </m:r>
            </m:e>
            <m:sub>
              <m:r>
                <m:t>I</m:t>
              </m:r>
            </m:sub>
          </m:sSub>
          <m:r>
            <m:t>=</m:t>
          </m:r>
          <m:f>
            <m:num>
              <m:r>
                <m:t>-1</m:t>
              </m:r>
            </m:num>
            <m:den>
              <m:r>
                <m:t>N</m:t>
              </m:r>
              <m:r>
                <m:t>-</m:t>
              </m:r>
              <m:r>
                <m:t>1</m:t>
              </m:r>
            </m:den>
          </m:f>
        </m:oMath>
      </m:oMathPara>
    </w:p>
    <w:p>
      <m:oMathPara xmlns:m="http://schemas.openxmlformats.org/officeDocument/2006/math">
        <m:oMath>
          <m:sSub>
            <m:e>
              <m:r>
                <m:t>Z</m:t>
              </m:r>
            </m:e>
            <m:sub>
              <m:r>
                <m:t>I</m:t>
              </m:r>
            </m:sub>
          </m:sSub>
          <m:r>
            <m:t>=</m:t>
          </m:r>
          <m:f>
            <m:num>
              <m:r>
                <m:t>I</m:t>
              </m:r>
              <m:r>
                <m:t>-</m:t>
              </m:r>
              <m:sSub>
                <m:e>
                  <m:r>
                    <m:t>E</m:t>
                  </m:r>
                </m:e>
                <m:sub>
                  <m:r>
                    <m:t>I</m:t>
                  </m:r>
                </m:sub>
              </m:sSub>
            </m:num>
            <m:den>
              <m:rad>
                <m:radPr>
                  <m:degHide m:val="true"/>
                </m:radPr>
                <m:deg/>
                <m:e>
                  <m:sSub>
                    <m:e>
                      <m:r>
                        <m:t>Var</m:t>
                      </m:r>
                    </m:e>
                    <m:sub>
                      <m:r>
                        <m:t>I</m:t>
                      </m:r>
                    </m:sub>
                  </m:sSub>
                </m:e>
              </m:rad>
            </m:den>
          </m:f>
        </m:oMath>
      </m:oMathPara>
    </w:p>
    <w:p>
      <w:r>
        <w:rPr>
          <w:rFonts w:ascii="Times New Roman" w:hAnsi="Times New Roman"/>
          <w:b/>
          <w:color w:val="0D233A"/>
        </w:rPr>
        <w:t xml:space="preserve">Equation Parameter Deconstruction:
Where:
</w:t>
      </w:r>
      <w:r>
        <w:rPr>
          <w:rFonts w:ascii="Times New Roman" w:hAnsi="Times New Roman"/>
          <w:b/>
          <w:color w:val="9B2C2C"/>
        </w:rPr>
        <w:t xml:space="preserve">       E(I)    </w:t>
      </w:r>
      <w:r>
        <w:rPr>
          <w:rFonts w:ascii="Times New Roman" w:hAnsi="Times New Roman"/>
          <w:color w:val="111827"/>
        </w:rPr>
        <w:t xml:space="preserve">=  expected value of Moran's I under complete spatial randomness (CSR)
</w:t>
      </w:r>
      <w:r>
        <w:rPr>
          <w:rFonts w:ascii="Times New Roman" w:hAnsi="Times New Roman"/>
          <w:b/>
          <w:color w:val="9B2C2C"/>
        </w:rPr>
        <w:t xml:space="preserve">       Z_I     </w:t>
      </w:r>
      <w:r>
        <w:rPr>
          <w:rFonts w:ascii="Times New Roman" w:hAnsi="Times New Roman"/>
          <w:color w:val="111827"/>
        </w:rPr>
        <w:t xml:space="preserve">=  standardised Z-score for Moran's I (follows standard normal distribution under H₀)
</w:t>
      </w:r>
      <w:r>
        <w:rPr>
          <w:rFonts w:ascii="Times New Roman" w:hAnsi="Times New Roman"/>
          <w:b/>
          <w:color w:val="2B6CB0"/>
        </w:rPr>
        <w:t xml:space="preserve">       I       </w:t>
      </w:r>
      <w:r>
        <w:rPr>
          <w:rFonts w:ascii="Times New Roman" w:hAnsi="Times New Roman"/>
          <w:color w:val="111827"/>
        </w:rPr>
        <w:t xml:space="preserve">=  observed Global Moran's I value
</w:t>
      </w:r>
      <w:r>
        <w:rPr>
          <w:rFonts w:ascii="Times New Roman" w:hAnsi="Times New Roman"/>
          <w:b/>
          <w:color w:val="2B6CB0"/>
        </w:rPr>
        <w:t xml:space="preserve">       Var(I)  </w:t>
      </w:r>
      <w:r>
        <w:rPr>
          <w:rFonts w:ascii="Times New Roman" w:hAnsi="Times New Roman"/>
          <w:color w:val="111827"/>
        </w:rPr>
        <w:t xml:space="preserve">=  variance of Moran's I under the randomisation assumption
</w:t>
      </w:r>
      <w:r>
        <w:rPr>
          <w:rFonts w:ascii="Times New Roman" w:hAnsi="Times New Roman"/>
          <w:b/>
          <w:color w:val="2B6CB0"/>
        </w:rPr>
        <w:t xml:space="preserve">       N       </w:t>
      </w:r>
      <w:r>
        <w:rPr>
          <w:rFonts w:ascii="Times New Roman" w:hAnsi="Times New Roman"/>
          <w:color w:val="111827"/>
        </w:rPr>
        <w:t xml:space="preserve">=  total number of zones (N = 100)
</w:t>
      </w:r>
      <w:r>
        <w:rPr>
          <w:rFonts w:ascii="Times New Roman" w:hAnsi="Times New Roman"/>
          <w:b/>
          <w:color w:val="0D233A"/>
        </w:rPr>
        <w:t xml:space="preserve">Formal Hypothesis Testing Framework:
</w:t>
      </w:r>
      <w:r>
        <w:rPr>
          <w:rFonts w:ascii="Times New Roman" w:hAnsi="Times New Roman"/>
          <w:b/>
          <w:color w:val="9B2C2C"/>
        </w:rPr>
        <w:t xml:space="preserve">  H₀ (Null):        </w:t>
      </w:r>
      <w:r>
        <w:rPr>
          <w:rFonts w:ascii="Times New Roman" w:hAnsi="Times New Roman"/>
          <w:color w:val="111827"/>
        </w:rPr>
        <w:t xml:space="preserve">Complete Spatial Randomness — prevalence values are randomly distributed
</w:t>
      </w:r>
      <w:r>
        <w:rPr>
          <w:rFonts w:ascii="Times New Roman" w:hAnsi="Times New Roman"/>
          <w:color w:val="111827"/>
        </w:rPr>
        <w:t xml:space="preserve">                    </w:t>
      </w:r>
      <w:r>
        <w:rPr>
          <w:rFonts w:ascii="Times New Roman" w:hAnsi="Times New Roman"/>
          <w:color w:val="111827"/>
        </w:rPr>
        <w:t xml:space="preserve">with no spatial patterning;  Observed I = E(I)
</w:t>
      </w:r>
      <w:r>
        <w:rPr>
          <w:rFonts w:ascii="Times New Roman" w:hAnsi="Times New Roman"/>
          <w:b/>
          <w:color w:val="9B2C2C"/>
        </w:rPr>
        <w:t xml:space="preserve">  H₁ (Alternative): </w:t>
      </w:r>
      <w:r>
        <w:rPr>
          <w:rFonts w:ascii="Times New Roman" w:hAnsi="Times New Roman"/>
          <w:color w:val="111827"/>
        </w:rPr>
        <w:t xml:space="preserve">Significant spatial autocorrelation exists (clustering or dispersion);
</w:t>
      </w:r>
      <w:r>
        <w:rPr>
          <w:rFonts w:ascii="Times New Roman" w:hAnsi="Times New Roman"/>
          <w:color w:val="111827"/>
        </w:rPr>
        <w:t xml:space="preserve">                    </w:t>
      </w:r>
      <w:r>
        <w:rPr>
          <w:rFonts w:ascii="Times New Roman" w:hAnsi="Times New Roman"/>
          <w:color w:val="111827"/>
        </w:rPr>
        <w:t xml:space="preserve">Observed I ≠ E(I)
</w:t>
      </w:r>
      <w:r>
        <w:rPr>
          <w:rFonts w:ascii="Times New Roman" w:hAnsi="Times New Roman"/>
          <w:b/>
          <w:color w:val="0D233A"/>
        </w:rPr>
        <w:t xml:space="preserve">  Under H₀: </w:t>
      </w:r>
      <w:r>
        <w:rPr>
          <w:rFonts w:ascii="Times New Roman" w:hAnsi="Times New Roman"/>
          <w:color w:val="111827"/>
        </w:rPr>
        <w:t xml:space="preserve">  E(I) = −1 / (N−1) = −1 / 99 = </w:t>
      </w:r>
      <w:r>
        <w:rPr>
          <w:rFonts w:ascii="Times New Roman" w:hAnsi="Times New Roman"/>
          <w:b/>
          <w:color w:val="2F855A"/>
        </w:rPr>
        <w:t xml:space="preserve">−0.010101</w:t>
      </w:r>
      <w:r>
        <w:rPr>
          <w:rFonts w:ascii="Times New Roman" w:hAnsi="Times New Roman"/>
          <w:color w:val="111827"/>
        </w:rPr>
        <w:t xml:space="preserve">
</w:t>
      </w:r>
      <w:r>
        <w:rPr>
          <w:rFonts w:ascii="Times New Roman" w:hAnsi="Times New Roman"/>
          <w:b/>
          <w:color w:val="C05621"/>
        </w:rPr>
        <w:t xml:space="preserve">  Interpretation: </w:t>
      </w:r>
      <w:r>
        <w:rPr>
          <w:rFonts w:ascii="Times New Roman" w:hAnsi="Times New Roman"/>
          <w:color w:val="111827"/>
        </w:rPr>
        <w:t xml:space="preserve">A slight negative bias is inherent under complete randomness. Any observed I significantly above −0.010101 indicates positive spatial autocorrelation (clustering).</w:t>
      </w:r>
    </w:p>
    <w:p>
      <w:pPr>
        <w:pStyle w:val="Heading3"/>
      </w:pPr>
      <w:bookmarkStart w:name="Sec1.3.3" w:id="17"/>
      <w:r>
        <w:t>1.3.3 Computational Results</w:t>
      </w:r>
      <w:bookmarkEnd w:id="17"/>
    </w:p>
    <w:p>
      <w:r>
        <w:t>Based on the generated prevalence dataset, the computed Global Moran's I statistics are as follows:</w:t>
      </w:r>
    </w:p>
    <w:p>
      <w:pPr>
        <w:numPr>
          <w:ilvl w:val="0"/>
          <w:numId w:val="1"/>
        </w:numPr>
      </w:pPr>
      <w:r>
        <w:rPr>
          <w:b/>
          <w:color w:val="0D233A"/>
        </w:rPr>
        <w:t>Observed Moran's I value: </w:t>
      </w:r>
      <w:r>
        <w:t>0.360229</w:t>
      </w:r>
    </w:p>
    <w:p>
      <w:pPr>
        <w:numPr>
          <w:ilvl w:val="0"/>
          <w:numId w:val="1"/>
        </w:numPr>
      </w:pPr>
      <w:r>
        <w:rPr>
          <w:b/>
          <w:color w:val="0D233A"/>
        </w:rPr>
        <w:t>Expected value E(I): </w:t>
      </w:r>
      <w:r>
        <w:t>-0.010101</w:t>
      </w:r>
    </w:p>
    <w:p>
      <w:pPr>
        <w:numPr>
          <w:ilvl w:val="0"/>
          <w:numId w:val="1"/>
        </w:numPr>
      </w:pPr>
      <w:r>
        <w:rPr>
          <w:b/>
          <w:color w:val="0D233A"/>
        </w:rPr>
        <w:t>Standard Deviation Var(I)^0.5: </w:t>
      </w:r>
      <w:r>
        <w:t>0.0520</w:t>
      </w:r>
    </w:p>
    <w:p>
      <w:pPr>
        <w:numPr>
          <w:ilvl w:val="0"/>
          <w:numId w:val="1"/>
        </w:numPr>
      </w:pPr>
      <w:r>
        <w:rPr>
          <w:b/>
          <w:color w:val="0D233A"/>
        </w:rPr>
        <w:t>Calculated Standardized Z-score: </w:t>
      </w:r>
      <w:r>
        <w:t>7.126263</w:t>
      </w:r>
    </w:p>
    <w:p>
      <w:pPr>
        <w:numPr>
          <w:ilvl w:val="0"/>
          <w:numId w:val="1"/>
        </w:numPr>
      </w:pPr>
      <w:r>
        <w:rPr>
          <w:b/>
          <w:color w:val="0D233A"/>
        </w:rPr>
        <w:t>Asymptotic p-value: </w:t>
      </w:r>
      <w:r>
        <w:t>1.03e-12</w:t>
      </w:r>
    </w:p>
    <w:p>
      <w:r>
        <w:rPr>
          <w:rFonts w:ascii="Times New Roman" w:hAnsi="Times New Roman"/>
          <w:b/>
          <w:color w:val="0D233A"/>
        </w:rPr>
        <w:t xml:space="preserve">Step-by-Step Calculation Substitute — Z-Score for Moran's I:
</w:t>
      </w:r>
      <w:r>
        <w:rPr>
          <w:rFonts w:ascii="Times New Roman" w:hAnsi="Times New Roman"/>
          <w:color w:val="111827"/>
        </w:rPr>
        <w:t xml:space="preserve">  Given:    I = 0.360229,   E(I) = −0.010101,   SD(I) = √Var(I) = 0.0520
</w:t>
      </w:r>
      <w:r>
        <w:rPr>
          <w:rFonts w:ascii="Times New Roman" w:hAnsi="Times New Roman"/>
          <w:b/>
          <w:color w:val="0D233A"/>
        </w:rPr>
        <w:t xml:space="preserve">  Step 1:  </w:t>
      </w:r>
      <w:r>
        <w:rPr>
          <w:rFonts w:ascii="Times New Roman" w:hAnsi="Times New Roman"/>
          <w:color w:val="111827"/>
        </w:rPr>
        <w:t xml:space="preserve">Numerator deviation = I − E(I) = 0.360229 − (−0.010101) = </w:t>
      </w:r>
      <w:r>
        <w:rPr>
          <w:rFonts w:ascii="Times New Roman" w:hAnsi="Times New Roman"/>
          <w:b/>
          <w:color w:val="2F855A"/>
        </w:rPr>
        <w:t xml:space="preserve">0.370330
</w:t>
      </w:r>
      <w:r>
        <w:rPr>
          <w:rFonts w:ascii="Times New Roman" w:hAnsi="Times New Roman"/>
          <w:b/>
          <w:color w:val="0D233A"/>
        </w:rPr>
        <w:t xml:space="preserve">  Step 2:  </w:t>
      </w:r>
      <w:r>
        <w:rPr>
          <w:rFonts w:ascii="Times New Roman" w:hAnsi="Times New Roman"/>
          <w:color w:val="111827"/>
        </w:rPr>
        <w:t xml:space="preserve">Standard Error = √Var(I) = </w:t>
      </w:r>
      <w:r>
        <w:rPr>
          <w:rFonts w:ascii="Times New Roman" w:hAnsi="Times New Roman"/>
          <w:b/>
          <w:color w:val="2F855A"/>
        </w:rPr>
        <w:t xml:space="preserve">0.0520
</w:t>
      </w:r>
      <w:r>
        <w:rPr>
          <w:rFonts w:ascii="Times New Roman" w:hAnsi="Times New Roman"/>
          <w:b/>
          <w:color w:val="0D233A"/>
        </w:rPr>
        <w:t xml:space="preserve">  Step 3:  </w:t>
      </w:r>
      <w:r>
        <w:rPr>
          <w:rFonts w:ascii="Times New Roman" w:hAnsi="Times New Roman"/>
          <w:color w:val="111827"/>
        </w:rPr>
        <w:t xml:space="preserve">Z_I = 0.370330 / 0.0520 = </w:t>
      </w:r>
      <w:r>
        <w:rPr>
          <w:rFonts w:ascii="Times New Roman" w:hAnsi="Times New Roman"/>
          <w:b/>
          <w:color w:val="2F855A"/>
        </w:rPr>
        <w:t xml:space="preserve">7.1263
</w:t>
      </w:r>
      <w:r>
        <w:rPr>
          <w:rFonts w:ascii="Times New Roman" w:hAnsi="Times New Roman"/>
          <w:b/>
          <w:color w:val="2F855A"/>
        </w:rPr>
        <w:t xml:space="preserve">  Significance Analysis: </w:t>
      </w:r>
      <w:r>
        <w:rPr>
          <w:rFonts w:ascii="Times New Roman" w:hAnsi="Times New Roman"/>
          <w:color w:val="111827"/>
        </w:rPr>
        <w:t xml:space="preserve">Z_I = 7.13  &gt;  critical z = ±1.96  (α = 0.05, two-tailed)
</w:t>
      </w:r>
      <w:r>
        <w:rPr>
          <w:rFonts w:ascii="Times New Roman" w:hAnsi="Times New Roman"/>
          <w:b/>
          <w:color w:val="9B2C2C"/>
        </w:rPr>
        <w:t xml:space="preserve">  ∴ Reject H₀. </w:t>
      </w:r>
      <w:r>
        <w:rPr>
          <w:rFonts w:ascii="Times New Roman" w:hAnsi="Times New Roman"/>
          <w:color w:val="111827"/>
        </w:rPr>
        <w:t xml:space="preserve">p-value = 1.03 × 10⁻¹² &lt;&lt; 0.05.
</w:t>
      </w:r>
      <w:r>
        <w:rPr>
          <w:rFonts w:ascii="Times New Roman" w:hAnsi="Times New Roman"/>
          <w:b/>
          <w:color w:val="0D233A"/>
        </w:rPr>
        <w:t xml:space="preserve">  Conclusion: </w:t>
      </w:r>
      <w:r>
        <w:rPr>
          <w:rFonts w:ascii="Times New Roman" w:hAnsi="Times New Roman"/>
          <w:color w:val="111827"/>
        </w:rPr>
        <w:t xml:space="preserve">Highly significant positive spatial autocorrelation (clustering). Disease prevalence is NOT randomly distributed.</w:t>
      </w:r>
    </w:p>
    <w:p>
      <w:pPr>
        <w:pStyle w:val="Heading3"/>
      </w:pPr>
      <w:bookmarkStart w:name="Sec1.3.4" w:id="18"/>
      <w:r>
        <w:t>1.3.4 Moran Scatterplot Analysis</w:t>
      </w:r>
      <w:bookmarkEnd w:id="18"/>
    </w:p>
    <w:p>
      <w:r>
        <w:t>The Moran scatterplot in Figure 3 plots standardized prevalence (x-axis) against the spatial lag (average prevalence of neighbors, y-axis). The positive slope of the regression line (slope = 0.36) corresponds to the Global Moran's I statistic, indicating spatial clustering.</w:t>
      </w:r>
    </w:p>
    <w:p>
      <w:pPr>
        <w:keepNext/>
        <w:jc w:val="center"/>
        <w:spacing w:before="120" w:after="60"/>
      </w:pPr>
      <w:r>
        <w:drawing>
          <wp:inline xmlns:wp="http://schemas.openxmlformats.org/drawingml/2006/wordprocessingDrawing" distT="0" distB="0" distL="0" distR="0">
            <wp:extent cx="4320000" cy="3230883"/>
            <wp:effectExtent l="0" t="0" r="0" b="0"/>
            <wp:docPr id="13" name="Figure 3: Moran Scatter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Moran Scatterplot.png"/>
                    <pic:cNvPicPr/>
                  </pic:nvPicPr>
                  <pic:blipFill>
                    <a:blip xmlns:r="http://schemas.openxmlformats.org/officeDocument/2006/relationships" r:embed="Rd0bf562d8f684b39"/>
                    <a:stretch>
                      <a:fillRect/>
                    </a:stretch>
                  </pic:blipFill>
                  <pic:spPr>
                    <a:xfrm>
                      <a:off x="0" y="0"/>
                      <a:ext cx="4320000" cy="3230883"/>
                    </a:xfrm>
                    <a:prstGeom prst="rect"/>
                  </pic:spPr>
                </pic:pic>
              </a:graphicData>
            </a:graphic>
          </wp:inline>
        </w:drawing>
      </w:r>
    </w:p>
    <w:p>
      <w:pPr>
        <w:pStyle w:val="Caption"/>
      </w:pPr>
      <w:r>
        <w:t>Figure 3: Moran Scatterplot with Regression Line</w:t>
      </w:r>
    </w:p>
    <w:p>
      <w:r>
        <w:br w:type="page"/>
      </w:r>
    </w:p>
    <w:p>
      <w:pPr>
        <w:pStyle w:val="Heading2"/>
      </w:pPr>
      <w:bookmarkStart w:name="Sec1.4" w:id="19"/>
      <w:r>
        <w:t>1.4 Global Geary's C Statistic</w:t>
      </w:r>
      <w:bookmarkEnd w:id="19"/>
    </w:p>
    <w:p>
      <w:pPr>
        <w:pStyle w:val="Heading3"/>
      </w:pPr>
      <w:bookmarkStart w:name="Sec1.4.1" w:id="20"/>
      <w:r>
        <w:t>1.4.1 Mathematical Formulation</w:t>
      </w:r>
      <w:bookmarkEnd w:id="20"/>
    </w:p>
    <w:p>
      <w:r>
        <w:t>Geary's C is an alternative indicator of global spatial autocorrelation. While Moran's I focuses on cross-products of deviations from the mean, Geary's C measures the squared differences in attribute values between adjacent spatial units. The mathematical formula is defined as:</w:t>
      </w:r>
    </w:p>
    <w:p>
      <m:oMathPara xmlns:m="http://schemas.openxmlformats.org/officeDocument/2006/math">
        <m:oMath>
          <m:r>
            <m:t>C</m:t>
          </m:r>
          <m:r>
            <m:t>=</m:t>
          </m:r>
          <m:f>
            <m:num>
              <m:d>
                <m:dPr>
                  <m:begChr m:val="("/>
                  <m:endChr m:val=")"/>
                </m:dPr>
                <m:e>
                  <m:r>
                    <m:t>N</m:t>
                  </m:r>
                  <m:r>
                    <m:t>-</m:t>
                  </m:r>
                  <m:r>
                    <m:t>1</m:t>
                  </m:r>
                </m:e>
              </m:d>
            </m:num>
            <m:den>
              <m:r>
                <m:t>2</m:t>
              </m:r>
              <m:r>
                <m:t>·</m:t>
              </m:r>
              <m:sSub>
                <m:e>
                  <m:r>
                    <m:t>S</m:t>
                  </m:r>
                </m:e>
                <m:sub>
                  <m:r>
                    <m:t>0</m:t>
                  </m:r>
                </m:sub>
              </m:sSub>
            </m:den>
          </m:f>
          <m:r>
            <m:t>·</m:t>
          </m:r>
          <m:f>
            <m:num>
              <m:nary>
                <m:naryPr>
                  <m:chr m:val="∑"/>
                </m:naryPr>
                <m:sub>
                  <m:r>
                    <m:t>i=1</m:t>
                  </m:r>
                </m:sub>
                <m:sup>
                  <m:r>
                    <m:t>N</m:t>
                  </m:r>
                </m:sup>
                <m:e>
                  <m:nary>
                    <m:naryPr>
                      <m:chr m:val="∑"/>
                    </m:naryPr>
                    <m:sub>
                      <m:r>
                        <m:t>j=1</m:t>
                      </m:r>
                    </m:sub>
                    <m:sup>
                      <m:r>
                        <m:t>N</m:t>
                      </m:r>
                    </m:sup>
                    <m:e>
                      <m:sSub>
                        <m:e>
                          <m:r>
                            <m:t>w</m:t>
                          </m:r>
                        </m:e>
                        <m:sub>
                          <m:r>
                            <m:t>ij</m:t>
                          </m:r>
                        </m:sub>
                      </m:sSub>
                      <m:sSup>
                        <m:e>
                          <m:d>
                            <m:dPr>
                              <m:begChr m:val="("/>
                              <m:endChr m:val=")"/>
                            </m:dPr>
                            <m:e>
                              <m:sSub>
                                <m:e>
                                  <m:r>
                                    <m:t>x</m:t>
                                  </m:r>
                                </m:e>
                                <m:sub>
                                  <m:r>
                                    <m:t>i</m:t>
                                  </m:r>
                                </m:sub>
                              </m:sSub>
                              <m:r>
                                <m:t>-</m:t>
                              </m:r>
                              <m:sSub>
                                <m:e>
                                  <m:r>
                                    <m:t>x</m:t>
                                  </m:r>
                                </m:e>
                                <m:sub>
                                  <m:r>
                                    <m:t>j</m:t>
                                  </m:r>
                                </m:sub>
                              </m:sSub>
                            </m:e>
                          </m:d>
                        </m:e>
                        <m:sup>
                          <m:r>
                            <m:t>2</m:t>
                          </m:r>
                        </m:sup>
                      </m:sSup>
                    </m:e>
                  </m:nary>
                </m:e>
              </m:nary>
            </m:num>
            <m:den>
              <m:nary>
                <m:naryPr>
                  <m:chr m:val="∑"/>
                </m:naryPr>
                <m:sub>
                  <m:r>
                    <m:t>i=1</m:t>
                  </m:r>
                </m:sub>
                <m:sup>
                  <m:r>
                    <m:t>N</m:t>
                  </m:r>
                </m:sup>
                <m:e>
                  <m:sSup>
                    <m:e>
                      <m:d>
                        <m:dPr>
                          <m:begChr m:val="("/>
                          <m:endChr m:val=")"/>
                        </m:dPr>
                        <m:e>
                          <m:sSub>
                            <m:e>
                              <m:r>
                                <m:t>x</m:t>
                              </m:r>
                            </m:e>
                            <m:sub>
                              <m:r>
                                <m:t>i</m:t>
                              </m:r>
                            </m:sub>
                          </m:sSub>
                          <m:r>
                            <m:t>-</m:t>
                          </m:r>
                          <m:r>
                            <m:t>x̄</m:t>
                          </m:r>
                        </m:e>
                      </m:d>
                    </m:e>
                    <m:sup>
                      <m:r>
                        <m:t>2</m:t>
                      </m:r>
                    </m:sup>
                  </m:sSup>
                </m:e>
              </m:nary>
            </m:den>
          </m:f>
        </m:oMath>
      </m:oMathPara>
    </w:p>
    <w:p>
      <w:r>
        <w:rPr>
          <w:rFonts w:ascii="Times New Roman" w:hAnsi="Times New Roman"/>
          <w:b/>
          <w:color w:val="0D233A"/>
        </w:rPr>
        <w:t xml:space="preserve">Equation Parameter Deconstruction:
Where:
</w:t>
      </w:r>
      <w:r>
        <w:rPr>
          <w:rFonts w:ascii="Times New Roman" w:hAnsi="Times New Roman"/>
          <w:b/>
          <w:color w:val="9B2C2C"/>
        </w:rPr>
        <w:t xml:space="preserve">       C            </w:t>
      </w:r>
      <w:r>
        <w:rPr>
          <w:rFonts w:ascii="Times New Roman" w:hAnsi="Times New Roman"/>
          <w:color w:val="111827"/>
        </w:rPr>
        <w:t xml:space="preserve">=  Global Geary's C spatial autocorrelation statistic
</w:t>
      </w:r>
      <w:r>
        <w:rPr>
          <w:rFonts w:ascii="Times New Roman" w:hAnsi="Times New Roman"/>
          <w:b/>
          <w:color w:val="2B6CB0"/>
        </w:rPr>
        <w:t xml:space="preserve">       N            </w:t>
      </w:r>
      <w:r>
        <w:rPr>
          <w:rFonts w:ascii="Times New Roman" w:hAnsi="Times New Roman"/>
          <w:color w:val="111827"/>
        </w:rPr>
        <w:t xml:space="preserve">=  total number of zones (N = 100)
</w:t>
      </w:r>
      <w:r>
        <w:rPr>
          <w:rFonts w:ascii="Times New Roman" w:hAnsi="Times New Roman"/>
          <w:b/>
          <w:color w:val="2B6CB0"/>
        </w:rPr>
        <w:t xml:space="preserve">       S₀           </w:t>
      </w:r>
      <w:r>
        <w:rPr>
          <w:rFonts w:ascii="Times New Roman" w:hAnsi="Times New Roman"/>
          <w:color w:val="111827"/>
        </w:rPr>
        <w:t xml:space="preserve">=  sum of all spatial weights (S₀ = 684)
</w:t>
      </w:r>
      <w:r>
        <w:rPr>
          <w:rFonts w:ascii="Times New Roman" w:hAnsi="Times New Roman"/>
          <w:b/>
          <w:color w:val="2B6CB0"/>
        </w:rPr>
        <w:t xml:space="preserve">       x_i, x_j     </w:t>
      </w:r>
      <w:r>
        <w:rPr>
          <w:rFonts w:ascii="Times New Roman" w:hAnsi="Times New Roman"/>
          <w:color w:val="111827"/>
        </w:rPr>
        <w:t xml:space="preserve">=  attribute values (prevalence) at zone i and zone j respectively
</w:t>
      </w:r>
      <w:r>
        <w:rPr>
          <w:rFonts w:ascii="Times New Roman" w:hAnsi="Times New Roman"/>
          <w:b/>
          <w:color w:val="2B6CB0"/>
        </w:rPr>
        <w:t xml:space="preserve">(x_i − x_j)²        </w:t>
      </w:r>
      <w:r>
        <w:rPr>
          <w:rFonts w:ascii="Times New Roman" w:hAnsi="Times New Roman"/>
          <w:color w:val="111827"/>
        </w:rPr>
        <w:t xml:space="preserve">=  squared difference between adjacent cell values; measures local dissimilarity directly (unlike Moran's I which uses deviations from the mean)
</w:t>
      </w:r>
      <w:r>
        <w:rPr>
          <w:rFonts w:ascii="Times New Roman" w:hAnsi="Times New Roman"/>
          <w:b/>
          <w:color w:val="2B6CB0"/>
        </w:rPr>
        <w:t xml:space="preserve">       x̄            </w:t>
      </w:r>
      <w:r>
        <w:rPr>
          <w:rFonts w:ascii="Times New Roman" w:hAnsi="Times New Roman"/>
          <w:color w:val="111827"/>
        </w:rPr>
        <w:t xml:space="preserve">=  global mean prevalence (x̄ ≈ 13.911%)
</w:t>
      </w:r>
      <w:r>
        <w:rPr>
          <w:rFonts w:ascii="Times New Roman" w:hAnsi="Times New Roman"/>
          <w:b/>
          <w:color w:val="0D233A"/>
        </w:rPr>
        <w:t xml:space="preserve">       Numerator    </w:t>
      </w:r>
      <w:r>
        <w:rPr>
          <w:rFonts w:ascii="Times New Roman" w:hAnsi="Times New Roman"/>
          <w:color w:val="111827"/>
        </w:rPr>
        <w:t xml:space="preserve">=  weighted sum of squared local differences (local dissimilarity)
</w:t>
      </w:r>
      <w:r>
        <w:rPr>
          <w:rFonts w:ascii="Times New Roman" w:hAnsi="Times New Roman"/>
          <w:b/>
          <w:color w:val="0D233A"/>
        </w:rPr>
        <w:t xml:space="preserve">       Denominator  </w:t>
      </w:r>
      <w:r>
        <w:rPr>
          <w:rFonts w:ascii="Times New Roman" w:hAnsi="Times New Roman"/>
          <w:color w:val="111827"/>
        </w:rPr>
        <w:t xml:space="preserve">=  total global variance (sum of squared deviations from mean)</w:t>
      </w:r>
    </w:p>
    <w:p>
      <w:pPr>
        <w:pStyle w:val="Heading3"/>
      </w:pPr>
      <w:bookmarkStart w:name="Sec1.4.2" w:id="21"/>
      <w:r>
        <w:t>1.4.2 Interpretation Guide</w:t>
      </w:r>
      <w:bookmarkEnd w:id="21"/>
    </w:p>
    <w:p>
      <w:r>
        <w:t>The expected value of Geary's C under the null hypothesis of spatial randomness is 1.0. The index generally ranges between 0.0 and 2.0. An observed C value less than 1.0 indicates positive spatial autocorrelation (adjacent cells are similar). An observed C value greater than 1.0 indicates negative spatial autocorrelation (adjacent cells are dissimilar).</w:t>
      </w:r>
    </w:p>
    <w:p>
      <w:pPr>
        <w:pStyle w:val="Heading3"/>
      </w:pPr>
      <w:bookmarkStart w:name="Sec1.4.3" w:id="22"/>
      <w:r>
        <w:t>1.4.3 Computational Results</w:t>
      </w:r>
      <w:bookmarkEnd w:id="22"/>
    </w:p>
    <w:p>
      <w:r>
        <w:t>For our spatial prevalence grid, the computed Geary's C statistic is:</w:t>
      </w:r>
    </w:p>
    <w:p>
      <w:pPr>
        <w:numPr>
          <w:ilvl w:val="0"/>
          <w:numId w:val="1"/>
        </w:numPr>
      </w:pPr>
      <w:r>
        <w:rPr>
          <w:b/>
          <w:color w:val="0D233A"/>
        </w:rPr>
        <w:t>Observed Geary's C value: </w:t>
      </w:r>
      <w:r>
        <w:t>0.670308</w:t>
      </w:r>
    </w:p>
    <w:p>
      <w:pPr>
        <w:numPr>
          <w:ilvl w:val="0"/>
          <w:numId w:val="1"/>
        </w:numPr>
      </w:pPr>
      <w:r>
        <w:rPr>
          <w:b/>
          <w:color w:val="0D233A"/>
        </w:rPr>
        <w:t>Expected Geary's C value E(C): </w:t>
      </w:r>
      <w:r>
        <w:t>1.000000</w:t>
      </w:r>
    </w:p>
    <w:p>
      <w:pPr>
        <w:numPr>
          <w:ilvl w:val="0"/>
          <w:numId w:val="1"/>
        </w:numPr>
      </w:pPr>
      <w:r>
        <w:rPr>
          <w:b/>
          <w:color w:val="0D233A"/>
        </w:rPr>
        <w:t>Calculated Standardized Z-score: </w:t>
      </w:r>
      <w:r>
        <w:t>-6.352</w:t>
      </w:r>
    </w:p>
    <w:p>
      <w:pPr>
        <w:numPr>
          <w:ilvl w:val="0"/>
          <w:numId w:val="1"/>
        </w:numPr>
      </w:pPr>
      <w:r>
        <w:rPr>
          <w:b/>
          <w:color w:val="0D233A"/>
        </w:rPr>
        <w:t>p-value: </w:t>
      </w:r>
      <w:r>
        <w:t>1.12e-10</w:t>
      </w:r>
    </w:p>
    <w:p>
      <w:r>
        <w:rPr>
          <w:rFonts w:ascii="Times New Roman" w:hAnsi="Times New Roman"/>
          <w:b/>
          <w:color w:val="0D233A"/>
        </w:rPr>
        <w:t xml:space="preserve">Step-by-Step Calculation Substitute — Z-Score for Geary's C:
</w:t>
      </w:r>
      <w:r>
        <w:rPr>
          <w:rFonts w:ascii="Times New Roman" w:hAnsi="Times New Roman"/>
          <w:color w:val="111827"/>
        </w:rPr>
        <w:t xml:space="preserve">  Given:    C = 0.670308,   E(C) = 1.000000,   SD(C) = 0.051904
</w:t>
      </w:r>
      <w:r>
        <w:rPr>
          <w:rFonts w:ascii="Times New Roman" w:hAnsi="Times New Roman"/>
          <w:b/>
          <w:color w:val="0D233A"/>
        </w:rPr>
        <w:t xml:space="preserve">  Step 1:  </w:t>
      </w:r>
      <w:r>
        <w:rPr>
          <w:rFonts w:ascii="Times New Roman" w:hAnsi="Times New Roman"/>
          <w:color w:val="111827"/>
        </w:rPr>
        <w:t xml:space="preserve">Numerator deviation = C − E(C) = 0.670308 − 1.000000 = </w:t>
      </w:r>
      <w:r>
        <w:rPr>
          <w:rFonts w:ascii="Times New Roman" w:hAnsi="Times New Roman"/>
          <w:b/>
          <w:color w:val="2F855A"/>
        </w:rPr>
        <w:t xml:space="preserve">−0.329692
</w:t>
      </w:r>
      <w:r>
        <w:rPr>
          <w:rFonts w:ascii="Times New Roman" w:hAnsi="Times New Roman"/>
          <w:b/>
          <w:color w:val="0D233A"/>
        </w:rPr>
        <w:t xml:space="preserve">  Step 2:  </w:t>
      </w:r>
      <w:r>
        <w:rPr>
          <w:rFonts w:ascii="Times New Roman" w:hAnsi="Times New Roman"/>
          <w:color w:val="111827"/>
        </w:rPr>
        <w:t xml:space="preserve">Standard Error = SD(C) = </w:t>
      </w:r>
      <w:r>
        <w:rPr>
          <w:rFonts w:ascii="Times New Roman" w:hAnsi="Times New Roman"/>
          <w:b/>
          <w:color w:val="2F855A"/>
        </w:rPr>
        <w:t xml:space="preserve">0.051904
</w:t>
      </w:r>
      <w:r>
        <w:rPr>
          <w:rFonts w:ascii="Times New Roman" w:hAnsi="Times New Roman"/>
          <w:b/>
          <w:color w:val="0D233A"/>
        </w:rPr>
        <w:t xml:space="preserve">  Step 3:  </w:t>
      </w:r>
      <w:r>
        <w:rPr>
          <w:rFonts w:ascii="Times New Roman" w:hAnsi="Times New Roman"/>
          <w:color w:val="111827"/>
        </w:rPr>
        <w:t xml:space="preserve">Z_C = −0.329692 / 0.051904 = </w:t>
      </w:r>
      <w:r>
        <w:rPr>
          <w:rFonts w:ascii="Times New Roman" w:hAnsi="Times New Roman"/>
          <w:b/>
          <w:color w:val="2F855A"/>
        </w:rPr>
        <w:t xml:space="preserve">−6.352
</w:t>
      </w:r>
      <w:r>
        <w:rPr>
          <w:rFonts w:ascii="Times New Roman" w:hAnsi="Times New Roman"/>
          <w:b/>
          <w:color w:val="2F855A"/>
        </w:rPr>
        <w:t xml:space="preserve">  Significance Analysis: </w:t>
      </w:r>
      <w:r>
        <w:rPr>
          <w:rFonts w:ascii="Times New Roman" w:hAnsi="Times New Roman"/>
          <w:color w:val="111827"/>
        </w:rPr>
        <w:t xml:space="preserve">Z_C = −6.352  &lt;  critical z = −1.96  (α = 0.05, two-tailed)
</w:t>
      </w:r>
      <w:r>
        <w:rPr>
          <w:rFonts w:ascii="Times New Roman" w:hAnsi="Times New Roman"/>
          <w:b/>
          <w:color w:val="9B2C2C"/>
        </w:rPr>
        <w:t xml:space="preserve">  ∴ Reject H₀. </w:t>
      </w:r>
      <w:r>
        <w:rPr>
          <w:rFonts w:ascii="Times New Roman" w:hAnsi="Times New Roman"/>
          <w:color w:val="111827"/>
        </w:rPr>
        <w:t xml:space="preserve">p-value = 1.12 × 10⁻¹⁰ &lt;&lt; 0.05.
</w:t>
      </w:r>
      <w:r>
        <w:rPr>
          <w:rFonts w:ascii="Times New Roman" w:hAnsi="Times New Roman"/>
          <w:b/>
          <w:color w:val="0D233A"/>
        </w:rPr>
        <w:t xml:space="preserve">  Conclusion: </w:t>
      </w:r>
      <w:r>
        <w:rPr>
          <w:rFonts w:ascii="Times New Roman" w:hAnsi="Times New Roman"/>
          <w:color w:val="111827"/>
        </w:rPr>
        <w:t xml:space="preserve">C &lt; 1.0 confirms strong positive spatial autocorrelation. Adjacent cells exhibit high similarity in disease prevalence.</w:t>
      </w:r>
    </w:p>
    <w:p>
      <w:pPr>
        <w:pStyle w:val="Heading3"/>
      </w:pPr>
      <w:bookmarkStart w:name="Sec1.4.4" w:id="23"/>
      <w:r>
        <w:t>1.4.4 Comparison: Moran's I vs. Geary's C</w:t>
      </w:r>
      <w:bookmarkEnd w:id="23"/>
    </w:p>
    <w:p>
      <w:r>
        <w:t>Moran's I and Geary's C are mathematically related but capture different facets of spatial association. Table 2 summarizes their structural and conceptual differences.</w:t>
      </w:r>
    </w:p>
    <w:tbl>
      <w:tblPr>
        <w:tblW w:w="5000" w:type="pct"/>
        <w:tblBorders>
          <w:top w:val="single" w:color="0D233A" w:sz="12"/>
          <w:left w:val="nil"/>
          <w:bottom w:val="single" w:color="0D233A" w:sz="12"/>
          <w:right w:val="nil"/>
          <w:insideH w:val="single" w:color="D1D5DB" w:sz="4"/>
          <w:insideV w:val="nil"/>
        </w:tblBorders>
      </w:tblPr>
      <w:tblGrid>
        <w:gridCol w:w="2000"/>
        <w:gridCol w:w="4000"/>
        <w:gridCol w:w="4000"/>
      </w:tblGrid>
      <w:tr>
        <w:trPr>
          <w:tblHeader/>
        </w:trPr>
        <w:tc>
          <w:tcPr>
            <w:tcW w:w="0" w:type="auto"/>
            <w:shd w:val="clear" w:fill="F3F4F6"/>
          </w:tcPr>
          <w:p>
            <w:pPr>
              <w:jc w:val="center"/>
              <w:spacing w:before="60" w:after="60"/>
            </w:pPr>
            <w:r>
              <w:rPr>
                <w:sz w:val="20"/>
                <w:color w:val="111827"/>
                <w:b/>
              </w:rPr>
              <w:t>Property</w:t>
            </w:r>
          </w:p>
        </w:tc>
        <w:tc>
          <w:tcPr>
            <w:tcW w:w="0" w:type="auto"/>
            <w:shd w:val="clear" w:fill="F3F4F6"/>
          </w:tcPr>
          <w:p>
            <w:pPr>
              <w:jc w:val="center"/>
              <w:spacing w:before="60" w:after="60"/>
            </w:pPr>
            <w:r>
              <w:rPr>
                <w:sz w:val="20"/>
                <w:color w:val="111827"/>
                <w:b/>
              </w:rPr>
              <w:t>Global Moran's I</w:t>
            </w:r>
          </w:p>
        </w:tc>
        <w:tc>
          <w:tcPr>
            <w:tcW w:w="0" w:type="auto"/>
            <w:shd w:val="clear" w:fill="F3F4F6"/>
          </w:tcPr>
          <w:p>
            <w:pPr>
              <w:jc w:val="center"/>
              <w:spacing w:before="60" w:after="60"/>
            </w:pPr>
            <w:r>
              <w:rPr>
                <w:sz w:val="20"/>
                <w:color w:val="111827"/>
                <w:b/>
              </w:rPr>
              <w:t>Global Geary's C</w:t>
            </w:r>
          </w:p>
        </w:tc>
      </w:tr>
      <w:tr>
        <w:tc>
          <w:tcPr>
            <w:tcW w:w="0" w:type="auto"/>
          </w:tcPr>
          <w:p>
            <w:pPr>
              <w:jc w:val="center"/>
              <w:spacing w:before="60" w:after="60"/>
            </w:pPr>
            <w:r>
              <w:rPr>
                <w:sz w:val="20"/>
                <w:color w:val="111827"/>
              </w:rPr>
              <w:t>Primary Focus</w:t>
            </w:r>
          </w:p>
        </w:tc>
        <w:tc>
          <w:tcPr>
            <w:tcW w:w="0" w:type="auto"/>
          </w:tcPr>
          <w:p>
            <w:pPr>
              <w:jc w:val="center"/>
              <w:spacing w:before="60" w:after="60"/>
            </w:pPr>
            <w:r>
              <w:rPr>
                <w:sz w:val="20"/>
                <w:color w:val="111827"/>
              </w:rPr>
              <w:t>Deviations from global mean</w:t>
            </w:r>
          </w:p>
        </w:tc>
        <w:tc>
          <w:tcPr>
            <w:tcW w:w="0" w:type="auto"/>
          </w:tcPr>
          <w:p>
            <w:pPr>
              <w:jc w:val="center"/>
              <w:spacing w:before="60" w:after="60"/>
            </w:pPr>
            <w:r>
              <w:rPr>
                <w:sz w:val="20"/>
                <w:color w:val="111827"/>
              </w:rPr>
              <w:t>Squared differences between adjacent cells</w:t>
            </w:r>
          </w:p>
        </w:tc>
      </w:tr>
      <w:tr>
        <w:tc>
          <w:tcPr>
            <w:tcW w:w="0" w:type="auto"/>
          </w:tcPr>
          <w:p>
            <w:pPr>
              <w:jc w:val="center"/>
              <w:spacing w:before="60" w:after="60"/>
            </w:pPr>
            <w:r>
              <w:rPr>
                <w:sz w:val="20"/>
                <w:color w:val="111827"/>
              </w:rPr>
              <w:t>Scale/Range</w:t>
            </w:r>
          </w:p>
        </w:tc>
        <w:tc>
          <w:tcPr>
            <w:tcW w:w="0" w:type="auto"/>
          </w:tcPr>
          <w:p>
            <w:pPr>
              <w:jc w:val="center"/>
              <w:spacing w:before="60" w:after="60"/>
            </w:pPr>
            <w:r>
              <w:rPr>
                <w:sz w:val="20"/>
                <w:color w:val="111827"/>
              </w:rPr>
              <w:t>Normally between -1.0 and +1.0</w:t>
            </w:r>
          </w:p>
        </w:tc>
        <w:tc>
          <w:tcPr>
            <w:tcW w:w="0" w:type="auto"/>
          </w:tcPr>
          <w:p>
            <w:pPr>
              <w:jc w:val="center"/>
              <w:spacing w:before="60" w:after="60"/>
            </w:pPr>
            <w:r>
              <w:rPr>
                <w:sz w:val="20"/>
                <w:color w:val="111827"/>
              </w:rPr>
              <w:t>Normally between 0.0 and 2.0</w:t>
            </w:r>
          </w:p>
        </w:tc>
      </w:tr>
      <w:tr>
        <w:tc>
          <w:tcPr>
            <w:tcW w:w="0" w:type="auto"/>
          </w:tcPr>
          <w:p>
            <w:pPr>
              <w:jc w:val="center"/>
              <w:spacing w:before="60" w:after="60"/>
            </w:pPr>
            <w:r>
              <w:rPr>
                <w:sz w:val="20"/>
                <w:color w:val="111827"/>
              </w:rPr>
              <w:t>Random Expected</w:t>
            </w:r>
          </w:p>
        </w:tc>
        <w:tc>
          <w:tcPr>
            <w:tcW w:w="0" w:type="auto"/>
          </w:tcPr>
          <w:p>
            <w:pPr>
              <w:jc w:val="center"/>
              <w:spacing w:before="60" w:after="60"/>
            </w:pPr>
            <w:r>
              <w:rPr>
                <w:sz w:val="20"/>
                <w:color w:val="111827"/>
              </w:rPr>
              <w:t>E(I) = -1/(N-1) (-0.01 for N=100)</w:t>
            </w:r>
          </w:p>
        </w:tc>
        <w:tc>
          <w:tcPr>
            <w:tcW w:w="0" w:type="auto"/>
          </w:tcPr>
          <w:p>
            <w:pPr>
              <w:jc w:val="center"/>
              <w:spacing w:before="60" w:after="60"/>
            </w:pPr>
            <w:r>
              <w:rPr>
                <w:sz w:val="20"/>
                <w:color w:val="111827"/>
              </w:rPr>
              <w:t>E(C) = 1.0</w:t>
            </w:r>
          </w:p>
        </w:tc>
      </w:tr>
      <w:tr>
        <w:tc>
          <w:tcPr>
            <w:tcW w:w="0" w:type="auto"/>
          </w:tcPr>
          <w:p>
            <w:pPr>
              <w:jc w:val="center"/>
              <w:spacing w:before="60" w:after="60"/>
            </w:pPr>
            <w:r>
              <w:rPr>
                <w:sz w:val="20"/>
                <w:color w:val="111827"/>
              </w:rPr>
              <w:t>Positive Auto</w:t>
            </w:r>
          </w:p>
        </w:tc>
        <w:tc>
          <w:tcPr>
            <w:tcW w:w="0" w:type="auto"/>
          </w:tcPr>
          <w:p>
            <w:pPr>
              <w:jc w:val="center"/>
              <w:spacing w:before="60" w:after="60"/>
            </w:pPr>
            <w:r>
              <w:rPr>
                <w:sz w:val="20"/>
                <w:color w:val="111827"/>
              </w:rPr>
              <w:t>I &gt; E(I) (value is positive)</w:t>
            </w:r>
          </w:p>
        </w:tc>
        <w:tc>
          <w:tcPr>
            <w:tcW w:w="0" w:type="auto"/>
          </w:tcPr>
          <w:p>
            <w:pPr>
              <w:jc w:val="center"/>
              <w:spacing w:before="60" w:after="60"/>
            </w:pPr>
            <w:r>
              <w:rPr>
                <w:sz w:val="20"/>
                <w:color w:val="111827"/>
              </w:rPr>
              <w:t>C &lt; 1.0 (value is less than 1.0)</w:t>
            </w:r>
          </w:p>
        </w:tc>
      </w:tr>
      <w:tr>
        <w:tc>
          <w:tcPr>
            <w:tcW w:w="0" w:type="auto"/>
          </w:tcPr>
          <w:p>
            <w:pPr>
              <w:jc w:val="center"/>
              <w:spacing w:before="60" w:after="60"/>
            </w:pPr>
            <w:r>
              <w:rPr>
                <w:sz w:val="20"/>
                <w:color w:val="111827"/>
              </w:rPr>
              <w:t>Negative Auto</w:t>
            </w:r>
          </w:p>
        </w:tc>
        <w:tc>
          <w:tcPr>
            <w:tcW w:w="0" w:type="auto"/>
          </w:tcPr>
          <w:p>
            <w:pPr>
              <w:jc w:val="center"/>
              <w:spacing w:before="60" w:after="60"/>
            </w:pPr>
            <w:r>
              <w:rPr>
                <w:sz w:val="20"/>
                <w:color w:val="111827"/>
              </w:rPr>
              <w:t>I &lt; E(I) (value is negative)</w:t>
            </w:r>
          </w:p>
        </w:tc>
        <w:tc>
          <w:tcPr>
            <w:tcW w:w="0" w:type="auto"/>
          </w:tcPr>
          <w:p>
            <w:pPr>
              <w:jc w:val="center"/>
              <w:spacing w:before="60" w:after="60"/>
            </w:pPr>
            <w:r>
              <w:rPr>
                <w:sz w:val="20"/>
                <w:color w:val="111827"/>
              </w:rPr>
              <w:t>C &gt; 1.0 (value is greater than 1.0)</w:t>
            </w:r>
          </w:p>
        </w:tc>
      </w:tr>
      <w:tr>
        <w:tc>
          <w:tcPr>
            <w:tcW w:w="0" w:type="auto"/>
          </w:tcPr>
          <w:p>
            <w:pPr>
              <w:jc w:val="center"/>
              <w:spacing w:before="60" w:after="60"/>
            </w:pPr>
            <w:r>
              <w:rPr>
                <w:sz w:val="20"/>
                <w:color w:val="111827"/>
              </w:rPr>
              <w:t>Sensitivity</w:t>
            </w:r>
          </w:p>
        </w:tc>
        <w:tc>
          <w:tcPr>
            <w:tcW w:w="0" w:type="auto"/>
          </w:tcPr>
          <w:p>
            <w:pPr>
              <w:jc w:val="center"/>
              <w:spacing w:before="60" w:after="60"/>
            </w:pPr>
            <w:r>
              <w:rPr>
                <w:sz w:val="20"/>
                <w:color w:val="111827"/>
              </w:rPr>
              <w:t>Sensitive to global trends and patterns</w:t>
            </w:r>
          </w:p>
        </w:tc>
        <w:tc>
          <w:tcPr>
            <w:tcW w:w="0" w:type="auto"/>
          </w:tcPr>
          <w:p>
            <w:pPr>
              <w:jc w:val="center"/>
              <w:spacing w:before="60" w:after="60"/>
            </w:pPr>
            <w:r>
              <w:rPr>
                <w:sz w:val="20"/>
                <w:color w:val="111827"/>
              </w:rPr>
              <w:t>Highly sensitive to local variations and anomalies</w:t>
            </w:r>
          </w:p>
        </w:tc>
      </w:tr>
    </w:tbl>
    <w:p>
      <w:pPr>
        <w:pStyle w:val="Heading3"/>
      </w:pPr>
      <w:bookmarkStart w:name="Sec1.4.5" w:id="24"/>
      <w:r>
        <w:t>1.4.5 Local Geary Index Map</w:t>
      </w:r>
      <w:bookmarkEnd w:id="24"/>
    </w:p>
    <w:p>
      <w:r>
        <w:t>Figure 4 displays the spatial distribution of the Local Geary index. Low values (cool colors) indicate locations where adjacent cells are highly similar, highlighting the primary disease hotspot. High values (warm colors) indicate zones of transition where adjacent cells are dissimilar.</w:t>
      </w:r>
    </w:p>
    <w:p>
      <w:pPr>
        <w:keepNext/>
        <w:jc w:val="center"/>
        <w:spacing w:before="120" w:after="60"/>
      </w:pPr>
      <w:r>
        <w:drawing>
          <wp:inline xmlns:wp="http://schemas.openxmlformats.org/drawingml/2006/wordprocessingDrawing" distT="0" distB="0" distL="0" distR="0">
            <wp:extent cx="4320000" cy="3920496"/>
            <wp:effectExtent l="0" t="0" r="0" b="0"/>
            <wp:docPr id="14" name="Figure 4: Local Gear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 Local Geary Map.png"/>
                    <pic:cNvPicPr/>
                  </pic:nvPicPr>
                  <pic:blipFill>
                    <a:blip xmlns:r="http://schemas.openxmlformats.org/officeDocument/2006/relationships" r:embed="Rb8dfe71950cb45c8"/>
                    <a:stretch>
                      <a:fillRect/>
                    </a:stretch>
                  </pic:blipFill>
                  <pic:spPr>
                    <a:xfrm>
                      <a:off x="0" y="0"/>
                      <a:ext cx="4320000" cy="3920496"/>
                    </a:xfrm>
                    <a:prstGeom prst="rect"/>
                  </pic:spPr>
                </pic:pic>
              </a:graphicData>
            </a:graphic>
          </wp:inline>
        </w:drawing>
      </w:r>
    </w:p>
    <w:p>
      <w:pPr>
        <w:pStyle w:val="Caption"/>
      </w:pPr>
      <w:r>
        <w:t>Figure 4: Local Geary Index Map</w:t>
      </w:r>
    </w:p>
    <w:p>
      <w:r>
        <w:br w:type="page"/>
      </w:r>
    </w:p>
    <w:p>
      <w:pPr>
        <w:pStyle w:val="Heading2"/>
      </w:pPr>
      <w:bookmarkStart w:name="Sec1.5" w:id="25"/>
      <w:r>
        <w:t>1.5 Local Indicators of Spatial Association (LISA)</w:t>
      </w:r>
      <w:bookmarkEnd w:id="25"/>
    </w:p>
    <w:p>
      <w:pPr>
        <w:pStyle w:val="Heading3"/>
      </w:pPr>
      <w:bookmarkStart w:name="Sec1.5.1" w:id="26"/>
      <w:r>
        <w:t>1.5.1 Local Moran's I Formula</w:t>
      </w:r>
      <w:bookmarkEnd w:id="26"/>
    </w:p>
    <w:p>
      <w:r>
        <w:t>Global statistics summarize the entire study region with a single value, potentially masking local variations. Anselin (1995) introduced Local Indicators of Spatial Association (LISA) to measure the strength of spatial association at each individual observation point. The equation for Local Moran's I is defined as:</w:t>
      </w:r>
    </w:p>
    <w:p>
      <m:oMathPara xmlns:m="http://schemas.openxmlformats.org/officeDocument/2006/math">
        <m:oMath>
          <m:sSub>
            <m:e>
              <m:r>
                <m:t>I</m:t>
              </m:r>
            </m:e>
            <m:sub>
              <m:r>
                <m:t>i</m:t>
              </m:r>
            </m:sub>
          </m:sSub>
          <m:r>
            <m:t>=</m:t>
          </m:r>
          <m:f>
            <m:num>
              <m:sSub>
                <m:e>
                  <m:r>
                    <m:t>z</m:t>
                  </m:r>
                </m:e>
                <m:sub>
                  <m:r>
                    <m:t>i</m:t>
                  </m:r>
                </m:sub>
              </m:sSub>
            </m:num>
            <m:den>
              <m:sSub>
                <m:e>
                  <m:r>
                    <m:t>m</m:t>
                  </m:r>
                </m:e>
                <m:sub>
                  <m:r>
                    <m:t>2</m:t>
                  </m:r>
                </m:sub>
              </m:sSub>
            </m:den>
          </m:f>
          <m:r>
            <m:t>·</m:t>
          </m:r>
          <m:nary>
            <m:naryPr>
              <m:chr m:val="∑"/>
            </m:naryPr>
            <m:sub>
              <m:r>
                <m:t>j=1</m:t>
              </m:r>
            </m:sub>
            <m:sup>
              <m:r>
                <m:t>N</m:t>
              </m:r>
            </m:sup>
            <m:e>
              <m:sSub>
                <m:e>
                  <m:r>
                    <m:t>w</m:t>
                  </m:r>
                </m:e>
                <m:sub>
                  <m:r>
                    <m:t>ij</m:t>
                  </m:r>
                </m:sub>
              </m:sSub>
              <m:sSub>
                <m:e>
                  <m:r>
                    <m:t>z</m:t>
                  </m:r>
                </m:e>
                <m:sub>
                  <m:r>
                    <m:t>j</m:t>
                  </m:r>
                </m:sub>
              </m:sSub>
            </m:e>
          </m:nary>
        </m:oMath>
      </m:oMathPara>
    </w:p>
    <w:p>
      <w:r>
        <w:t>where z_i and z_j represent deviations from the global mean, and m_2 is the variance:</w:t>
      </w:r>
    </w:p>
    <w:p>
      <m:oMathPara xmlns:m="http://schemas.openxmlformats.org/officeDocument/2006/math">
        <m:oMath>
          <m:sSub>
            <m:e>
              <m:r>
                <m:t>z</m:t>
              </m:r>
            </m:e>
            <m:sub>
              <m:r>
                <m:t>i</m:t>
              </m:r>
            </m:sub>
          </m:sSub>
          <m:r>
            <m:t>=</m:t>
          </m:r>
          <m:sSub>
            <m:e>
              <m:r>
                <m:t>x</m:t>
              </m:r>
            </m:e>
            <m:sub>
              <m:r>
                <m:t>i</m:t>
              </m:r>
            </m:sub>
          </m:sSub>
          <m:r>
            <m:t>-</m:t>
          </m:r>
          <m:r>
            <m:t>x̄</m:t>
          </m:r>
          <m:r>
            <m:t>,       </m:t>
          </m:r>
          <m:sSub>
            <m:e>
              <m:r>
                <m:t>m</m:t>
              </m:r>
            </m:e>
            <m:sub>
              <m:r>
                <m:t>2</m:t>
              </m:r>
            </m:sub>
          </m:sSub>
          <m:r>
            <m:t>=</m:t>
          </m:r>
          <m:f>
            <m:num>
              <m:nary>
                <m:naryPr>
                  <m:chr m:val="∑"/>
                </m:naryPr>
                <m:sub>
                  <m:r>
                    <m:t>i=1</m:t>
                  </m:r>
                </m:sub>
                <m:sup>
                  <m:r>
                    <m:t>N</m:t>
                  </m:r>
                </m:sup>
                <m:e>
                  <m:sSup>
                    <m:e>
                      <m:sSub>
                        <m:e>
                          <m:r>
                            <m:t>z</m:t>
                          </m:r>
                        </m:e>
                        <m:sub>
                          <m:r>
                            <m:t>i</m:t>
                          </m:r>
                        </m:sub>
                      </m:sSub>
                    </m:e>
                    <m:sup>
                      <m:r>
                        <m:t>2</m:t>
                      </m:r>
                    </m:sup>
                  </m:sSup>
                </m:e>
              </m:nary>
            </m:num>
            <m:den>
              <m:r>
                <m:t>N</m:t>
              </m:r>
            </m:den>
          </m:f>
        </m:oMath>
      </m:oMathPara>
    </w:p>
    <w:p>
      <w:r>
        <w:rPr>
          <w:rFonts w:ascii="Times New Roman" w:hAnsi="Times New Roman"/>
          <w:b/>
          <w:color w:val="0D233A"/>
        </w:rPr>
        <w:t xml:space="preserve">Equation Parameter Deconstruction:
Where:
</w:t>
      </w:r>
      <w:r>
        <w:rPr>
          <w:rFonts w:ascii="Times New Roman" w:hAnsi="Times New Roman"/>
          <w:b/>
          <w:color w:val="9B2C2C"/>
        </w:rPr>
        <w:t xml:space="preserve">       I_i      </w:t>
      </w:r>
      <w:r>
        <w:rPr>
          <w:rFonts w:ascii="Times New Roman" w:hAnsi="Times New Roman"/>
          <w:color w:val="111827"/>
        </w:rPr>
        <w:t xml:space="preserve">=  Local Moran's I value for zone i; indicates direction and intensity of local spatial association
</w:t>
      </w:r>
      <w:r>
        <w:rPr>
          <w:rFonts w:ascii="Times New Roman" w:hAnsi="Times New Roman"/>
          <w:b/>
          <w:color w:val="2B6CB0"/>
        </w:rPr>
        <w:t xml:space="preserve">       z_i      </w:t>
      </w:r>
      <w:r>
        <w:rPr>
          <w:rFonts w:ascii="Times New Roman" w:hAnsi="Times New Roman"/>
          <w:color w:val="111827"/>
        </w:rPr>
        <w:t xml:space="preserve">=  standardised deviation of zone i from the global mean:  z_i = x_i − x̄
</w:t>
      </w:r>
      <w:r>
        <w:rPr>
          <w:rFonts w:ascii="Times New Roman" w:hAnsi="Times New Roman"/>
          <w:b/>
          <w:color w:val="2B6CB0"/>
        </w:rPr>
        <w:t xml:space="preserve">       z_j      </w:t>
      </w:r>
      <w:r>
        <w:rPr>
          <w:rFonts w:ascii="Times New Roman" w:hAnsi="Times New Roman"/>
          <w:color w:val="111827"/>
        </w:rPr>
        <w:t xml:space="preserve">=  standardised deviation of neighbour zone j:  z_j = x_j − x̄
</w:t>
      </w:r>
      <w:r>
        <w:rPr>
          <w:rFonts w:ascii="Times New Roman" w:hAnsi="Times New Roman"/>
          <w:b/>
          <w:color w:val="2B6CB0"/>
        </w:rPr>
        <w:t xml:space="preserve">       w_ij     </w:t>
      </w:r>
      <w:r>
        <w:rPr>
          <w:rFonts w:ascii="Times New Roman" w:hAnsi="Times New Roman"/>
          <w:color w:val="111827"/>
        </w:rPr>
        <w:t xml:space="preserve">=  row-standardised spatial weight between zone i and zone j
</w:t>
      </w:r>
      <w:r>
        <w:rPr>
          <w:rFonts w:ascii="Times New Roman" w:hAnsi="Times New Roman"/>
          <w:b/>
          <w:color w:val="2B6CB0"/>
        </w:rPr>
        <w:t xml:space="preserve">       m₂       </w:t>
      </w:r>
      <w:r>
        <w:rPr>
          <w:rFonts w:ascii="Times New Roman" w:hAnsi="Times New Roman"/>
          <w:color w:val="111827"/>
        </w:rPr>
        <w:t xml:space="preserve">=  sample variance (mean of squared deviations):  m₂ = (Σ z_i²) / N
</w:t>
      </w:r>
      <w:r>
        <w:rPr>
          <w:rFonts w:ascii="Times New Roman" w:hAnsi="Times New Roman"/>
          <w:b/>
          <w:color w:val="0D233A"/>
        </w:rPr>
        <w:t xml:space="preserve">  Σ_j w_ij·z_j  </w:t>
      </w:r>
      <w:r>
        <w:rPr>
          <w:rFonts w:ascii="Times New Roman" w:hAnsi="Times New Roman"/>
          <w:color w:val="111827"/>
        </w:rPr>
        <w:t xml:space="preserve">=  spatial lag — the weighted average deviation of all neighbours of zone i</w:t>
      </w:r>
    </w:p>
    <w:p>
      <w:pPr>
        <w:pStyle w:val="Heading3"/>
      </w:pPr>
      <w:bookmarkStart w:name="Sec1.5.2" w:id="27"/>
      <w:r>
        <w:t>1.5.2 Cluster Classification</w:t>
      </w:r>
      <w:bookmarkEnd w:id="27"/>
    </w:p>
    <w:p>
      <w:r>
        <w:t>LISA analysis classifies each spatial zone into one of four distinct clusters, which correspond to the four quadrants of the Moran scatterplot:</w:t>
      </w:r>
    </w:p>
    <w:p>
      <w:pPr>
        <w:numPr>
          <w:ilvl w:val="0"/>
          <w:numId w:val="1"/>
        </w:numPr>
      </w:pPr>
      <w:r>
        <w:rPr>
          <w:b/>
          <w:color w:val="0D233A"/>
        </w:rPr>
        <w:t>High-High (HH): </w:t>
      </w:r>
      <w:r>
        <w:t>High-prevalence cells surrounded by high-prevalence neighbors. These represent the core hotspots of statistical significance.</w:t>
      </w:r>
    </w:p>
    <w:p>
      <w:pPr>
        <w:numPr>
          <w:ilvl w:val="0"/>
          <w:numId w:val="1"/>
        </w:numPr>
      </w:pPr>
      <w:r>
        <w:rPr>
          <w:b/>
          <w:color w:val="0D233A"/>
        </w:rPr>
        <w:t>Low-Low (LL): </w:t>
      </w:r>
      <w:r>
        <w:t>Low-prevalence cells surrounded by low-prevalence neighbors. These constitute spatial coldspots.</w:t>
      </w:r>
    </w:p>
    <w:p>
      <w:pPr>
        <w:numPr>
          <w:ilvl w:val="0"/>
          <w:numId w:val="1"/>
        </w:numPr>
      </w:pPr>
      <w:r>
        <w:rPr>
          <w:b/>
          <w:color w:val="0D233A"/>
        </w:rPr>
        <w:t>High-Low (HL): </w:t>
      </w:r>
      <w:r>
        <w:t>High-prevalence outliers surrounded by low-prevalence neighbors (spatial anomalies).</w:t>
      </w:r>
    </w:p>
    <w:p>
      <w:pPr>
        <w:numPr>
          <w:ilvl w:val="0"/>
          <w:numId w:val="1"/>
        </w:numPr>
      </w:pPr>
      <w:r>
        <w:rPr>
          <w:b/>
          <w:color w:val="0D233A"/>
        </w:rPr>
        <w:t>Low-High (LH): </w:t>
      </w:r>
      <w:r>
        <w:t>Low-prevalence outliers surrounded by high-prevalence neighbors (spatial anomalies).</w:t>
      </w:r>
    </w:p>
    <w:p>
      <w:r>
        <w:rPr>
          <w:rFonts w:ascii="Times New Roman" w:hAnsi="Times New Roman"/>
          <w:b/>
          <w:color w:val="0D233A"/>
        </w:rPr>
        <w:t xml:space="preserve">Step-by-Step Computational Example — LISA for Cell (3,3):
</w:t>
      </w:r>
      <w:r>
        <w:rPr>
          <w:rFonts w:ascii="Times New Roman" w:hAnsi="Times New Roman"/>
          <w:b/>
          <w:color w:val="0D233A"/>
        </w:rPr>
        <w:t xml:space="preserve">  Step 1:  </w:t>
      </w:r>
      <w:r>
        <w:rPr>
          <w:rFonts w:ascii="Times New Roman" w:hAnsi="Times New Roman"/>
          <w:color w:val="111827"/>
        </w:rPr>
        <w:t xml:space="preserve">x₃,₃ = </w:t>
      </w:r>
      <w:r>
        <w:rPr>
          <w:rFonts w:ascii="Times New Roman" w:hAnsi="Times New Roman"/>
          <w:b/>
          <w:color w:val="2F855A"/>
        </w:rPr>
        <w:t xml:space="preserve">81.65%</w:t>
      </w:r>
      <w:r>
        <w:rPr>
          <w:rFonts w:ascii="Times New Roman" w:hAnsi="Times New Roman"/>
          <w:color w:val="111827"/>
        </w:rPr>
        <w:t xml:space="preserve">   (attribute value at the centre cell)
</w:t>
      </w:r>
      <w:r>
        <w:rPr>
          <w:rFonts w:ascii="Times New Roman" w:hAnsi="Times New Roman"/>
          <w:b/>
          <w:color w:val="0D233A"/>
        </w:rPr>
        <w:t xml:space="preserve">  Step 2:  </w:t>
      </w:r>
      <w:r>
        <w:rPr>
          <w:rFonts w:ascii="Times New Roman" w:hAnsi="Times New Roman"/>
          <w:color w:val="111827"/>
        </w:rPr>
        <w:t xml:space="preserve">x̄ ≈ </w:t>
      </w:r>
      <w:r>
        <w:rPr>
          <w:rFonts w:ascii="Times New Roman" w:hAnsi="Times New Roman"/>
          <w:b/>
          <w:color w:val="2F855A"/>
        </w:rPr>
        <w:t xml:space="preserve">13.911%</w:t>
      </w:r>
      <w:r>
        <w:rPr>
          <w:rFonts w:ascii="Times New Roman" w:hAnsi="Times New Roman"/>
          <w:color w:val="111827"/>
        </w:rPr>
        <w:t xml:space="preserve">   (global mean prevalence)
</w:t>
      </w:r>
      <w:r>
        <w:rPr>
          <w:rFonts w:ascii="Times New Roman" w:hAnsi="Times New Roman"/>
          <w:b/>
          <w:color w:val="0D233A"/>
        </w:rPr>
        <w:t xml:space="preserve">  Step 3:  </w:t>
      </w:r>
      <w:r>
        <w:rPr>
          <w:rFonts w:ascii="Times New Roman" w:hAnsi="Times New Roman"/>
          <w:color w:val="111827"/>
        </w:rPr>
        <w:t xml:space="preserve">z₃,₃ = x₃,₃ − x̄ = 81.65 − 13.911 = </w:t>
      </w:r>
      <w:r>
        <w:rPr>
          <w:rFonts w:ascii="Times New Roman" w:hAnsi="Times New Roman"/>
          <w:b/>
          <w:color w:val="2F855A"/>
        </w:rPr>
        <w:t xml:space="preserve">67.739</w:t>
      </w:r>
      <w:r>
        <w:rPr>
          <w:rFonts w:ascii="Times New Roman" w:hAnsi="Times New Roman"/>
          <w:color w:val="111827"/>
        </w:rPr>
        <w:t xml:space="preserve">   (local deviation)
</w:t>
      </w:r>
      <w:r>
        <w:rPr>
          <w:rFonts w:ascii="Times New Roman" w:hAnsi="Times New Roman"/>
          <w:b/>
          <w:color w:val="0D233A"/>
        </w:rPr>
        <w:t xml:space="preserve">  Step 4:  </w:t>
      </w:r>
      <w:r>
        <w:rPr>
          <w:rFonts w:ascii="Times New Roman" w:hAnsi="Times New Roman"/>
          <w:color w:val="111827"/>
        </w:rPr>
        <w:t xml:space="preserve">m₂ ≈ </w:t>
      </w:r>
      <w:r>
        <w:rPr>
          <w:rFonts w:ascii="Times New Roman" w:hAnsi="Times New Roman"/>
          <w:b/>
          <w:color w:val="2F855A"/>
        </w:rPr>
        <w:t xml:space="preserve">335.80</w:t>
      </w:r>
      <w:r>
        <w:rPr>
          <w:rFonts w:ascii="Times New Roman" w:hAnsi="Times New Roman"/>
          <w:color w:val="111827"/>
        </w:rPr>
        <w:t xml:space="preserve">   (sample variance across all 100 cells)
</w:t>
      </w:r>
      <w:r>
        <w:rPr>
          <w:rFonts w:ascii="Times New Roman" w:hAnsi="Times New Roman"/>
          <w:b/>
          <w:color w:val="0D233A"/>
        </w:rPr>
        <w:t xml:space="preserve">  Step 5:  </w:t>
      </w:r>
      <w:r>
        <w:rPr>
          <w:rFonts w:ascii="Times New Roman" w:hAnsi="Times New Roman"/>
          <w:color w:val="111827"/>
        </w:rPr>
        <w:t xml:space="preserve">8 neighbours range from 55% to 75%; weighted spatial lag = Σ_j w_ij·z_j ≈ </w:t>
      </w:r>
      <w:r>
        <w:rPr>
          <w:rFonts w:ascii="Times New Roman" w:hAnsi="Times New Roman"/>
          <w:b/>
          <w:color w:val="2F855A"/>
        </w:rPr>
        <w:t xml:space="preserve">52.40</w:t>
      </w:r>
      <w:r>
        <w:rPr>
          <w:rFonts w:ascii="Times New Roman" w:hAnsi="Times New Roman"/>
          <w:color w:val="111827"/>
        </w:rPr>
        <w:t xml:space="preserve">
</w:t>
      </w:r>
      <w:r>
        <w:rPr>
          <w:rFonts w:ascii="Times New Roman" w:hAnsi="Times New Roman"/>
          <w:b/>
          <w:color w:val="0D233A"/>
        </w:rPr>
        <w:t xml:space="preserve">  Step 6 (Substitution):
</w:t>
      </w:r>
      <w:r>
        <w:rPr>
          <w:rFonts w:ascii="Times New Roman" w:hAnsi="Times New Roman"/>
          <w:color w:val="111827"/>
        </w:rPr>
        <w:t xml:space="preserve">       I₃,₃ = (z₃,₃ / m₂) × Σ_j w_ij·z_j
</w:t>
      </w:r>
      <w:r>
        <w:rPr>
          <w:rFonts w:ascii="Times New Roman" w:hAnsi="Times New Roman"/>
          <w:color w:val="111827"/>
        </w:rPr>
        <w:t xml:space="preserve">            = (67.739 / 335.80) × 52.40
</w:t>
      </w:r>
      <w:r>
        <w:rPr>
          <w:rFonts w:ascii="Times New Roman" w:hAnsi="Times New Roman"/>
          <w:color w:val="111827"/>
        </w:rPr>
        <w:t xml:space="preserve">            = 0.20172 × 52.40 = </w:t>
      </w:r>
      <w:r>
        <w:rPr>
          <w:rFonts w:ascii="Times New Roman" w:hAnsi="Times New Roman"/>
          <w:b/>
          <w:color w:val="2F855A"/>
        </w:rPr>
        <w:t xml:space="preserve">10.57</w:t>
      </w:r>
      <w:r>
        <w:rPr>
          <w:rFonts w:ascii="Times New Roman" w:hAnsi="Times New Roman"/>
          <w:color w:val="111827"/>
        </w:rPr>
        <w:t xml:space="preserve">
</w:t>
      </w:r>
      <w:r>
        <w:rPr>
          <w:rFonts w:ascii="Times New Roman" w:hAnsi="Times New Roman"/>
          <w:b/>
          <w:color w:val="2F855A"/>
        </w:rPr>
        <w:t xml:space="preserve">  LISA Result: </w:t>
      </w:r>
      <w:r>
        <w:rPr>
          <w:rFonts w:ascii="Times New Roman" w:hAnsi="Times New Roman"/>
          <w:color w:val="111827"/>
        </w:rPr>
        <w:t xml:space="preserve">I₃,₃ = +10.57 → </w:t>
      </w:r>
      <w:r>
        <w:rPr>
          <w:rFonts w:ascii="Times New Roman" w:hAnsi="Times New Roman"/>
          <w:b/>
          <w:color w:val="9B2C2C"/>
        </w:rPr>
        <w:t xml:space="preserve">High-High (HH) cluster</w:t>
      </w:r>
      <w:r>
        <w:rPr>
          <w:rFonts w:ascii="Times New Roman" w:hAnsi="Times New Roman"/>
          <w:color w:val="111827"/>
        </w:rPr>
        <w:t xml:space="preserve"> — both the cell and its neighbours are significantly above the mean. This is the hotspot core.</w:t>
      </w:r>
    </w:p>
    <w:p>
      <w:pPr>
        <w:pStyle w:val="Heading3"/>
      </w:pPr>
      <w:bookmarkStart w:name="Sec1.5.3" w:id="28"/>
      <w:r>
        <w:t>1.5.3 LISA Cluster Map</w:t>
      </w:r>
      <w:bookmarkEnd w:id="28"/>
    </w:p>
    <w:p>
      <w:r>
        <w:t>Figure 5 maps the LISA cluster classifications. The Benjamini-Hochberg False Discovery Rate (FDR) correction was applied to control for multiple testing (inflation of Type I errors). The analysis identifies a significant High-High cluster (red) centered at coordinates (3,3) and significant Low-Low clusters (blue) along the periphery, with transition zones classified as non-significant.</w:t>
      </w:r>
    </w:p>
    <w:p>
      <w:pPr>
        <w:keepNext/>
        <w:jc w:val="center"/>
        <w:spacing w:before="120" w:after="60"/>
      </w:pPr>
      <w:r>
        <w:drawing>
          <wp:inline xmlns:wp="http://schemas.openxmlformats.org/drawingml/2006/wordprocessingDrawing" distT="0" distB="0" distL="0" distR="0">
            <wp:extent cx="4320000" cy="4931916"/>
            <wp:effectExtent l="0" t="0" r="0" b="0"/>
            <wp:docPr id="15" name="Figure 5: LISA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 LISA Clusters.png"/>
                    <pic:cNvPicPr/>
                  </pic:nvPicPr>
                  <pic:blipFill>
                    <a:blip xmlns:r="http://schemas.openxmlformats.org/officeDocument/2006/relationships" r:embed="Ra94abe5ce6224bda"/>
                    <a:stretch>
                      <a:fillRect/>
                    </a:stretch>
                  </pic:blipFill>
                  <pic:spPr>
                    <a:xfrm>
                      <a:off x="0" y="0"/>
                      <a:ext cx="4320000" cy="4931916"/>
                    </a:xfrm>
                    <a:prstGeom prst="rect"/>
                  </pic:spPr>
                </pic:pic>
              </a:graphicData>
            </a:graphic>
          </wp:inline>
        </w:drawing>
      </w:r>
    </w:p>
    <w:p>
      <w:pPr>
        <w:pStyle w:val="Caption"/>
      </w:pPr>
      <w:r>
        <w:t>Figure 5: LISA Cluster Map with FDR-adjusted Significance</w:t>
      </w:r>
    </w:p>
    <w:p>
      <w:r>
        <w:br w:type="page"/>
      </w:r>
    </w:p>
    <w:p>
      <w:pPr>
        <w:pStyle w:val="Heading1"/>
      </w:pPr>
      <w:bookmarkStart w:name="Sec2" w:id="29"/>
      <w:r>
        <w:t>2. POINT PATTERN ANALYSIS AND HOTSPOT DETECTION</w:t>
      </w:r>
      <w:bookmarkEnd w:id="29"/>
    </w:p>
    <w:p>
      <w:r>
        <w:t>This chapter covers discrete point pattern analysis and hotspot detection. While Chapter 1 focused on continuous areal attribute autocorrelation, Chapter 2 examines the spatial distribution of discrete events using Getis-Ord Gi*, Point Pattern Analysis (PPA), Nearest Neighbour Index (NNI), Kernel Density Estimation (KDE), and Ripley's K-function for multi-scale analysis.</w:t>
      </w:r>
    </w:p>
    <w:p>
      <w:pPr>
        <w:pStyle w:val="Heading2"/>
      </w:pPr>
      <w:bookmarkStart w:name="Sec2.1" w:id="30"/>
      <w:r>
        <w:t>2.1 Getis-Ord Gi* Local Hotspot Detection</w:t>
      </w:r>
      <w:bookmarkEnd w:id="30"/>
    </w:p>
    <w:p>
      <w:pPr>
        <w:pStyle w:val="Heading3"/>
      </w:pPr>
      <w:bookmarkStart w:name="Sec2.1.1" w:id="31"/>
      <w:r>
        <w:t>2.1.1 Gi* Formula</w:t>
      </w:r>
      <w:bookmarkEnd w:id="31"/>
    </w:p>
    <w:p>
      <w:r>
        <w:t>The Getis-Ord Gi* statistic is a local spatial indicator that measures the degree of clustering of high or low values within the local neighborhood of an observation point, including the point itself. Unlike Local Moran's I, which identifies spatial anomalies (HL/LH), Getis-Ord Gi* is specifically designed to isolate local clusters of high values (hotspots) or low values (coldspots). The equation for Gi* is written as:</w:t>
      </w:r>
    </w:p>
    <w:p>
      <m:oMathPara xmlns:m="http://schemas.openxmlformats.org/officeDocument/2006/math">
        <m:oMath>
          <m:sSubSup>
            <m:e>
              <m:r>
                <m:t>G</m:t>
              </m:r>
            </m:e>
            <m:sub>
              <m:r>
                <m:t>i</m:t>
              </m:r>
            </m:sub>
            <m:sup>
              <m:r>
                <m:t>*</m:t>
              </m:r>
            </m:sup>
          </m:sSubSup>
          <m:r>
            <m:t>=</m:t>
          </m:r>
          <m:f>
            <m:num>
              <m:nary>
                <m:naryPr>
                  <m:chr m:val="∑"/>
                </m:naryPr>
                <m:sub>
                  <m:r>
                    <m:t>j=1</m:t>
                  </m:r>
                </m:sub>
                <m:sup>
                  <m:r>
                    <m:t>N</m:t>
                  </m:r>
                </m:sup>
                <m:e>
                  <m:sSub>
                    <m:e>
                      <m:r>
                        <m:t>w</m:t>
                      </m:r>
                    </m:e>
                    <m:sub>
                      <m:r>
                        <m:t>ij</m:t>
                      </m:r>
                    </m:sub>
                  </m:sSub>
                  <m:sSub>
                    <m:e>
                      <m:r>
                        <m:t>x</m:t>
                      </m:r>
                    </m:e>
                    <m:sub>
                      <m:r>
                        <m:t>j</m:t>
                      </m:r>
                    </m:sub>
                  </m:sSub>
                </m:e>
              </m:nary>
              <m:r>
                <m:t>-</m:t>
              </m:r>
              <m:r>
                <m:t>X̄</m:t>
              </m:r>
              <m:nary>
                <m:naryPr>
                  <m:chr m:val="∑"/>
                </m:naryPr>
                <m:sub>
                  <m:r>
                    <m:t>j=1</m:t>
                  </m:r>
                </m:sub>
                <m:sup>
                  <m:r>
                    <m:t>N</m:t>
                  </m:r>
                </m:sup>
                <m:e>
                  <m:sSub>
                    <m:e>
                      <m:r>
                        <m:t>w</m:t>
                      </m:r>
                    </m:e>
                    <m:sub>
                      <m:r>
                        <m:t>ij</m:t>
                      </m:r>
                    </m:sub>
                  </m:sSub>
                </m:e>
              </m:nary>
            </m:num>
            <m:den>
              <m:r>
                <m:t>S</m:t>
              </m:r>
              <m:rad>
                <m:radPr>
                  <m:degHide m:val="true"/>
                </m:radPr>
                <m:deg/>
                <m:e>
                  <m:f>
                    <m:num>
                      <m:r>
                        <m:t>N</m:t>
                      </m:r>
                      <m:nary>
                        <m:naryPr>
                          <m:chr m:val="∑"/>
                        </m:naryPr>
                        <m:sub>
                          <m:r>
                            <m:t>j=1</m:t>
                          </m:r>
                        </m:sub>
                        <m:sup>
                          <m:r>
                            <m:t>N</m:t>
                          </m:r>
                        </m:sup>
                        <m:e>
                          <m:sSup>
                            <m:e>
                              <m:sSub>
                                <m:e>
                                  <m:r>
                                    <m:t>w</m:t>
                                  </m:r>
                                </m:e>
                                <m:sub>
                                  <m:r>
                                    <m:t>ij</m:t>
                                  </m:r>
                                </m:sub>
                              </m:sSub>
                            </m:e>
                            <m:sup>
                              <m:r>
                                <m:t>2</m:t>
                              </m:r>
                            </m:sup>
                          </m:sSup>
                        </m:e>
                      </m:nary>
                      <m:r>
                        <m:t>-</m:t>
                      </m:r>
                      <m:sSup>
                        <m:e>
                          <m:d>
                            <m:dPr>
                              <m:begChr m:val="("/>
                              <m:endChr m:val=")"/>
                            </m:dPr>
                            <m:e>
                              <m:nary>
                                <m:naryPr>
                                  <m:chr m:val="∑"/>
                                </m:naryPr>
                                <m:sub>
                                  <m:r>
                                    <m:t>j=1</m:t>
                                  </m:r>
                                </m:sub>
                                <m:sup>
                                  <m:r>
                                    <m:t>N</m:t>
                                  </m:r>
                                </m:sup>
                                <m:e>
                                  <m:sSub>
                                    <m:e>
                                      <m:r>
                                        <m:t>w</m:t>
                                      </m:r>
                                    </m:e>
                                    <m:sub>
                                      <m:r>
                                        <m:t>ij</m:t>
                                      </m:r>
                                    </m:sub>
                                  </m:sSub>
                                </m:e>
                              </m:nary>
                            </m:e>
                          </m:d>
                        </m:e>
                        <m:sup>
                          <m:r>
                            <m:t>2</m:t>
                          </m:r>
                        </m:sup>
                      </m:sSup>
                    </m:num>
                    <m:den>
                      <m:r>
                        <m:t>N</m:t>
                      </m:r>
                      <m:r>
                        <m:t>-</m:t>
                      </m:r>
                      <m:r>
                        <m:t>1</m:t>
                      </m:r>
                    </m:den>
                  </m:f>
                </m:e>
              </m:rad>
            </m:den>
          </m:f>
        </m:oMath>
      </m:oMathPara>
    </w:p>
    <w:p>
      <w:r>
        <w:t>where X̄ represents the global mean, and the standard deviation parameter S is defined as:</w:t>
      </w:r>
    </w:p>
    <w:p>
      <m:oMathPara xmlns:m="http://schemas.openxmlformats.org/officeDocument/2006/math">
        <m:oMath>
          <m:r>
            <m:t>S</m:t>
          </m:r>
          <m:r>
            <m:t>=</m:t>
          </m:r>
          <m:rad>
            <m:radPr>
              <m:degHide m:val="true"/>
            </m:radPr>
            <m:deg/>
            <m:e>
              <m:f>
                <m:num>
                  <m:nary>
                    <m:naryPr>
                      <m:chr m:val="∑"/>
                    </m:naryPr>
                    <m:sub>
                      <m:r>
                        <m:t>j=1</m:t>
                      </m:r>
                    </m:sub>
                    <m:sup>
                      <m:r>
                        <m:t>N</m:t>
                      </m:r>
                    </m:sup>
                    <m:e>
                      <m:sSup>
                        <m:e>
                          <m:sSub>
                            <m:e>
                              <m:r>
                                <m:t>x</m:t>
                              </m:r>
                            </m:e>
                            <m:sub>
                              <m:r>
                                <m:t>j</m:t>
                              </m:r>
                            </m:sub>
                          </m:sSub>
                        </m:e>
                        <m:sup>
                          <m:r>
                            <m:t>2</m:t>
                          </m:r>
                        </m:sup>
                      </m:sSup>
                    </m:e>
                  </m:nary>
                </m:num>
                <m:den>
                  <m:r>
                    <m:t>N</m:t>
                  </m:r>
                </m:den>
              </m:f>
              <m:r>
                <m:t>-</m:t>
              </m:r>
              <m:sSup>
                <m:e>
                  <m:r>
                    <m:t>X̄</m:t>
                  </m:r>
                </m:e>
                <m:sup>
                  <m:r>
                    <m:t>2</m:t>
                  </m:r>
                </m:sup>
              </m:sSup>
            </m:e>
          </m:rad>
        </m:oMath>
      </m:oMathPara>
    </w:p>
    <w:p>
      <w:r>
        <w:rPr>
          <w:rFonts w:ascii="Times New Roman" w:hAnsi="Times New Roman"/>
          <w:b/>
          <w:color w:val="0D233A"/>
        </w:rPr>
        <w:t xml:space="preserve">Equation Parameter Deconstruction:
Where:
</w:t>
      </w:r>
      <w:r>
        <w:rPr>
          <w:rFonts w:ascii="Times New Roman" w:hAnsi="Times New Roman"/>
          <w:b/>
          <w:color w:val="9B2C2C"/>
        </w:rPr>
        <w:t xml:space="preserve">       G_i*          </w:t>
      </w:r>
      <w:r>
        <w:rPr>
          <w:rFonts w:ascii="Times New Roman" w:hAnsi="Times New Roman"/>
          <w:color w:val="111827"/>
        </w:rPr>
        <w:t xml:space="preserve">=  Getis-Ord standardised Z-score statistic for zone i
</w:t>
      </w:r>
      <w:r>
        <w:rPr>
          <w:rFonts w:ascii="Times New Roman" w:hAnsi="Times New Roman"/>
          <w:b/>
          <w:color w:val="2B6CB0"/>
        </w:rPr>
        <w:t xml:space="preserve">       x_j           </w:t>
      </w:r>
      <w:r>
        <w:rPr>
          <w:rFonts w:ascii="Times New Roman" w:hAnsi="Times New Roman"/>
          <w:color w:val="111827"/>
        </w:rPr>
        <w:t xml:space="preserve">=  attribute value (prevalence) of neighbour zone j
</w:t>
      </w:r>
      <w:r>
        <w:rPr>
          <w:rFonts w:ascii="Times New Roman" w:hAnsi="Times New Roman"/>
          <w:b/>
          <w:color w:val="2B6CB0"/>
        </w:rPr>
        <w:t xml:space="preserve">       w_ij           </w:t>
      </w:r>
      <w:r>
        <w:rPr>
          <w:rFonts w:ascii="Times New Roman" w:hAnsi="Times New Roman"/>
          <w:color w:val="111827"/>
        </w:rPr>
        <w:t xml:space="preserve">=  spatial weight between zone i and zone j (w_ii = 1, self-inclusive for Gi*)
</w:t>
      </w:r>
      <w:r>
        <w:rPr>
          <w:rFonts w:ascii="Times New Roman" w:hAnsi="Times New Roman"/>
          <w:b/>
          <w:color w:val="2B6CB0"/>
        </w:rPr>
        <w:t xml:space="preserve">       X̄             </w:t>
      </w:r>
      <w:r>
        <w:rPr>
          <w:rFonts w:ascii="Times New Roman" w:hAnsi="Times New Roman"/>
          <w:color w:val="111827"/>
        </w:rPr>
        <w:t xml:space="preserve">=  global mean prevalence (X̄ ≈ 13.911%)
</w:t>
      </w:r>
      <w:r>
        <w:rPr>
          <w:rFonts w:ascii="Times New Roman" w:hAnsi="Times New Roman"/>
          <w:b/>
          <w:color w:val="2B6CB0"/>
        </w:rPr>
        <w:t xml:space="preserve">       S             </w:t>
      </w:r>
      <w:r>
        <w:rPr>
          <w:rFonts w:ascii="Times New Roman" w:hAnsi="Times New Roman"/>
          <w:color w:val="111827"/>
        </w:rPr>
        <w:t xml:space="preserve">=  global standard deviation: S = √[(Σ x_j²)/N − X̄²]
</w:t>
      </w:r>
      <w:r>
        <w:rPr>
          <w:rFonts w:ascii="Times New Roman" w:hAnsi="Times New Roman"/>
          <w:b/>
          <w:color w:val="2B6CB0"/>
        </w:rPr>
        <w:t xml:space="preserve">       N             </w:t>
      </w:r>
      <w:r>
        <w:rPr>
          <w:rFonts w:ascii="Times New Roman" w:hAnsi="Times New Roman"/>
          <w:color w:val="111827"/>
        </w:rPr>
        <w:t xml:space="preserve">=  total number of zones (N = 100)
</w:t>
      </w:r>
      <w:r>
        <w:rPr>
          <w:rFonts w:ascii="Times New Roman" w:hAnsi="Times New Roman"/>
          <w:b/>
          <w:color w:val="0D233A"/>
        </w:rPr>
        <w:t xml:space="preserve">       Numerator     </w:t>
      </w:r>
      <w:r>
        <w:rPr>
          <w:rFonts w:ascii="Times New Roman" w:hAnsi="Times New Roman"/>
          <w:color w:val="111827"/>
        </w:rPr>
        <w:t xml:space="preserve">=  local neighbourhood sum minus the expected sum under CSR
</w:t>
      </w:r>
      <w:r>
        <w:rPr>
          <w:rFonts w:ascii="Times New Roman" w:hAnsi="Times New Roman"/>
          <w:b/>
          <w:color w:val="0D233A"/>
        </w:rPr>
        <w:t xml:space="preserve">       Denominator   </w:t>
      </w:r>
      <w:r>
        <w:rPr>
          <w:rFonts w:ascii="Times New Roman" w:hAnsi="Times New Roman"/>
          <w:color w:val="111827"/>
        </w:rPr>
        <w:t xml:space="preserve">=  standard error scaling factor (incorporates N, S, and spatial weight sum of squares)
</w:t>
      </w:r>
      <w:r>
        <w:rPr>
          <w:rFonts w:ascii="Times New Roman" w:hAnsi="Times New Roman"/>
          <w:b/>
          <w:color w:val="C05621"/>
        </w:rPr>
        <w:t xml:space="preserve">  Key distinction: </w:t>
      </w:r>
      <w:r>
        <w:rPr>
          <w:rFonts w:ascii="Times New Roman" w:hAnsi="Times New Roman"/>
          <w:color w:val="111827"/>
        </w:rPr>
        <w:t xml:space="preserve">G_i* includes the target zone itself (w_ii = 1), whereas standard G_i excludes it (w_ii = 0). Gi* isolates pure hotspots/coldspots; it does NOT identify spatial outliers (HL/LH) — that is the role of LISA.</w:t>
      </w:r>
    </w:p>
    <w:p>
      <w:pPr>
        <w:pStyle w:val="Heading3"/>
      </w:pPr>
      <w:bookmarkStart w:name="Sec2.1.2" w:id="32"/>
      <w:r>
        <w:t>2.1.2 Significance Thresholds</w:t>
      </w:r>
      <w:bookmarkEnd w:id="32"/>
    </w:p>
    <w:p>
      <w:r>
        <w:t>Because Gi* is a standardized Z-score, its values directly correspond to standard normal significance levels: Gi* values greater than +1.96 indicate significant clustering of high values (hotspots) at the 95% confidence level; Gi* values greater than +2.58 indicate hotspots at the 99% confidence level; while Gi* values less than -1.96 and -2.58 isolate significant clustering of low values (coldspots) at the 95% and 99% confidence levels, respectively.</w:t>
      </w:r>
    </w:p>
    <w:p>
      <w:r>
        <w:rPr>
          <w:rFonts w:ascii="Times New Roman" w:hAnsi="Times New Roman"/>
          <w:b/>
          <w:color w:val="0D233A"/>
        </w:rPr>
        <w:t xml:space="preserve">Step-by-Step Computational Example — Gi* for Cell (3,3):
</w:t>
      </w:r>
      <w:r>
        <w:rPr>
          <w:rFonts w:ascii="Times New Roman" w:hAnsi="Times New Roman"/>
          <w:color w:val="111827"/>
        </w:rPr>
        <w:t xml:space="preserve">  Given:    X̄ = 13.911%,   S = 18.32,   N = 100,   Σ_j w_ij = 9 (8 neighbours + self)
</w:t>
      </w:r>
      <w:r>
        <w:rPr>
          <w:rFonts w:ascii="Times New Roman" w:hAnsi="Times New Roman"/>
          <w:b/>
          <w:color w:val="0D233A"/>
        </w:rPr>
        <w:t xml:space="preserve">  Step 1:  </w:t>
      </w:r>
      <w:r>
        <w:rPr>
          <w:rFonts w:ascii="Times New Roman" w:hAnsi="Times New Roman"/>
          <w:color w:val="111827"/>
        </w:rPr>
        <w:t xml:space="preserve">Local neighbourhood sum = Σ_j w_ij·x_j ≈ </w:t>
      </w:r>
      <w:r>
        <w:rPr>
          <w:rFonts w:ascii="Times New Roman" w:hAnsi="Times New Roman"/>
          <w:b/>
          <w:color w:val="2F855A"/>
        </w:rPr>
        <w:t xml:space="preserve">538.5%
</w:t>
      </w:r>
      <w:r>
        <w:rPr>
          <w:rFonts w:ascii="Times New Roman" w:hAnsi="Times New Roman"/>
          <w:b/>
          <w:color w:val="0D233A"/>
        </w:rPr>
        <w:t xml:space="preserve">  Step 2:  </w:t>
      </w:r>
      <w:r>
        <w:rPr>
          <w:rFonts w:ascii="Times New Roman" w:hAnsi="Times New Roman"/>
          <w:color w:val="111827"/>
        </w:rPr>
        <w:t xml:space="preserve">Expected neighbourhood sum = X̄ × Σ_j w_ij = 13.911 × 9 = </w:t>
      </w:r>
      <w:r>
        <w:rPr>
          <w:rFonts w:ascii="Times New Roman" w:hAnsi="Times New Roman"/>
          <w:b/>
          <w:color w:val="2F855A"/>
        </w:rPr>
        <w:t xml:space="preserve">125.20%
</w:t>
      </w:r>
      <w:r>
        <w:rPr>
          <w:rFonts w:ascii="Times New Roman" w:hAnsi="Times New Roman"/>
          <w:b/>
          <w:color w:val="0D233A"/>
        </w:rPr>
        <w:t xml:space="preserve">  Step 3:  </w:t>
      </w:r>
      <w:r>
        <w:rPr>
          <w:rFonts w:ascii="Times New Roman" w:hAnsi="Times New Roman"/>
          <w:color w:val="111827"/>
        </w:rPr>
        <w:t xml:space="preserve">Numerator = 538.5 − 125.20 = </w:t>
      </w:r>
      <w:r>
        <w:rPr>
          <w:rFonts w:ascii="Times New Roman" w:hAnsi="Times New Roman"/>
          <w:b/>
          <w:color w:val="2F855A"/>
        </w:rPr>
        <w:t xml:space="preserve">413.30%
</w:t>
      </w:r>
      <w:r>
        <w:rPr>
          <w:rFonts w:ascii="Times New Roman" w:hAnsi="Times New Roman"/>
          <w:b/>
          <w:color w:val="0D233A"/>
        </w:rPr>
        <w:t xml:space="preserve">  Step 4:  </w:t>
      </w:r>
      <w:r>
        <w:rPr>
          <w:rFonts w:ascii="Times New Roman" w:hAnsi="Times New Roman"/>
          <w:color w:val="111827"/>
        </w:rPr>
        <w:t xml:space="preserve">Standard Error (denominator) ≈ </w:t>
      </w:r>
      <w:r>
        <w:rPr>
          <w:rFonts w:ascii="Times New Roman" w:hAnsi="Times New Roman"/>
          <w:b/>
          <w:color w:val="2F855A"/>
        </w:rPr>
        <w:t xml:space="preserve">53.40</w:t>
      </w:r>
      <w:r>
        <w:rPr>
          <w:rFonts w:ascii="Times New Roman" w:hAnsi="Times New Roman"/>
          <w:color w:val="111827"/>
        </w:rPr>
        <w:t xml:space="preserve">  (from N, S, weight sums)
</w:t>
      </w:r>
      <w:r>
        <w:rPr>
          <w:rFonts w:ascii="Times New Roman" w:hAnsi="Times New Roman"/>
          <w:b/>
          <w:color w:val="0D233A"/>
        </w:rPr>
        <w:t xml:space="preserve">  Step 5:  </w:t>
      </w:r>
      <w:r>
        <w:rPr>
          <w:rFonts w:ascii="Times New Roman" w:hAnsi="Times New Roman"/>
          <w:color w:val="111827"/>
        </w:rPr>
        <w:t xml:space="preserve">G₃,₃* = 413.30 / 53.40 = </w:t>
      </w:r>
      <w:r>
        <w:rPr>
          <w:rFonts w:ascii="Times New Roman" w:hAnsi="Times New Roman"/>
          <w:b/>
          <w:color w:val="2F855A"/>
        </w:rPr>
        <w:t xml:space="preserve">+7.74</w:t>
      </w:r>
      <w:r>
        <w:rPr>
          <w:rFonts w:ascii="Times New Roman" w:hAnsi="Times New Roman"/>
          <w:color w:val="111827"/>
        </w:rPr>
        <w:t xml:space="preserve">
</w:t>
      </w:r>
      <w:r>
        <w:rPr>
          <w:rFonts w:ascii="Times New Roman" w:hAnsi="Times New Roman"/>
          <w:b/>
          <w:color w:val="2F855A"/>
        </w:rPr>
        <w:t xml:space="preserve">  Decision: </w:t>
      </w:r>
      <w:r>
        <w:rPr>
          <w:rFonts w:ascii="Times New Roman" w:hAnsi="Times New Roman"/>
          <w:color w:val="111827"/>
        </w:rPr>
        <w:t xml:space="preserve">+7.74  &gt;&gt;  +2.58  </w:t>
      </w:r>
      <w:r>
        <w:rPr>
          <w:rFonts w:ascii="Times New Roman" w:hAnsi="Times New Roman"/>
          <w:b/>
          <w:color w:val="9B2C2C"/>
        </w:rPr>
        <w:t xml:space="preserve">→ Reject H₀ at 99.9% confidence.
</w:t>
      </w:r>
      <w:r>
        <w:rPr>
          <w:rFonts w:ascii="Times New Roman" w:hAnsi="Times New Roman"/>
          <w:b/>
          <w:color w:val="0D233A"/>
        </w:rPr>
        <w:t xml:space="preserve">  Cell (3,3): </w:t>
      </w:r>
      <w:r>
        <w:rPr>
          <w:rFonts w:ascii="Times New Roman" w:hAnsi="Times New Roman"/>
          <w:b/>
          <w:color w:val="9B2C2C"/>
        </w:rPr>
        <w:t xml:space="preserve">Statistically significant HOTSPOT.
</w:t>
      </w:r>
      <w:r>
        <w:rPr>
          <w:rFonts w:ascii="Times New Roman" w:hAnsi="Times New Roman"/>
          <w:b/>
          <w:color w:val="0D233A"/>
        </w:rPr>
        <w:t xml:space="preserve">  Coldspot Check — Cell (0,0):
</w:t>
      </w:r>
      <w:r>
        <w:rPr>
          <w:rFonts w:ascii="Times New Roman" w:hAnsi="Times New Roman"/>
          <w:color w:val="111827"/>
        </w:rPr>
        <w:t xml:space="preserve">  Local sum ≈ 9.20%;  Expected = 13.911 × 4 = 55.64%;  Numerator &lt; 0  →  Z ≈ </w:t>
      </w:r>
      <w:r>
        <w:rPr>
          <w:rFonts w:ascii="Times New Roman" w:hAnsi="Times New Roman"/>
          <w:b/>
          <w:color w:val="2F855A"/>
        </w:rPr>
        <w:t xml:space="preserve">−2.48</w:t>
      </w:r>
      <w:r>
        <w:rPr>
          <w:rFonts w:ascii="Times New Roman" w:hAnsi="Times New Roman"/>
          <w:color w:val="111827"/>
        </w:rPr>
        <w:t xml:space="preserve">  &lt;  −1.96  →  Significant COLDSPOT.</w:t>
      </w:r>
    </w:p>
    <w:p>
      <w:pPr>
        <w:pStyle w:val="Heading3"/>
      </w:pPr>
      <w:bookmarkStart w:name="Sec2.1.3" w:id="33"/>
      <w:r>
        <w:t>2.1.3 Hotspot Map</w:t>
      </w:r>
      <w:bookmarkEnd w:id="33"/>
    </w:p>
    <w:p>
      <w:r>
        <w:t>Figure 6 displays the spatial distribution of the Getis-Ord Gi* statistic. A significant hotspot (dark red, Z &gt; +2.58) is isolated in the bottom-left quadrant. This core is surrounded by transition zones (light orange, Z &gt; +1.96) and peripheral coldspots (blue, Z &lt; -1.96), corroborating the spatial structure of the simulation.</w:t>
      </w:r>
    </w:p>
    <w:p>
      <w:pPr>
        <w:keepNext/>
        <w:jc w:val="center"/>
        <w:spacing w:before="120" w:after="60"/>
      </w:pPr>
      <w:r>
        <w:drawing>
          <wp:inline xmlns:wp="http://schemas.openxmlformats.org/drawingml/2006/wordprocessingDrawing" distT="0" distB="0" distL="0" distR="0">
            <wp:extent cx="4320000" cy="4220066"/>
            <wp:effectExtent l="0" t="0" r="0" b="0"/>
            <wp:docPr id="16" name="Figure 6: Hotspo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 Hotspot Map.png"/>
                    <pic:cNvPicPr/>
                  </pic:nvPicPr>
                  <pic:blipFill>
                    <a:blip xmlns:r="http://schemas.openxmlformats.org/officeDocument/2006/relationships" r:embed="Raf5b507a948a43d1"/>
                    <a:stretch>
                      <a:fillRect/>
                    </a:stretch>
                  </pic:blipFill>
                  <pic:spPr>
                    <a:xfrm>
                      <a:off x="0" y="0"/>
                      <a:ext cx="4320000" cy="4220066"/>
                    </a:xfrm>
                    <a:prstGeom prst="rect"/>
                  </pic:spPr>
                </pic:pic>
              </a:graphicData>
            </a:graphic>
          </wp:inline>
        </w:drawing>
      </w:r>
    </w:p>
    <w:p>
      <w:pPr>
        <w:pStyle w:val="Caption"/>
      </w:pPr>
      <w:r>
        <w:t>Figure 6: Getis-Ord Gi* Hotspot &amp; Coldspot Map</w:t>
      </w:r>
    </w:p>
    <w:p>
      <w:r>
        <w:br w:type="page"/>
      </w:r>
    </w:p>
    <w:p>
      <w:pPr>
        <w:pStyle w:val="Heading2"/>
      </w:pPr>
      <w:bookmarkStart w:name="Sec2.2" w:id="34"/>
      <w:r>
        <w:t>2.2 Discrete Point Pattern Classifications</w:t>
      </w:r>
      <w:bookmarkEnd w:id="34"/>
    </w:p>
    <w:p>
      <w:pPr>
        <w:pStyle w:val="Heading3"/>
      </w:pPr>
      <w:bookmarkStart w:name="Sec2.2.1" w:id="35"/>
      <w:r>
        <w:t>2.2.1 Pattern Types</w:t>
      </w:r>
      <w:bookmarkEnd w:id="35"/>
    </w:p>
    <w:p>
      <w:r>
        <w:t>Unlike areal unit data, Point Pattern Analysis (PPA) examines the geographic distribution of discrete coordinates. Point distributions generally fall into one of three structural categories: Clustered (events attract or share an underlying environmental driver); Random (independent distribution governed by a homogeneous Poisson process); and Regular/Dispersed (events repel each other, e.g., due to resource competition).</w:t>
      </w:r>
    </w:p>
    <w:p>
      <w:pPr>
        <w:pStyle w:val="Heading3"/>
      </w:pPr>
      <w:bookmarkStart w:name="Sec2.2.2" w:id="36"/>
      <w:r>
        <w:t>2.2.2 Visual Comparison</w:t>
      </w:r>
      <w:bookmarkEnd w:id="36"/>
    </w:p>
    <w:p>
      <w:r>
        <w:t>Figure 7 compares Clustered (n=80 points generated around the prevalence core), Random (n=80 points from a uniform distribution), and Regular (n=80 points generated using a jittered grid) patterns.</w:t>
      </w:r>
    </w:p>
    <w:p>
      <w:pPr>
        <w:keepNext/>
        <w:jc w:val="center"/>
        <w:spacing w:before="120" w:after="60"/>
      </w:pPr>
      <w:r>
        <w:drawing>
          <wp:inline xmlns:wp="http://schemas.openxmlformats.org/drawingml/2006/wordprocessingDrawing" distT="0" distB="0" distL="0" distR="0">
            <wp:extent cx="5400000" cy="1876595"/>
            <wp:effectExtent l="0" t="0" r="0" b="0"/>
            <wp:docPr id="17" name="Figure 7: Point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 Point Patterns.png"/>
                    <pic:cNvPicPr/>
                  </pic:nvPicPr>
                  <pic:blipFill>
                    <a:blip xmlns:r="http://schemas.openxmlformats.org/officeDocument/2006/relationships" r:embed="R7662be4bdd5f4b28"/>
                    <a:stretch>
                      <a:fillRect/>
                    </a:stretch>
                  </pic:blipFill>
                  <pic:spPr>
                    <a:xfrm>
                      <a:off x="0" y="0"/>
                      <a:ext cx="5400000" cy="1876595"/>
                    </a:xfrm>
                    <a:prstGeom prst="rect"/>
                  </pic:spPr>
                </pic:pic>
              </a:graphicData>
            </a:graphic>
          </wp:inline>
        </w:drawing>
      </w:r>
    </w:p>
    <w:p>
      <w:pPr>
        <w:pStyle w:val="Caption"/>
      </w:pPr>
      <w:r>
        <w:t>Figure 7: Visual Comparison of Clustered, Random, and Regular Point Patterns</w:t>
      </w:r>
    </w:p>
    <w:p>
      <w:pPr>
        <w:pStyle w:val="Heading2"/>
      </w:pPr>
      <w:bookmarkStart w:name="Sec2.3" w:id="37"/>
      <w:r>
        <w:t>2.3 Nearest Neighbour Index (NNI)</w:t>
      </w:r>
      <w:bookmarkEnd w:id="37"/>
    </w:p>
    <w:p>
      <w:pPr>
        <w:pStyle w:val="Heading3"/>
      </w:pPr>
      <w:bookmarkStart w:name="Sec2.3.1" w:id="38"/>
      <w:r>
        <w:t>2.3.1 NNI Definition &amp; Formula</w:t>
      </w:r>
      <w:bookmarkEnd w:id="38"/>
    </w:p>
    <w:p>
      <w:r>
        <w:t>The Nearest Neighbour Index (NNI) measures the degree of dispersion in a point pattern by comparing the average observed distance between adjacent points with the expected distance under spatial randomness:</w:t>
      </w:r>
    </w:p>
    <w:p>
      <m:oMathPara xmlns:m="http://schemas.openxmlformats.org/officeDocument/2006/math">
        <m:oMath>
          <m:r>
            <m:t>NNI</m:t>
          </m:r>
          <m:r>
            <m:t>=</m:t>
          </m:r>
          <m:f>
            <m:num>
              <m:sSub>
                <m:e>
                  <m:r>
                    <m:t>d</m:t>
                  </m:r>
                </m:e>
                <m:sub>
                  <m:r>
                    <m:t>obs</m:t>
                  </m:r>
                </m:sub>
              </m:sSub>
            </m:num>
            <m:den>
              <m:sSub>
                <m:e>
                  <m:r>
                    <m:t>d</m:t>
                  </m:r>
                </m:e>
                <m:sub>
                  <m:r>
                    <m:t>exp</m:t>
                  </m:r>
                </m:sub>
              </m:sSub>
            </m:den>
          </m:f>
        </m:oMath>
      </m:oMathPara>
    </w:p>
    <w:p>
      <w:r>
        <w:t>where the average observed distance and expected distance are calculated as:</w:t>
      </w:r>
    </w:p>
    <w:p>
      <m:oMathPara xmlns:m="http://schemas.openxmlformats.org/officeDocument/2006/math">
        <m:oMath>
          <m:sSub>
            <m:e>
              <m:r>
                <m:t>d</m:t>
              </m:r>
            </m:e>
            <m:sub>
              <m:r>
                <m:t>obs</m:t>
              </m:r>
            </m:sub>
          </m:sSub>
          <m:r>
            <m:t>=</m:t>
          </m:r>
          <m:f>
            <m:num>
              <m:nary>
                <m:naryPr>
                  <m:chr m:val="∑"/>
                </m:naryPr>
                <m:sub>
                  <m:r>
                    <m:t>i=1</m:t>
                  </m:r>
                </m:sub>
                <m:sup>
                  <m:r>
                    <m:t>n</m:t>
                  </m:r>
                </m:sup>
                <m:e>
                  <m:sSub>
                    <m:e>
                      <m:r>
                        <m:t>d</m:t>
                      </m:r>
                    </m:e>
                    <m:sub>
                      <m:r>
                        <m:t>i</m:t>
                      </m:r>
                    </m:sub>
                  </m:sSub>
                </m:e>
              </m:nary>
            </m:num>
            <m:den>
              <m:r>
                <m:t>n</m:t>
              </m:r>
            </m:den>
          </m:f>
          <m:r>
            <m:t>,       </m:t>
          </m:r>
          <m:sSub>
            <m:e>
              <m:r>
                <m:t>d</m:t>
              </m:r>
            </m:e>
            <m:sub>
              <m:r>
                <m:t>exp</m:t>
              </m:r>
            </m:sub>
          </m:sSub>
          <m:r>
            <m:t>=</m:t>
          </m:r>
          <m:f>
            <m:num>
              <m:r>
                <m:t>0.5</m:t>
              </m:r>
            </m:num>
            <m:den>
              <m:rad>
                <m:radPr>
                  <m:degHide m:val="true"/>
                </m:radPr>
                <m:deg/>
                <m:e>
                  <m:f>
                    <m:num>
                      <m:r>
                        <m:t>n</m:t>
                      </m:r>
                    </m:num>
                    <m:den>
                      <m:r>
                        <m:t>A</m:t>
                      </m:r>
                    </m:den>
                  </m:f>
                </m:e>
              </m:rad>
            </m:den>
          </m:f>
        </m:oMath>
      </m:oMathPara>
    </w:p>
    <w:p>
      <w:r>
        <w:rPr>
          <w:rFonts w:ascii="Times New Roman" w:hAnsi="Times New Roman"/>
          <w:b/>
          <w:color w:val="0D233A"/>
        </w:rPr>
        <w:t xml:space="preserve">Equation Parameter Deconstruction:
Where:
</w:t>
      </w:r>
      <w:r>
        <w:rPr>
          <w:rFonts w:ascii="Times New Roman" w:hAnsi="Times New Roman"/>
          <w:b/>
          <w:color w:val="9B2C2C"/>
        </w:rPr>
        <w:t xml:space="preserve">       NNI      </w:t>
      </w:r>
      <w:r>
        <w:rPr>
          <w:rFonts w:ascii="Times New Roman" w:hAnsi="Times New Roman"/>
          <w:color w:val="111827"/>
        </w:rPr>
        <w:t xml:space="preserve">=  Nearest Neighbour Index ratio
</w:t>
      </w:r>
      <w:r>
        <w:rPr>
          <w:rFonts w:ascii="Times New Roman" w:hAnsi="Times New Roman"/>
          <w:color w:val="111827"/>
        </w:rPr>
        <w:t xml:space="preserve">               </w:t>
      </w:r>
      <w:r>
        <w:rPr>
          <w:rFonts w:ascii="Times New Roman" w:hAnsi="Times New Roman"/>
          <w:color w:val="111827"/>
        </w:rPr>
        <w:t xml:space="preserve">NNI &lt; 1 → Clustered pattern  |  NNI = 1 → Complete Spatial Randomness  |  NNI &gt; 1 → Dispersed pattern
</w:t>
      </w:r>
      <w:r>
        <w:rPr>
          <w:rFonts w:ascii="Times New Roman" w:hAnsi="Times New Roman"/>
          <w:b/>
          <w:color w:val="2B6CB0"/>
        </w:rPr>
        <w:t xml:space="preserve">       d_obs    </w:t>
      </w:r>
      <w:r>
        <w:rPr>
          <w:rFonts w:ascii="Times New Roman" w:hAnsi="Times New Roman"/>
          <w:color w:val="111827"/>
        </w:rPr>
        <w:t xml:space="preserve">=  mean observed distance from each point to its single nearest neighbour
</w:t>
      </w:r>
      <w:r>
        <w:rPr>
          <w:rFonts w:ascii="Times New Roman" w:hAnsi="Times New Roman"/>
          <w:b/>
          <w:color w:val="2B6CB0"/>
        </w:rPr>
        <w:t xml:space="preserve">       d_exp    </w:t>
      </w:r>
      <w:r>
        <w:rPr>
          <w:rFonts w:ascii="Times New Roman" w:hAnsi="Times New Roman"/>
          <w:color w:val="111827"/>
        </w:rPr>
        <w:t xml:space="preserve">=  theoretical expected mean nearest-neighbour distance under a homogeneous Poisson (random) process
</w:t>
      </w:r>
      <w:r>
        <w:rPr>
          <w:rFonts w:ascii="Times New Roman" w:hAnsi="Times New Roman"/>
          <w:b/>
          <w:color w:val="2B6CB0"/>
        </w:rPr>
        <w:t xml:space="preserve">       d_i      </w:t>
      </w:r>
      <w:r>
        <w:rPr>
          <w:rFonts w:ascii="Times New Roman" w:hAnsi="Times New Roman"/>
          <w:color w:val="111827"/>
        </w:rPr>
        <w:t xml:space="preserve">=  Euclidean distance from point i to its nearest neighbour
</w:t>
      </w:r>
      <w:r>
        <w:rPr>
          <w:rFonts w:ascii="Times New Roman" w:hAnsi="Times New Roman"/>
          <w:b/>
          <w:color w:val="2B6CB0"/>
        </w:rPr>
        <w:t xml:space="preserve">       n        </w:t>
      </w:r>
      <w:r>
        <w:rPr>
          <w:rFonts w:ascii="Times New Roman" w:hAnsi="Times New Roman"/>
          <w:color w:val="111827"/>
        </w:rPr>
        <w:t xml:space="preserve">=  total number of points in the study area (n = 80)
</w:t>
      </w:r>
      <w:r>
        <w:rPr>
          <w:rFonts w:ascii="Times New Roman" w:hAnsi="Times New Roman"/>
          <w:b/>
          <w:color w:val="2B6CB0"/>
        </w:rPr>
        <w:t xml:space="preserve">       A        </w:t>
      </w:r>
      <w:r>
        <w:rPr>
          <w:rFonts w:ascii="Times New Roman" w:hAnsi="Times New Roman"/>
          <w:color w:val="111827"/>
        </w:rPr>
        <w:t xml:space="preserve">=  total area of the study region (A = 10 × 10 = 100 square units)
</w:t>
      </w:r>
      <w:r>
        <w:rPr>
          <w:rFonts w:ascii="Times New Roman" w:hAnsi="Times New Roman"/>
          <w:b/>
          <w:color w:val="2B6CB0"/>
        </w:rPr>
        <w:t xml:space="preserve">       ρ        </w:t>
      </w:r>
      <w:r>
        <w:rPr>
          <w:rFonts w:ascii="Times New Roman" w:hAnsi="Times New Roman"/>
          <w:color w:val="111827"/>
        </w:rPr>
        <w:t xml:space="preserve">=  point density:  ρ = n / A = 80 / 100 = 0.8 points per unit²
</w:t>
      </w:r>
      <w:r>
        <w:rPr>
          <w:rFonts w:ascii="Times New Roman" w:hAnsi="Times New Roman"/>
          <w:b/>
          <w:color w:val="2B6CB0"/>
        </w:rPr>
        <w:t xml:space="preserve">   0.5 / √ρ    </w:t>
      </w:r>
      <w:r>
        <w:rPr>
          <w:rFonts w:ascii="Times New Roman" w:hAnsi="Times New Roman"/>
          <w:color w:val="111827"/>
        </w:rPr>
        <w:t xml:space="preserve">=  expected nearest-neighbour distance under CSR (derived from geometric probability theory)</w:t>
      </w:r>
    </w:p>
    <w:p>
      <w:pPr>
        <w:pStyle w:val="Heading3"/>
      </w:pPr>
      <w:bookmarkStart w:name="Sec2.3.2" w:id="39"/>
      <w:r>
        <w:t>2.3.2 Calculations &amp; Interpretation</w:t>
      </w:r>
      <w:bookmarkEnd w:id="39"/>
    </w:p>
    <w:tbl>
      <w:tblPr>
        <w:tblW w:w="5000" w:type="pct"/>
        <w:tblBorders>
          <w:top w:val="single" w:color="1D4E89" w:sz="12"/>
          <w:left w:val="single" w:color="1D4E89" w:sz="12"/>
          <w:bottom w:val="single" w:color="1D4E89" w:sz="12"/>
          <w:right w:val="single" w:color="1D4E89" w:sz="12"/>
          <w:insideH w:val="nil"/>
          <w:insideV w:val="nil"/>
        </w:tblBorders>
        <w:tcMar>
          <w:top w:w="120" w:type="dxa"/>
          <w:left w:w="240" w:type="dxa"/>
          <w:bottom w:w="120" w:type="dxa"/>
          <w:right w:w="240" w:type="dxa"/>
        </w:tcMar>
        <w:jc w:val="center"/>
      </w:tblPr>
      <w:tr>
        <w:tc>
          <w:tcPr>
            <w:shd w:val="clear" w:fill="EFF6FF"/>
          </w:tcPr>
          <w:p>
            <w:pPr>
              <w:spacing w:before="60" w:after="60"/>
            </w:pPr>
            <w:r>
              <w:rPr>
                <w:i/>
                <w:color w:val="1D4E89"/>
                <w:sz w:val="20"/>
              </w:rPr>
              <w:t xml:space="preserve">Expert Insight: Scale and Intensity in Point Processes</w:t>
            </w:r>
          </w:p>
          <w:p>
            <w:pPr>
              <w:spacing w:before="60" w:after="60"/>
            </w:pPr>
            <w:r>
              <w:rPr>
                <w:i/>
                <w:color w:val="1D4E89"/>
                <w:sz w:val="20"/>
              </w:rPr>
              <w:t xml:space="preserve">The Nearest Neighbour Index (NNI) is a 'first-order' statistic because it only looks at the mean intensity and distance to the single closest point. While it is excellent for detecting global clustering, it can be misled by multi-scale patterns. For instance, a pattern might be clustered at a small scale but regular at a large scale. This is why multi-scale indicators like Ripley's K (Section 2.5) are essential for a complete spatial diagnosis.</w:t>
            </w:r>
          </w:p>
        </w:tc>
      </w:tr>
    </w:tbl>
    <w:p>
      <w:r>
        <w:rPr>
          <w:rFonts w:ascii="Times New Roman" w:hAnsi="Times New Roman"/>
          <w:b/>
          <w:color w:val="0D233A"/>
        </w:rPr>
        <w:t xml:space="preserve">Step-by-Step Computational Example — NNI Calculation:
</w:t>
      </w:r>
      <w:r>
        <w:rPr>
          <w:rFonts w:ascii="Times New Roman" w:hAnsi="Times New Roman"/>
          <w:color w:val="111827"/>
        </w:rPr>
        <w:t xml:space="preserve">  Given:    n = 80 points,   A = 100 units²
</w:t>
      </w:r>
      <w:r>
        <w:rPr>
          <w:rFonts w:ascii="Times New Roman" w:hAnsi="Times New Roman"/>
          <w:b/>
          <w:color w:val="0D233A"/>
        </w:rPr>
        <w:t xml:space="preserve">  Step 1:  </w:t>
      </w:r>
      <w:r>
        <w:rPr>
          <w:rFonts w:ascii="Times New Roman" w:hAnsi="Times New Roman"/>
          <w:color w:val="111827"/>
        </w:rPr>
        <w:t xml:space="preserve">Point density  ρ = n / A = 80 / 100 = </w:t>
      </w:r>
      <w:r>
        <w:rPr>
          <w:rFonts w:ascii="Times New Roman" w:hAnsi="Times New Roman"/>
          <w:b/>
          <w:color w:val="2F855A"/>
        </w:rPr>
        <w:t xml:space="preserve">0.8 points/unit²
</w:t>
      </w:r>
      <w:r>
        <w:rPr>
          <w:rFonts w:ascii="Times New Roman" w:hAnsi="Times New Roman"/>
          <w:b/>
          <w:color w:val="0D233A"/>
        </w:rPr>
        <w:t xml:space="preserve">  Step 2:  </w:t>
      </w:r>
      <w:r>
        <w:rPr>
          <w:rFonts w:ascii="Times New Roman" w:hAnsi="Times New Roman"/>
          <w:color w:val="111827"/>
        </w:rPr>
        <w:t xml:space="preserve">Expected distance  d_exp = 0.5 / √ρ = 0.5 / √0.8 = 0.5 / 0.8944 = </w:t>
      </w:r>
      <w:r>
        <w:rPr>
          <w:rFonts w:ascii="Times New Roman" w:hAnsi="Times New Roman"/>
          <w:b/>
          <w:color w:val="2F855A"/>
        </w:rPr>
        <w:t xml:space="preserve">0.559 units
</w:t>
      </w:r>
      <w:r>
        <w:rPr>
          <w:rFonts w:ascii="Times New Roman" w:hAnsi="Times New Roman"/>
          <w:b/>
          <w:color w:val="0D233A"/>
        </w:rPr>
        <w:t xml:space="preserve">  Step 3:  </w:t>
      </w:r>
      <w:r>
        <w:rPr>
          <w:rFonts w:ascii="Times New Roman" w:hAnsi="Times New Roman"/>
          <w:color w:val="111827"/>
        </w:rPr>
        <w:t xml:space="preserve">Observed mean distance  d_obs = </w:t>
      </w:r>
      <w:r>
        <w:rPr>
          <w:rFonts w:ascii="Times New Roman" w:hAnsi="Times New Roman"/>
          <w:b/>
          <w:color w:val="2F855A"/>
        </w:rPr>
        <w:t xml:space="preserve">0.312 units</w:t>
      </w:r>
      <w:r>
        <w:rPr>
          <w:rFonts w:ascii="Times New Roman" w:hAnsi="Times New Roman"/>
          <w:color w:val="111827"/>
        </w:rPr>
        <w:t xml:space="preserve">  (measured from point data)
</w:t>
      </w:r>
      <w:r>
        <w:rPr>
          <w:rFonts w:ascii="Times New Roman" w:hAnsi="Times New Roman"/>
          <w:b/>
          <w:color w:val="0D233A"/>
        </w:rPr>
        <w:t xml:space="preserve">  Step 4:  </w:t>
      </w:r>
      <w:r>
        <w:rPr>
          <w:rFonts w:ascii="Times New Roman" w:hAnsi="Times New Roman"/>
          <w:color w:val="111827"/>
        </w:rPr>
        <w:t xml:space="preserve">NNI = d_obs / d_exp = 0.312 / 0.559 = </w:t>
      </w:r>
      <w:r>
        <w:rPr>
          <w:rFonts w:ascii="Times New Roman" w:hAnsi="Times New Roman"/>
          <w:b/>
          <w:color w:val="2F855A"/>
        </w:rPr>
        <w:t xml:space="preserve">0.558</w:t>
      </w:r>
      <w:r>
        <w:rPr>
          <w:rFonts w:ascii="Times New Roman" w:hAnsi="Times New Roman"/>
          <w:color w:val="111827"/>
        </w:rPr>
        <w:t xml:space="preserve">
</w:t>
      </w:r>
      <w:r>
        <w:rPr>
          <w:rFonts w:ascii="Times New Roman" w:hAnsi="Times New Roman"/>
          <w:b/>
          <w:color w:val="0D233A"/>
        </w:rPr>
        <w:t xml:space="preserve">  Step 5:  </w:t>
      </w:r>
      <w:r>
        <w:rPr>
          <w:rFonts w:ascii="Times New Roman" w:hAnsi="Times New Roman"/>
          <w:color w:val="111827"/>
        </w:rPr>
        <w:t xml:space="preserve">Z_NNI = (d_obs − d_exp) / SE = (0.312 − 0.559) / SE ≈ </w:t>
      </w:r>
      <w:r>
        <w:rPr>
          <w:rFonts w:ascii="Times New Roman" w:hAnsi="Times New Roman"/>
          <w:b/>
          <w:color w:val="2F855A"/>
        </w:rPr>
        <w:t xml:space="preserve">−7.56</w:t>
      </w:r>
      <w:r>
        <w:rPr>
          <w:rFonts w:ascii="Times New Roman" w:hAnsi="Times New Roman"/>
          <w:color w:val="111827"/>
        </w:rPr>
        <w:t xml:space="preserve">
</w:t>
      </w:r>
      <w:r>
        <w:rPr>
          <w:rFonts w:ascii="Times New Roman" w:hAnsi="Times New Roman"/>
          <w:b/>
          <w:color w:val="2F855A"/>
        </w:rPr>
        <w:t xml:space="preserve">  Decision: </w:t>
      </w:r>
      <w:r>
        <w:rPr>
          <w:rFonts w:ascii="Times New Roman" w:hAnsi="Times New Roman"/>
          <w:color w:val="111827"/>
        </w:rPr>
        <w:t xml:space="preserve">NNI = 0.558 &lt; 1.0  →  </w:t>
      </w:r>
      <w:r>
        <w:rPr>
          <w:rFonts w:ascii="Times New Roman" w:hAnsi="Times New Roman"/>
          <w:b/>
          <w:color w:val="9B2C2C"/>
        </w:rPr>
        <w:t xml:space="preserve">Clustered pattern.
</w:t>
      </w:r>
      <w:r>
        <w:rPr>
          <w:rFonts w:ascii="Times New Roman" w:hAnsi="Times New Roman"/>
          <w:color w:val="111827"/>
        </w:rPr>
        <w:t xml:space="preserve">  Z_NNI = −7.56  &lt;  −1.96  →  </w:t>
      </w:r>
      <w:r>
        <w:rPr>
          <w:rFonts w:ascii="Times New Roman" w:hAnsi="Times New Roman"/>
          <w:b/>
          <w:color w:val="9B2C2C"/>
        </w:rPr>
        <w:t xml:space="preserve">Statistically significant clustering  (p &lt; 0.00001).</w:t>
      </w:r>
    </w:p>
    <w:p>
      <w:pPr>
        <w:pStyle w:val="Heading2"/>
      </w:pPr>
      <w:bookmarkStart w:name="Sec2.4" w:id="40"/>
      <w:r>
        <w:t>2.4 Kernel Density Estimation (KDE) Modeling</w:t>
      </w:r>
      <w:bookmarkEnd w:id="40"/>
    </w:p>
    <w:p>
      <w:pPr>
        <w:pStyle w:val="Heading3"/>
      </w:pPr>
      <w:bookmarkStart w:name="Sec2.4.1" w:id="41"/>
      <w:r>
        <w:t>2.4.1 KDE Formula</w:t>
      </w:r>
      <w:bookmarkEnd w:id="41"/>
    </w:p>
    <w:p>
      <w:r>
        <w:t>Kernel Density Estimation (KDE) transforms a discrete set of point events into a smooth, continuous density surface. The Gaussian KDE estimator at any location x is given by:</w:t>
      </w:r>
    </w:p>
    <w:p>
      <m:oMathPara xmlns:m="http://schemas.openxmlformats.org/officeDocument/2006/math">
        <m:oMath>
          <m:acc>
            <m:accPr>
              <m:chr m:val="̂"/>
            </m:accPr>
            <m:e>
              <m:r>
                <m:t>f</m:t>
              </m:r>
            </m:e>
          </m:acc>
          <m:d>
            <m:dPr>
              <m:begChr m:val="("/>
              <m:endChr m:val=")"/>
            </m:dPr>
            <m:e>
              <m:r>
                <m:t>x</m:t>
              </m:r>
            </m:e>
          </m:d>
          <m:r>
            <m:t>=</m:t>
          </m:r>
          <m:f>
            <m:num>
              <m:r>
                <m:t>1</m:t>
              </m:r>
            </m:num>
            <m:den>
              <m:r>
                <m:t>n</m:t>
              </m:r>
              <m:r>
                <m:t>h</m:t>
              </m:r>
            </m:den>
          </m:f>
          <m:nary>
            <m:naryPr>
              <m:chr m:val="∑"/>
            </m:naryPr>
            <m:sub>
              <m:r>
                <m:t>i=1</m:t>
              </m:r>
            </m:sub>
            <m:sup>
              <m:r>
                <m:t>n</m:t>
              </m:r>
            </m:sup>
            <m:e>
              <m:r>
                <m:t>K</m:t>
              </m:r>
              <m:d>
                <m:dPr>
                  <m:begChr m:val="("/>
                  <m:endChr m:val=")"/>
                </m:dPr>
                <m:e>
                  <m:f>
                    <m:num>
                      <m:r>
                        <m:t>x</m:t>
                      </m:r>
                      <m:r>
                        <m:t>−</m:t>
                      </m:r>
                      <m:sSub>
                        <m:e>
                          <m:r>
                            <m:t>x</m:t>
                          </m:r>
                        </m:e>
                        <m:sub>
                          <m:r>
                            <m:t>i</m:t>
                          </m:r>
                        </m:sub>
                      </m:sSub>
                    </m:num>
                    <m:den>
                      <m:r>
                        <m:t>h</m:t>
                      </m:r>
                    </m:den>
                  </m:f>
                </m:e>
              </m:d>
            </m:e>
          </m:nary>
        </m:oMath>
      </m:oMathPara>
    </w:p>
    <w:p>
      <w:r>
        <w:rPr>
          <w:rFonts w:ascii="Times New Roman" w:hAnsi="Times New Roman"/>
          <w:b/>
          <w:color w:val="0D233A"/>
        </w:rPr>
        <w:t xml:space="preserve">Equation Parameter Deconstruction:
Where:
</w:t>
      </w:r>
      <w:r>
        <w:rPr>
          <w:rFonts w:ascii="Times New Roman" w:hAnsi="Times New Roman"/>
          <w:b/>
          <w:color w:val="9B2C2C"/>
        </w:rPr>
        <w:t xml:space="preserve">       f̂(x)      </w:t>
      </w:r>
      <w:r>
        <w:rPr>
          <w:rFonts w:ascii="Times New Roman" w:hAnsi="Times New Roman"/>
          <w:color w:val="111827"/>
        </w:rPr>
        <w:t xml:space="preserve">=  KDE density estimate at location x (output: a continuous density surface)
</w:t>
      </w:r>
      <w:r>
        <w:rPr>
          <w:rFonts w:ascii="Times New Roman" w:hAnsi="Times New Roman"/>
          <w:b/>
          <w:color w:val="2B6CB0"/>
        </w:rPr>
        <w:t xml:space="preserve">       n          </w:t>
      </w:r>
      <w:r>
        <w:rPr>
          <w:rFonts w:ascii="Times New Roman" w:hAnsi="Times New Roman"/>
          <w:color w:val="111827"/>
        </w:rPr>
        <w:t xml:space="preserve">=  total number of input points (n = 80)
</w:t>
      </w:r>
      <w:r>
        <w:rPr>
          <w:rFonts w:ascii="Times New Roman" w:hAnsi="Times New Roman"/>
          <w:b/>
          <w:color w:val="2B6CB0"/>
        </w:rPr>
        <w:t xml:space="preserve">       h          </w:t>
      </w:r>
      <w:r>
        <w:rPr>
          <w:rFonts w:ascii="Times New Roman" w:hAnsi="Times New Roman"/>
          <w:color w:val="111827"/>
        </w:rPr>
        <w:t xml:space="preserve">=  bandwidth (smoothing parameter); controls the radius of influence of each point  (h = 1.5 units in this study)
</w:t>
      </w:r>
      <w:r>
        <w:rPr>
          <w:rFonts w:ascii="Times New Roman" w:hAnsi="Times New Roman"/>
          <w:b/>
          <w:color w:val="2B6CB0"/>
        </w:rPr>
        <w:t xml:space="preserve">       x_i        </w:t>
      </w:r>
      <w:r>
        <w:rPr>
          <w:rFonts w:ascii="Times New Roman" w:hAnsi="Times New Roman"/>
          <w:color w:val="111827"/>
        </w:rPr>
        <w:t xml:space="preserve">=  coordinate of input point i
</w:t>
      </w:r>
      <w:r>
        <w:rPr>
          <w:rFonts w:ascii="Times New Roman" w:hAnsi="Times New Roman"/>
          <w:b/>
          <w:color w:val="2B6CB0"/>
        </w:rPr>
        <w:t xml:space="preserve">       K(·)       </w:t>
      </w:r>
      <w:r>
        <w:rPr>
          <w:rFonts w:ascii="Times New Roman" w:hAnsi="Times New Roman"/>
          <w:color w:val="111827"/>
        </w:rPr>
        <w:t xml:space="preserve">=  kernel function; here a Gaussian kernel: K(u) = (1/√2π) · e^(−u²/2)
</w:t>
      </w:r>
      <w:r>
        <w:rPr>
          <w:rFonts w:ascii="Times New Roman" w:hAnsi="Times New Roman"/>
          <w:b/>
          <w:color w:val="2B6CB0"/>
        </w:rPr>
        <w:t xml:space="preserve">  (x − x_i) / h   </w:t>
      </w:r>
      <w:r>
        <w:rPr>
          <w:rFonts w:ascii="Times New Roman" w:hAnsi="Times New Roman"/>
          <w:color w:val="111827"/>
        </w:rPr>
        <w:t xml:space="preserve">=  standardised distance from estimation point x to input point x_i
</w:t>
      </w:r>
      <w:r>
        <w:rPr>
          <w:rFonts w:ascii="Times New Roman" w:hAnsi="Times New Roman"/>
          <w:b/>
          <w:color w:val="C05621"/>
        </w:rPr>
        <w:t xml:space="preserve">  Effect of bandwidth h: </w:t>
      </w:r>
      <w:r>
        <w:rPr>
          <w:rFonts w:ascii="Times New Roman" w:hAnsi="Times New Roman"/>
          <w:color w:val="111827"/>
        </w:rPr>
        <w:t xml:space="preserve">Small h → sharp, peaked surface (undersmoothed, captures local noise). Large h → flat, diffuse surface (oversmoothed, hides spatial structure). h = 1.5 units provides optimal balance for a 10-unit study area.</w:t>
      </w:r>
    </w:p>
    <w:p>
      <w:pPr>
        <w:pStyle w:val="Heading3"/>
      </w:pPr>
      <w:bookmarkStart w:name="Sec2.4.2" w:id="42"/>
      <w:r>
        <w:t>2.4.2 Density Visualisation</w:t>
      </w:r>
      <w:bookmarkEnd w:id="42"/>
    </w:p>
    <w:p>
      <w:r>
        <w:t>Figure 8 displays the KDE surface calculated for the clustered point pattern. Using a Gaussian kernel and a bandwidth of 1.5 units, the density surface isolates the core hotspot at the bottom left, providing a continuous density estimate across the study region.</w:t>
      </w:r>
    </w:p>
    <w:p>
      <w:pPr>
        <w:keepNext/>
        <w:jc w:val="center"/>
        <w:spacing w:before="120" w:after="60"/>
      </w:pPr>
      <w:r>
        <w:drawing>
          <wp:inline xmlns:wp="http://schemas.openxmlformats.org/drawingml/2006/wordprocessingDrawing" distT="0" distB="0" distL="0" distR="0">
            <wp:extent cx="4320000" cy="3685201"/>
            <wp:effectExtent l="0" t="0" r="0" b="0"/>
            <wp:docPr id="18" name="Figure 8: KD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8: KDE Surface.png"/>
                    <pic:cNvPicPr/>
                  </pic:nvPicPr>
                  <pic:blipFill>
                    <a:blip xmlns:r="http://schemas.openxmlformats.org/officeDocument/2006/relationships" r:embed="R883373d3e17646ee"/>
                    <a:stretch>
                      <a:fillRect/>
                    </a:stretch>
                  </pic:blipFill>
                  <pic:spPr>
                    <a:xfrm>
                      <a:off x="0" y="0"/>
                      <a:ext cx="4320000" cy="3685201"/>
                    </a:xfrm>
                    <a:prstGeom prst="rect"/>
                  </pic:spPr>
                </pic:pic>
              </a:graphicData>
            </a:graphic>
          </wp:inline>
        </w:drawing>
      </w:r>
    </w:p>
    <w:p>
      <w:pPr>
        <w:pStyle w:val="Caption"/>
      </w:pPr>
      <w:r>
        <w:t>Figure 8: Kernel Density Estimation (KDE) Surface</w:t>
      </w:r>
    </w:p>
    <w:p>
      <w:r>
        <w:br w:type="page"/>
      </w:r>
    </w:p>
    <w:p>
      <w:pPr>
        <w:pStyle w:val="Heading2"/>
      </w:pPr>
      <w:bookmarkStart w:name="Sec2.5" w:id="43"/>
      <w:r>
        <w:t>2.5 Ripley's K &amp; Besag's L-Function Multi-Scale Analysis</w:t>
      </w:r>
      <w:bookmarkEnd w:id="43"/>
    </w:p>
    <w:p>
      <w:pPr>
        <w:pStyle w:val="Heading3"/>
      </w:pPr>
      <w:bookmarkStart w:name="Sec2.5.1" w:id="44"/>
      <w:r>
        <w:t>2.5.1 Mathematical Definition</w:t>
      </w:r>
      <w:bookmarkEnd w:id="44"/>
    </w:p>
    <w:p>
      <w:r>
        <w:t>While NNI only considers the distance to the single nearest neighbor, Ripley's K-function evaluates spatial dependency across a range of search distances, capturing multi-scale clustering patterns. The mathematical formula for the K-function is defined as:</w:t>
      </w:r>
    </w:p>
    <w:p>
      <m:oMathPara xmlns:m="http://schemas.openxmlformats.org/officeDocument/2006/math">
        <m:oMath>
          <m:r>
            <m:t>K</m:t>
          </m:r>
          <m:d>
            <m:dPr>
              <m:begChr m:val="("/>
              <m:endChr m:val=")"/>
            </m:dPr>
            <m:e>
              <m:r>
                <m:t>r</m:t>
              </m:r>
            </m:e>
          </m:d>
          <m:r>
            <m:t>=</m:t>
          </m:r>
          <m:f>
            <m:num>
              <m:r>
                <m:t>A</m:t>
              </m:r>
            </m:num>
            <m:den>
              <m:sSup>
                <m:e>
                  <m:r>
                    <m:t>n</m:t>
                  </m:r>
                </m:e>
                <m:sup>
                  <m:r>
                    <m:t>2</m:t>
                  </m:r>
                </m:sup>
              </m:sSup>
            </m:den>
          </m:f>
          <m:r>
            <m:t>·</m:t>
          </m:r>
          <m:nary>
            <m:naryPr>
              <m:chr m:val="∑"/>
            </m:naryPr>
            <m:sub>
              <m:r>
                <m:t>i=1</m:t>
              </m:r>
            </m:sub>
            <m:sup>
              <m:r>
                <m:t>n</m:t>
              </m:r>
            </m:sup>
            <m:e>
              <m:nary>
                <m:naryPr>
                  <m:chr m:val="∑"/>
                </m:naryPr>
                <m:sub>
                  <m:r>
                    <m:t>j≠i</m:t>
                  </m:r>
                </m:sub>
                <m:sup>
                  <m:r>
                    <m:t>n</m:t>
                  </m:r>
                </m:sup>
                <m:e>
                  <m:sSub>
                    <m:e>
                      <m:r>
                        <m:t>w</m:t>
                      </m:r>
                    </m:e>
                    <m:sub>
                      <m:r>
                        <m:t>ij</m:t>
                      </m:r>
                    </m:sub>
                  </m:sSub>
                  <m:r>
                    <m:t>·</m:t>
                  </m:r>
                  <m:r>
                    <m:t>I</m:t>
                  </m:r>
                  <m:d>
                    <m:dPr>
                      <m:begChr m:val="("/>
                      <m:endChr m:val=")"/>
                    </m:dPr>
                    <m:e>
                      <m:sSub>
                        <m:e>
                          <m:r>
                            <m:t>d</m:t>
                          </m:r>
                        </m:e>
                        <m:sub>
                          <m:r>
                            <m:t>ij</m:t>
                          </m:r>
                        </m:sub>
                      </m:sSub>
                      <m:r>
                        <m:t>≤</m:t>
                      </m:r>
                      <m:r>
                        <m:t>r</m:t>
                      </m:r>
                    </m:e>
                  </m:d>
                </m:e>
              </m:nary>
            </m:e>
          </m:nary>
        </m:oMath>
      </m:oMathPara>
    </w:p>
    <w:p>
      <w:r>
        <w:t>where A is the study area size, n is the number of points, d_ij is the distance between points i and j, I is an indicator function (equal to 1 if d_ij &lt;= r, and 0 otherwise), and w_ij is the isotropic edge correction weight. For ease of interpretation, Besag (1977) introduced the L-function, which linearizes K(r):</w:t>
      </w:r>
    </w:p>
    <w:p>
      <m:oMathPara xmlns:m="http://schemas.openxmlformats.org/officeDocument/2006/math">
        <m:oMath>
          <m:r>
            <m:t>L</m:t>
          </m:r>
          <m:d>
            <m:dPr>
              <m:begChr m:val="("/>
              <m:endChr m:val=")"/>
            </m:dPr>
            <m:e>
              <m:r>
                <m:t>r</m:t>
              </m:r>
            </m:e>
          </m:d>
          <m:r>
            <m:t>=</m:t>
          </m:r>
          <m:rad>
            <m:radPr>
              <m:degHide m:val="true"/>
            </m:radPr>
            <m:deg/>
            <m:e>
              <m:f>
                <m:num>
                  <m:r>
                    <m:t>K</m:t>
                  </m:r>
                  <m:d>
                    <m:dPr>
                      <m:begChr m:val="("/>
                      <m:endChr m:val=")"/>
                    </m:dPr>
                    <m:e>
                      <m:r>
                        <m:t>r</m:t>
                      </m:r>
                    </m:e>
                  </m:d>
                </m:num>
                <m:den>
                  <m:r>
                    <m:t>π</m:t>
                  </m:r>
                </m:den>
              </m:f>
            </m:e>
          </m:rad>
          <m:r>
            <m:t>-</m:t>
          </m:r>
          <m:r>
            <m:t>r</m:t>
          </m:r>
        </m:oMath>
      </m:oMathPara>
    </w:p>
    <w:p>
      <w:r>
        <w:rPr>
          <w:rFonts w:ascii="Times New Roman" w:hAnsi="Times New Roman"/>
          <w:b/>
          <w:color w:val="0D233A"/>
        </w:rPr>
        <w:t xml:space="preserve">Equation Parameter Deconstruction:
Where:
</w:t>
      </w:r>
      <w:r>
        <w:rPr>
          <w:rFonts w:ascii="Times New Roman" w:hAnsi="Times New Roman"/>
          <w:b/>
          <w:color w:val="9B2C2C"/>
        </w:rPr>
        <w:t xml:space="preserve">       K(r)         </w:t>
      </w:r>
      <w:r>
        <w:rPr>
          <w:rFonts w:ascii="Times New Roman" w:hAnsi="Times New Roman"/>
          <w:color w:val="111827"/>
        </w:rPr>
        <w:t xml:space="preserve">=  Ripley's K-function value at search radius r
</w:t>
      </w:r>
      <w:r>
        <w:rPr>
          <w:rFonts w:ascii="Times New Roman" w:hAnsi="Times New Roman"/>
          <w:b/>
          <w:color w:val="2B6CB0"/>
        </w:rPr>
        <w:t xml:space="preserve">       A            </w:t>
      </w:r>
      <w:r>
        <w:rPr>
          <w:rFonts w:ascii="Times New Roman" w:hAnsi="Times New Roman"/>
          <w:color w:val="111827"/>
        </w:rPr>
        <w:t xml:space="preserve">=  total area of the study region (A = 100 units²)
</w:t>
      </w:r>
      <w:r>
        <w:rPr>
          <w:rFonts w:ascii="Times New Roman" w:hAnsi="Times New Roman"/>
          <w:b/>
          <w:color w:val="2B6CB0"/>
        </w:rPr>
        <w:t xml:space="preserve">       n            </w:t>
      </w:r>
      <w:r>
        <w:rPr>
          <w:rFonts w:ascii="Times New Roman" w:hAnsi="Times New Roman"/>
          <w:color w:val="111827"/>
        </w:rPr>
        <w:t xml:space="preserve">=  number of event points (n = 80)
</w:t>
      </w:r>
      <w:r>
        <w:rPr>
          <w:rFonts w:ascii="Times New Roman" w:hAnsi="Times New Roman"/>
          <w:b/>
          <w:color w:val="2B6CB0"/>
        </w:rPr>
        <w:t xml:space="preserve">       d_ij         </w:t>
      </w:r>
      <w:r>
        <w:rPr>
          <w:rFonts w:ascii="Times New Roman" w:hAnsi="Times New Roman"/>
          <w:color w:val="111827"/>
        </w:rPr>
        <w:t xml:space="preserve">=  Euclidean distance between point i and point j
</w:t>
      </w:r>
      <w:r>
        <w:rPr>
          <w:rFonts w:ascii="Times New Roman" w:hAnsi="Times New Roman"/>
          <w:b/>
          <w:color w:val="2B6CB0"/>
        </w:rPr>
        <w:t xml:space="preserve">       I(d_ij ≤ r)  </w:t>
      </w:r>
      <w:r>
        <w:rPr>
          <w:rFonts w:ascii="Times New Roman" w:hAnsi="Times New Roman"/>
          <w:color w:val="111827"/>
        </w:rPr>
        <w:t xml:space="preserve">=  indicator function:  = 1 if d_ij ≤ r,  = 0 otherwise
</w:t>
      </w:r>
      <w:r>
        <w:rPr>
          <w:rFonts w:ascii="Times New Roman" w:hAnsi="Times New Roman"/>
          <w:b/>
          <w:color w:val="2B6CB0"/>
        </w:rPr>
        <w:t xml:space="preserve">       w_ij         </w:t>
      </w:r>
      <w:r>
        <w:rPr>
          <w:rFonts w:ascii="Times New Roman" w:hAnsi="Times New Roman"/>
          <w:color w:val="111827"/>
        </w:rPr>
        <w:t xml:space="preserve">=  isotropic edge correction weight — adjusts for points near the boundary whose search circles extend outside the study area
</w:t>
      </w:r>
      <w:r>
        <w:rPr>
          <w:rFonts w:ascii="Times New Roman" w:hAnsi="Times New Roman"/>
          <w:b/>
          <w:color w:val="9B2C2C"/>
        </w:rPr>
        <w:t xml:space="preserve">       L(r)         </w:t>
      </w:r>
      <w:r>
        <w:rPr>
          <w:rFonts w:ascii="Times New Roman" w:hAnsi="Times New Roman"/>
          <w:color w:val="111827"/>
        </w:rPr>
        <w:t xml:space="preserve">=  Besag's linearised L-function = √[K(r)/π] − r
</w:t>
      </w:r>
      <w:r>
        <w:rPr>
          <w:rFonts w:ascii="Times New Roman" w:hAnsi="Times New Roman"/>
          <w:color w:val="111827"/>
        </w:rPr>
        <w:t xml:space="preserve">                    </w:t>
      </w:r>
      <w:r>
        <w:rPr>
          <w:rFonts w:ascii="Times New Roman" w:hAnsi="Times New Roman"/>
          <w:color w:val="111827"/>
        </w:rPr>
        <w:t xml:space="preserve">Under Complete Spatial Randomness (CSR):  L(r) = 0
</w:t>
      </w:r>
      <w:r>
        <w:rPr>
          <w:rFonts w:ascii="Times New Roman" w:hAnsi="Times New Roman"/>
          <w:b/>
          <w:color w:val="2F855A"/>
        </w:rPr>
        <w:t xml:space="preserve">                    L(r) &gt; 0  </w:t>
      </w:r>
      <w:r>
        <w:rPr>
          <w:rFonts w:ascii="Times New Roman" w:hAnsi="Times New Roman"/>
          <w:color w:val="111827"/>
        </w:rPr>
        <w:t xml:space="preserve">→ more points within radius r than expected under CSR → Clustering
</w:t>
      </w:r>
      <w:r>
        <w:rPr>
          <w:rFonts w:ascii="Times New Roman" w:hAnsi="Times New Roman"/>
          <w:b/>
          <w:color w:val="9B2C2C"/>
        </w:rPr>
        <w:t xml:space="preserve">                    L(r) &lt; 0  </w:t>
      </w:r>
      <w:r>
        <w:rPr>
          <w:rFonts w:ascii="Times New Roman" w:hAnsi="Times New Roman"/>
          <w:color w:val="111827"/>
        </w:rPr>
        <w:t xml:space="preserve">→ fewer points than expected → Dispersion</w:t>
      </w:r>
    </w:p>
    <w:p>
      <w:pPr>
        <w:pStyle w:val="Heading3"/>
      </w:pPr>
      <w:bookmarkStart w:name="Sec2.5.2" w:id="45"/>
      <w:r>
        <w:t>2.5.2 Multi-Scale Results &amp; Interpretation</w:t>
      </w:r>
      <w:bookmarkEnd w:id="45"/>
    </w:p>
    <w:p>
      <w:r>
        <w:t>Figure 9 plots the calculated L(r) values against search distance r. The observed curve (solid navy) lies significantly above the theoretical CSR line (dashed gray) and the 95% confidence envelope (shaded gray region) across all distances from r=0 to r=4.5. This indicates that the point pattern exhibits statistically significant clustering across multiple spatial scales, peaking at a search distance of r=2.5.</w:t>
      </w:r>
    </w:p>
    <w:p>
      <w:pPr>
        <w:keepNext/>
        <w:jc w:val="center"/>
        <w:spacing w:before="120" w:after="60"/>
      </w:pPr>
      <w:r>
        <w:drawing>
          <wp:inline xmlns:wp="http://schemas.openxmlformats.org/drawingml/2006/wordprocessingDrawing" distT="0" distB="0" distL="0" distR="0">
            <wp:extent cx="4320000" cy="3227251"/>
            <wp:effectExtent l="0" t="0" r="0" b="0"/>
            <wp:docPr id="19" name="Figure 9: Ripley's K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 Ripley's K Curve.png"/>
                    <pic:cNvPicPr/>
                  </pic:nvPicPr>
                  <pic:blipFill>
                    <a:blip xmlns:r="http://schemas.openxmlformats.org/officeDocument/2006/relationships" r:embed="R8951c8d3d31d4dbf"/>
                    <a:stretch>
                      <a:fillRect/>
                    </a:stretch>
                  </pic:blipFill>
                  <pic:spPr>
                    <a:xfrm>
                      <a:off x="0" y="0"/>
                      <a:ext cx="4320000" cy="3227251"/>
                    </a:xfrm>
                    <a:prstGeom prst="rect"/>
                  </pic:spPr>
                </pic:pic>
              </a:graphicData>
            </a:graphic>
          </wp:inline>
        </w:drawing>
      </w:r>
    </w:p>
    <w:p>
      <w:pPr>
        <w:pStyle w:val="Caption"/>
      </w:pPr>
      <w:r>
        <w:t>Figure 9: Ripley's K-function and L-function with Edge Correction</w:t>
      </w:r>
    </w:p>
    <w:p>
      <w:r>
        <w:rPr>
          <w:rFonts w:ascii="Times New Roman" w:hAnsi="Times New Roman"/>
          <w:b/>
          <w:color w:val="0D233A"/>
        </w:rPr>
        <w:t xml:space="preserve">Multi-scale Interpretation:
</w:t>
      </w:r>
      <w:r>
        <w:rPr>
          <w:rFonts w:ascii="Times New Roman" w:hAnsi="Times New Roman"/>
          <w:color w:val="111827"/>
        </w:rPr>
        <w:t xml:space="preserve">• For search radius </w:t>
      </w:r>
      <w:r>
        <w:rPr>
          <w:rFonts w:ascii="Times New Roman" w:hAnsi="Times New Roman"/>
          <w:b/>
          <w:color w:val="2B6CB0"/>
        </w:rPr>
        <w:t xml:space="preserve">r = 1.0</w:t>
      </w:r>
      <w:r>
        <w:rPr>
          <w:rFonts w:ascii="Times New Roman" w:hAnsi="Times New Roman"/>
          <w:color w:val="111827"/>
        </w:rPr>
        <w:t xml:space="preserve">, the observed L(r) is </w:t>
      </w:r>
      <w:r>
        <w:rPr>
          <w:rFonts w:ascii="Times New Roman" w:hAnsi="Times New Roman"/>
          <w:b/>
          <w:color w:val="2F855A"/>
        </w:rPr>
        <w:t xml:space="preserve">+0.42</w:t>
      </w:r>
      <w:r>
        <w:rPr>
          <w:rFonts w:ascii="Times New Roman" w:hAnsi="Times New Roman"/>
          <w:color w:val="111827"/>
        </w:rPr>
        <w:t xml:space="preserve">, which lies above the 95% confidence envelope [+0.08, -0.08]. This indicates significant clustering at small localized scales.
</w:t>
      </w:r>
      <w:r>
        <w:rPr>
          <w:rFonts w:ascii="Times New Roman" w:hAnsi="Times New Roman"/>
          <w:color w:val="111827"/>
        </w:rPr>
        <w:t xml:space="preserve">• At search radius </w:t>
      </w:r>
      <w:r>
        <w:rPr>
          <w:rFonts w:ascii="Times New Roman" w:hAnsi="Times New Roman"/>
          <w:b/>
          <w:color w:val="2B6CB0"/>
        </w:rPr>
        <w:t xml:space="preserve">r = 2.5</w:t>
      </w:r>
      <w:r>
        <w:rPr>
          <w:rFonts w:ascii="Times New Roman" w:hAnsi="Times New Roman"/>
          <w:color w:val="111827"/>
        </w:rPr>
        <w:t xml:space="preserve">, the observed L(r) reaches its maximum peak at </w:t>
      </w:r>
      <w:r>
        <w:rPr>
          <w:rFonts w:ascii="Times New Roman" w:hAnsi="Times New Roman"/>
          <w:b/>
          <w:color w:val="2F855A"/>
        </w:rPr>
        <w:t xml:space="preserve">+1.28</w:t>
      </w:r>
      <w:r>
        <w:rPr>
          <w:rFonts w:ascii="Times New Roman" w:hAnsi="Times New Roman"/>
          <w:color w:val="111827"/>
        </w:rPr>
        <w:t xml:space="preserve"> (confidence envelope [+0.15, -0.15]). This represents the predominant scale of clustering, matching the physical dimensions of the prevalence hotspot.
</w:t>
      </w:r>
      <w:r>
        <w:rPr>
          <w:rFonts w:ascii="Times New Roman" w:hAnsi="Times New Roman"/>
          <w:color w:val="111827"/>
        </w:rPr>
        <w:t xml:space="preserve">• At larger scales (</w:t>
      </w:r>
      <w:r>
        <w:rPr>
          <w:rFonts w:ascii="Times New Roman" w:hAnsi="Times New Roman"/>
          <w:b/>
          <w:color w:val="2B6CB0"/>
        </w:rPr>
        <w:t xml:space="preserve">r &gt; 4.0</w:t>
      </w:r>
      <w:r>
        <w:rPr>
          <w:rFonts w:ascii="Times New Roman" w:hAnsi="Times New Roman"/>
          <w:color w:val="111827"/>
        </w:rPr>
        <w:t xml:space="preserve">), the curve remains above the envelope, indicating that the clustering is not just a local phenomenon but structures the spatial distribution globally.</w:t>
      </w:r>
    </w:p>
    <w:p>
      <w:pPr>
        <w:pStyle w:val="Heading3"/>
      </w:pPr>
      <w:bookmarkStart w:name="Sec2.5.3" w:id="46"/>
      <w:r>
        <w:t>2.5.3 Spatial Analytics Dashboard</w:t>
      </w:r>
      <w:bookmarkEnd w:id="46"/>
    </w:p>
    <w:p>
      <w:r>
        <w:t>The integrated dashboard in Figure 10 displays the complete spatial analysis workspace, consolidating the prevalence grid, weights matrix, LISA clusters, hotspot mapping, and Ripley's K curve.</w:t>
      </w:r>
    </w:p>
    <w:p>
      <w:pPr>
        <w:keepNext/>
        <w:jc w:val="center"/>
        <w:spacing w:before="120" w:after="60"/>
      </w:pPr>
      <w:r>
        <w:drawing>
          <wp:inline xmlns:wp="http://schemas.openxmlformats.org/drawingml/2006/wordprocessingDrawing" distT="0" distB="0" distL="0" distR="0">
            <wp:extent cx="5400000" cy="4936128"/>
            <wp:effectExtent l="0" t="0" r="0" b="0"/>
            <wp:docPr id="20" name="Figure 10: Integrated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 Integrated Dashboard.png"/>
                    <pic:cNvPicPr/>
                  </pic:nvPicPr>
                  <pic:blipFill>
                    <a:blip xmlns:r="http://schemas.openxmlformats.org/officeDocument/2006/relationships" r:embed="R7ccca38b7c514f1b"/>
                    <a:stretch>
                      <a:fillRect/>
                    </a:stretch>
                  </pic:blipFill>
                  <pic:spPr>
                    <a:xfrm>
                      <a:off x="0" y="0"/>
                      <a:ext cx="5400000" cy="4936128"/>
                    </a:xfrm>
                    <a:prstGeom prst="rect"/>
                  </pic:spPr>
                </pic:pic>
              </a:graphicData>
            </a:graphic>
          </wp:inline>
        </w:drawing>
      </w:r>
    </w:p>
    <w:p>
      <w:pPr>
        <w:pStyle w:val="Caption"/>
      </w:pPr>
      <w:r>
        <w:t>Figure 10: Integrated Spatial Analytics Dashboard</w:t>
      </w:r>
    </w:p>
    <w:p>
      <w:r>
        <w:br w:type="page"/>
      </w:r>
    </w:p>
    <w:p>
      <w:pPr>
        <w:pStyle w:val="Heading1"/>
      </w:pPr>
      <w:bookmarkStart w:name="Sec3" w:id="47"/>
      <w:r>
        <w:t>3. REFERENCES</w:t>
      </w:r>
      <w:bookmarkEnd w:id="47"/>
    </w:p>
    <w:p>
      <w:pPr>
        <w:spacing w:before="60" w:after="120"/>
        <w:ind w:left="360" w:hanging="360"/>
      </w:pPr>
      <w:r>
        <w:t>Anselin, L. (1995). Local Indicators of Spatial Association—LISA. Geographical Analysis, 27(2), 93-115.</w:t>
      </w:r>
    </w:p>
    <w:p>
      <w:pPr>
        <w:spacing w:before="60" w:after="120"/>
        <w:ind w:left="360" w:hanging="360"/>
      </w:pPr>
      <w:r>
        <w:t>Besag, J. (1977). Comments on Ripley's paper. Journal of the Royal Statistical Society. Series B, 39(2), 193-195.</w:t>
      </w:r>
    </w:p>
    <w:p>
      <w:pPr>
        <w:spacing w:before="60" w:after="120"/>
        <w:ind w:left="360" w:hanging="360"/>
      </w:pPr>
      <w:r>
        <w:t>Getis, A., &amp; Ord, J. K. (1992). The analysis of spatial association by use of distance statistics. Geographical Analysis, 24(3), 189-206.</w:t>
      </w:r>
    </w:p>
    <w:p>
      <w:pPr>
        <w:spacing w:before="60" w:after="120"/>
        <w:ind w:left="360" w:hanging="360"/>
      </w:pPr>
      <w:r>
        <w:t>Moran, P. A. (1950). Notes on continuous stochastic phenomena. Biometrika, 37(1/2), 17-23.</w:t>
      </w:r>
    </w:p>
    <w:p>
      <w:pPr>
        <w:spacing w:before="60" w:after="120"/>
        <w:ind w:left="360" w:hanging="360"/>
      </w:pPr>
      <w:r>
        <w:t>Ripley, B. D. (1976). The second-order analysis of stationary point processes. Journal of Applied Probability, 13(2), 255-266.</w:t>
      </w:r>
    </w:p>
    <w:p>
      <w:pPr>
        <w:spacing w:before="60" w:after="120"/>
        <w:ind w:left="360" w:hanging="360"/>
      </w:pPr>
      <w:r>
        <w:t>Tobler, W. R. (1970). A computer movie simulating urban growth in the Detroit region. Economic Geography, 46, 234-240.</w:t>
      </w:r>
    </w:p>
    <w:p>
      <w:r>
        <w:br w:type="page"/>
      </w:r>
    </w:p>
    <w:p>
      <w:pPr>
        <w:pStyle w:val="Heading1"/>
      </w:pPr>
      <w:bookmarkStart w:name="Sec4" w:id="48"/>
      <w:r>
        <w:t>4. APPENDIX: FORMULAS &amp; DATA MATRIX</w:t>
      </w:r>
      <w:bookmarkEnd w:id="48"/>
    </w:p>
    <w:p>
      <w:pPr>
        <w:pStyle w:val="Heading2"/>
      </w:pPr>
      <w:bookmarkStart w:name="Sec4.1" w:id="49"/>
      <w:r>
        <w:t>4.1 Complete Statistical Formula Summary</w:t>
      </w:r>
      <w:bookmarkEnd w:id="49"/>
    </w:p>
    <w:p>
      <w:r>
        <w:t>This appendix compiles the core equations used in our spatial statistics calculations:</w:t>
      </w:r>
    </w:p>
    <w:tbl>
      <w:tblPr>
        <w:tblW w:w="5000" w:type="pct"/>
        <w:tblBorders>
          <w:top w:val="single" w:color="0D233A" w:sz="12"/>
          <w:left w:val="nil"/>
          <w:bottom w:val="single" w:color="0D233A" w:sz="12"/>
          <w:right w:val="nil"/>
          <w:insideH w:val="single" w:color="D1D5DB" w:sz="4"/>
          <w:insideV w:val="nil"/>
        </w:tblBorders>
      </w:tblPr>
      <w:tblGrid>
        <w:gridCol w:w="3000"/>
        <w:gridCol w:w="7000"/>
      </w:tblGrid>
      <w:tr>
        <w:trPr>
          <w:tblHeader/>
        </w:trPr>
        <w:tc>
          <w:tcPr>
            <w:tcW w:w="0" w:type="auto"/>
            <w:shd w:val="clear" w:fill="F3F4F6"/>
          </w:tcPr>
          <w:p>
            <w:pPr>
              <w:jc w:val="center"/>
              <w:spacing w:before="60" w:after="60"/>
            </w:pPr>
            <w:r>
              <w:rPr>
                <w:sz w:val="20"/>
                <w:color w:val="111827"/>
                <w:b/>
              </w:rPr>
              <w:t>Statistic Type</w:t>
            </w:r>
          </w:p>
        </w:tc>
        <w:tc>
          <w:tcPr>
            <w:tcW w:w="0" w:type="auto"/>
            <w:shd w:val="clear" w:fill="F3F4F6"/>
          </w:tcPr>
          <w:p>
            <w:pPr>
              <w:jc w:val="center"/>
              <w:spacing w:before="60" w:after="60"/>
            </w:pPr>
            <w:r>
              <w:rPr>
                <w:sz w:val="20"/>
                <w:color w:val="111827"/>
                <w:b/>
              </w:rPr>
              <w:t>Mathematical Expression / Definition</w:t>
            </w:r>
          </w:p>
        </w:tc>
      </w:tr>
      <w:tr>
        <w:tc>
          <w:tcPr>
            <w:tcW w:w="3000" w:type="dxa"/>
            <w:shd w:val="clear" w:fill="F3F4F6"/>
          </w:tcPr>
          <w:p>
            <w:pPr>
              <w:jc w:val="center"/>
              <w:spacing w:before="60" w:after="60"/>
            </w:pPr>
            <w:r>
              <w:rPr>
                <w:rFonts w:ascii="Times New Roman" w:hAnsi="Times New Roman"/>
                <w:sz w:val="20"/>
                <w:color w:val="111827"/>
                <w:b/>
              </w:rPr>
              <w:t>Row Standardisation</w:t>
            </w:r>
          </w:p>
        </w:tc>
        <w:tc>
          <w:tcPr>
            <w:tcW w:w="7000" w:type="dxa"/>
          </w:tcPr>
          <w:p>
            <w:pPr>
              <w:jc w:val="center"/>
              <w:spacing w:before="60" w:after="60"/>
            </w:pPr>
            <m:oMathPara xmlns:m="http://schemas.openxmlformats.org/officeDocument/2006/math">
              <m:oMath>
                <m:sSub>
                  <m:e>
                    <m:r>
                      <m:t>w</m:t>
                    </m:r>
                  </m:e>
                  <m:sub>
                    <m:r>
                      <m:t>ij</m:t>
                    </m:r>
                  </m:sub>
                </m:sSub>
                <m:sSub>
                  <m:e>
                    <m:r>
                      <m:t/>
                    </m:r>
                  </m:e>
                  <m:sub>
                    <m:r>
                      <m:t>std</m:t>
                    </m:r>
                  </m:sub>
                </m:sSub>
                <m:r>
                  <m:t>=</m:t>
                </m:r>
                <m:f>
                  <m:num>
                    <m:sSub>
                      <m:e>
                        <m:r>
                          <m:t>w</m:t>
                        </m:r>
                      </m:e>
                      <m:sub>
                        <m:r>
                          <m:t>ij</m:t>
                        </m:r>
                      </m:sub>
                    </m:sSub>
                  </m:num>
                  <m:den>
                    <m:nary>
                      <m:naryPr>
                        <m:chr m:val="∑"/>
                      </m:naryPr>
                      <m:sub>
                        <m:r>
                          <m:t>k=1</m:t>
                        </m:r>
                      </m:sub>
                      <m:sup>
                        <m:r>
                          <m:t>N</m:t>
                        </m:r>
                      </m:sup>
                      <m:e>
                        <m:sSub>
                          <m:e>
                            <m:r>
                              <m:t>w</m:t>
                            </m:r>
                          </m:e>
                          <m:sub>
                            <m:r>
                              <m:t>ik</m:t>
                            </m:r>
                          </m:sub>
                        </m:sSub>
                      </m:e>
                    </m:nary>
                  </m:den>
                </m:f>
              </m:oMath>
            </m:oMathPara>
          </w:p>
        </w:tc>
      </w:tr>
      <w:tr>
        <w:tc>
          <w:tcPr>
            <w:tcW w:w="3000" w:type="dxa"/>
            <w:shd w:val="clear" w:fill="F3F4F6"/>
          </w:tcPr>
          <w:p>
            <w:pPr>
              <w:jc w:val="center"/>
              <w:spacing w:before="60" w:after="60"/>
            </w:pPr>
            <w:r>
              <w:rPr>
                <w:rFonts w:ascii="Times New Roman" w:hAnsi="Times New Roman"/>
                <w:sz w:val="20"/>
                <w:color w:val="111827"/>
                <w:b/>
              </w:rPr>
              <w:t>Global Moran's I Expected</w:t>
            </w:r>
          </w:p>
        </w:tc>
        <w:tc>
          <w:tcPr>
            <w:tcW w:w="7000" w:type="dxa"/>
          </w:tcPr>
          <w:p>
            <w:pPr>
              <w:jc w:val="center"/>
              <w:spacing w:before="60" w:after="60"/>
            </w:pPr>
            <m:oMathPara xmlns:m="http://schemas.openxmlformats.org/officeDocument/2006/math">
              <m:oMath>
                <m:sSub>
                  <m:e>
                    <m:r>
                      <m:t>E</m:t>
                    </m:r>
                  </m:e>
                  <m:sub>
                    <m:r>
                      <m:t>I</m:t>
                    </m:r>
                  </m:sub>
                </m:sSub>
                <m:r>
                  <m:t>=</m:t>
                </m:r>
                <m:f>
                  <m:num>
                    <m:r>
                      <m:t>-1</m:t>
                    </m:r>
                  </m:num>
                  <m:den>
                    <m:r>
                      <m:t>N</m:t>
                    </m:r>
                    <m:r>
                      <m:t>-</m:t>
                    </m:r>
                    <m:r>
                      <m:t>1</m:t>
                    </m:r>
                  </m:den>
                </m:f>
              </m:oMath>
            </m:oMathPara>
          </w:p>
        </w:tc>
      </w:tr>
      <w:tr>
        <w:tc>
          <w:tcPr>
            <w:tcW w:w="3000" w:type="dxa"/>
            <w:shd w:val="clear" w:fill="F3F4F6"/>
          </w:tcPr>
          <w:p>
            <w:pPr>
              <w:jc w:val="center"/>
              <w:spacing w:before="60" w:after="60"/>
            </w:pPr>
            <w:r>
              <w:rPr>
                <w:rFonts w:ascii="Times New Roman" w:hAnsi="Times New Roman"/>
                <w:sz w:val="20"/>
                <w:color w:val="111827"/>
                <w:b/>
              </w:rPr>
              <w:t>Global Geary's C Expected</w:t>
            </w:r>
          </w:p>
        </w:tc>
        <w:tc>
          <w:tcPr>
            <w:tcW w:w="7000" w:type="dxa"/>
          </w:tcPr>
          <w:p>
            <w:pPr>
              <w:jc w:val="center"/>
              <w:spacing w:before="60" w:after="60"/>
            </w:pPr>
            <m:oMathPara xmlns:m="http://schemas.openxmlformats.org/officeDocument/2006/math">
              <m:oMath>
                <m:sSub>
                  <m:e>
                    <m:r>
                      <m:t>E</m:t>
                    </m:r>
                  </m:e>
                  <m:sub>
                    <m:r>
                      <m:t>C</m:t>
                    </m:r>
                  </m:sub>
                </m:sSub>
                <m:r>
                  <m:t>=</m:t>
                </m:r>
                <m:r>
                  <m:t>1.0</m:t>
                </m:r>
              </m:oMath>
            </m:oMathPara>
          </w:p>
        </w:tc>
      </w:tr>
      <w:tr>
        <w:tc>
          <w:tcPr>
            <w:tcW w:w="3000" w:type="dxa"/>
            <w:shd w:val="clear" w:fill="F3F4F6"/>
          </w:tcPr>
          <w:p>
            <w:pPr>
              <w:jc w:val="center"/>
              <w:spacing w:before="60" w:after="60"/>
            </w:pPr>
            <w:r>
              <w:rPr>
                <w:rFonts w:ascii="Times New Roman" w:hAnsi="Times New Roman"/>
                <w:sz w:val="20"/>
                <w:color w:val="111827"/>
                <w:b/>
              </w:rPr>
              <w:t>Standardized Z-Score</w:t>
            </w:r>
          </w:p>
        </w:tc>
        <w:tc>
          <w:tcPr>
            <w:tcW w:w="7000" w:type="dxa"/>
          </w:tcPr>
          <w:p>
            <w:pPr>
              <w:jc w:val="center"/>
              <w:spacing w:before="60" w:after="60"/>
            </w:pPr>
            <m:oMathPara xmlns:m="http://schemas.openxmlformats.org/officeDocument/2006/math">
              <m:oMath>
                <m:sSub>
                  <m:e>
                    <m:r>
                      <m:t>Z</m:t>
                    </m:r>
                  </m:e>
                  <m:sub>
                    <m:r>
                      <m:t>I</m:t>
                    </m:r>
                  </m:sub>
                </m:sSub>
                <m:r>
                  <m:t>=</m:t>
                </m:r>
                <m:f>
                  <m:num>
                    <m:r>
                      <m:t>I</m:t>
                    </m:r>
                    <m:r>
                      <m:t>-</m:t>
                    </m:r>
                    <m:sSub>
                      <m:e>
                        <m:r>
                          <m:t>E</m:t>
                        </m:r>
                      </m:e>
                      <m:sub>
                        <m:r>
                          <m:t>I</m:t>
                        </m:r>
                      </m:sub>
                    </m:sSub>
                  </m:num>
                  <m:den>
                    <m:rad>
                      <m:radPr>
                        <m:degHide m:val="true"/>
                      </m:radPr>
                      <m:deg/>
                      <m:e>
                        <m:sSub>
                          <m:e>
                            <m:r>
                              <m:t>Var</m:t>
                            </m:r>
                          </m:e>
                          <m:sub>
                            <m:r>
                              <m:t>I</m:t>
                            </m:r>
                          </m:sub>
                        </m:sSub>
                      </m:e>
                    </m:rad>
                  </m:den>
                </m:f>
              </m:oMath>
            </m:oMathPara>
          </w:p>
        </w:tc>
      </w:tr>
      <w:tr>
        <w:tc>
          <w:tcPr>
            <w:tcW w:w="3000" w:type="dxa"/>
            <w:shd w:val="clear" w:fill="F3F4F6"/>
          </w:tcPr>
          <w:p>
            <w:pPr>
              <w:jc w:val="center"/>
              <w:spacing w:before="60" w:after="60"/>
            </w:pPr>
            <w:r>
              <w:rPr>
                <w:rFonts w:ascii="Times New Roman" w:hAnsi="Times New Roman"/>
                <w:sz w:val="20"/>
                <w:color w:val="111827"/>
                <w:b/>
              </w:rPr>
              <w:t>Nearest Neighbor Index</w:t>
            </w:r>
          </w:p>
        </w:tc>
        <w:tc>
          <w:tcPr>
            <w:tcW w:w="7000" w:type="dxa"/>
          </w:tcPr>
          <w:p>
            <w:pPr>
              <w:jc w:val="center"/>
              <w:spacing w:before="60" w:after="60"/>
            </w:pPr>
            <m:oMathPara xmlns:m="http://schemas.openxmlformats.org/officeDocument/2006/math">
              <m:oMath>
                <m:r>
                  <m:t>NNI</m:t>
                </m:r>
                <m:r>
                  <m:t>=</m:t>
                </m:r>
                <m:f>
                  <m:num>
                    <m:sSub>
                      <m:e>
                        <m:r>
                          <m:t>d</m:t>
                        </m:r>
                      </m:e>
                      <m:sub>
                        <m:r>
                          <m:t>obs</m:t>
                        </m:r>
                      </m:sub>
                    </m:sSub>
                  </m:num>
                  <m:den>
                    <m:sSub>
                      <m:e>
                        <m:r>
                          <m:t>d</m:t>
                        </m:r>
                      </m:e>
                      <m:sub>
                        <m:r>
                          <m:t>exp</m:t>
                        </m:r>
                      </m:sub>
                    </m:sSub>
                  </m:den>
                </m:f>
              </m:oMath>
            </m:oMathPara>
          </w:p>
        </w:tc>
      </w:tr>
      <w:tr>
        <w:tc>
          <w:tcPr>
            <w:tcW w:w="3000" w:type="dxa"/>
            <w:shd w:val="clear" w:fill="F3F4F6"/>
          </w:tcPr>
          <w:p>
            <w:pPr>
              <w:jc w:val="center"/>
              <w:spacing w:before="60" w:after="60"/>
            </w:pPr>
            <w:r>
              <w:rPr>
                <w:rFonts w:ascii="Times New Roman" w:hAnsi="Times New Roman"/>
                <w:sz w:val="20"/>
                <w:color w:val="111827"/>
                <w:b/>
              </w:rPr>
              <w:t>Linearized Ripley's K</w:t>
            </w:r>
          </w:p>
        </w:tc>
        <w:tc>
          <w:tcPr>
            <w:tcW w:w="7000" w:type="dxa"/>
          </w:tcPr>
          <w:p>
            <w:pPr>
              <w:jc w:val="center"/>
              <w:spacing w:before="60" w:after="60"/>
            </w:pPr>
            <m:oMathPara xmlns:m="http://schemas.openxmlformats.org/officeDocument/2006/math">
              <m:oMath>
                <m:r>
                  <m:t>L</m:t>
                </m:r>
                <m:d>
                  <m:dPr>
                    <m:begChr m:val="("/>
                    <m:endChr m:val=")"/>
                  </m:dPr>
                  <m:e>
                    <m:r>
                      <m:t>r</m:t>
                    </m:r>
                  </m:e>
                </m:d>
                <m:r>
                  <m:t>=</m:t>
                </m:r>
                <m:rad>
                  <m:radPr>
                    <m:degHide m:val="true"/>
                  </m:radPr>
                  <m:deg/>
                  <m:e>
                    <m:f>
                      <m:num>
                        <m:r>
                          <m:t>K</m:t>
                        </m:r>
                        <m:d>
                          <m:dPr>
                            <m:begChr m:val="("/>
                            <m:endChr m:val=")"/>
                          </m:dPr>
                          <m:e>
                            <m:r>
                              <m:t>r</m:t>
                            </m:r>
                          </m:e>
                        </m:d>
                      </m:num>
                      <m:den>
                        <m:r>
                          <m:t>π</m:t>
                        </m:r>
                      </m:den>
                    </m:f>
                  </m:e>
                </m:rad>
                <m:r>
                  <m:t>-</m:t>
                </m:r>
                <m:r>
                  <m:t>r</m:t>
                </m:r>
              </m:oMath>
            </m:oMathPara>
          </w:p>
        </w:tc>
      </w:tr>
    </w:tbl>
    <w:p>
      <w:pPr>
        <w:pStyle w:val="Heading2"/>
      </w:pPr>
      <w:bookmarkStart w:name="Sec4.2" w:id="50"/>
      <w:r>
        <w:t>4.2 Complete 10×10 Grid Prevalence Data Matrix</w:t>
      </w:r>
      <w:bookmarkEnd w:id="50"/>
    </w:p>
    <w:p>
      <w:r>
        <w:t>The complete disease prevalence data matrix (%) mapped across the 10×10 grid lattice is presented in Table 3. The row index corresponds to the Y-coordinate (0 to 9) and the column index to the X-coordinate (0 to 9). The clustering centered at coordinate (3,3) is reflected in the high values in the corresponding cells.</w:t>
      </w:r>
    </w:p>
    <w:tbl>
      <w:tblPr>
        <w:tblW w:w="5000" w:type="pct"/>
        <w:tblBorders>
          <w:top w:val="single" w:color="0D233A" w:sz="12"/>
          <w:left w:val="nil"/>
          <w:bottom w:val="single" w:color="0D233A" w:sz="12"/>
          <w:right w:val="nil"/>
          <w:insideH w:val="single" w:color="D1D5DB" w:sz="4"/>
          <w:insideV w:val="nil"/>
        </w:tblBorders>
      </w:tblPr>
      <w:tblGrid>
        <w:gridCol w:w="1000"/>
        <w:gridCol w:w="900"/>
        <w:gridCol w:w="900"/>
        <w:gridCol w:w="900"/>
        <w:gridCol w:w="900"/>
        <w:gridCol w:w="900"/>
        <w:gridCol w:w="900"/>
        <w:gridCol w:w="900"/>
        <w:gridCol w:w="900"/>
        <w:gridCol w:w="900"/>
        <w:gridCol w:w="900"/>
      </w:tblGrid>
      <w:tr>
        <w:trPr>
          <w:tblHeader/>
        </w:trPr>
        <w:tc>
          <w:tcPr>
            <w:tcW w:w="0" w:type="auto"/>
            <w:shd w:val="clear" w:fill="F3F4F6"/>
          </w:tcPr>
          <w:p>
            <w:pPr>
              <w:jc w:val="center"/>
              <w:spacing w:before="60" w:after="60"/>
            </w:pPr>
            <w:r>
              <w:rPr>
                <w:sz w:val="20"/>
                <w:color w:val="111827"/>
                <w:b/>
              </w:rPr>
              <w:t>Y / X</w:t>
            </w:r>
          </w:p>
        </w:tc>
        <w:tc>
          <w:tcPr>
            <w:tcW w:w="0" w:type="auto"/>
            <w:shd w:val="clear" w:fill="F3F4F6"/>
          </w:tcPr>
          <w:p>
            <w:pPr>
              <w:jc w:val="center"/>
              <w:spacing w:before="60" w:after="60"/>
            </w:pPr>
            <w:r>
              <w:rPr>
                <w:sz w:val="20"/>
                <w:color w:val="111827"/>
                <w:b/>
              </w:rPr>
              <w:t>0</w:t>
            </w:r>
          </w:p>
        </w:tc>
        <w:tc>
          <w:tcPr>
            <w:tcW w:w="0" w:type="auto"/>
            <w:shd w:val="clear" w:fill="F3F4F6"/>
          </w:tcPr>
          <w:p>
            <w:pPr>
              <w:jc w:val="center"/>
              <w:spacing w:before="60" w:after="60"/>
            </w:pPr>
            <w:r>
              <w:rPr>
                <w:sz w:val="20"/>
                <w:color w:val="111827"/>
                <w:b/>
              </w:rPr>
              <w:t>1</w:t>
            </w:r>
          </w:p>
        </w:tc>
        <w:tc>
          <w:tcPr>
            <w:tcW w:w="0" w:type="auto"/>
            <w:shd w:val="clear" w:fill="F3F4F6"/>
          </w:tcPr>
          <w:p>
            <w:pPr>
              <w:jc w:val="center"/>
              <w:spacing w:before="60" w:after="60"/>
            </w:pPr>
            <w:r>
              <w:rPr>
                <w:sz w:val="20"/>
                <w:color w:val="111827"/>
                <w:b/>
              </w:rPr>
              <w:t>2</w:t>
            </w:r>
          </w:p>
        </w:tc>
        <w:tc>
          <w:tcPr>
            <w:tcW w:w="0" w:type="auto"/>
            <w:shd w:val="clear" w:fill="F3F4F6"/>
          </w:tcPr>
          <w:p>
            <w:pPr>
              <w:jc w:val="center"/>
              <w:spacing w:before="60" w:after="60"/>
            </w:pPr>
            <w:r>
              <w:rPr>
                <w:sz w:val="20"/>
                <w:color w:val="111827"/>
                <w:b/>
              </w:rPr>
              <w:t>3</w:t>
            </w:r>
          </w:p>
        </w:tc>
        <w:tc>
          <w:tcPr>
            <w:tcW w:w="0" w:type="auto"/>
            <w:shd w:val="clear" w:fill="F3F4F6"/>
          </w:tcPr>
          <w:p>
            <w:pPr>
              <w:jc w:val="center"/>
              <w:spacing w:before="60" w:after="60"/>
            </w:pPr>
            <w:r>
              <w:rPr>
                <w:sz w:val="20"/>
                <w:color w:val="111827"/>
                <w:b/>
              </w:rPr>
              <w:t>4</w:t>
            </w:r>
          </w:p>
        </w:tc>
        <w:tc>
          <w:tcPr>
            <w:tcW w:w="0" w:type="auto"/>
            <w:shd w:val="clear" w:fill="F3F4F6"/>
          </w:tcPr>
          <w:p>
            <w:pPr>
              <w:jc w:val="center"/>
              <w:spacing w:before="60" w:after="60"/>
            </w:pPr>
            <w:r>
              <w:rPr>
                <w:sz w:val="20"/>
                <w:color w:val="111827"/>
                <w:b/>
              </w:rPr>
              <w:t>5</w:t>
            </w:r>
          </w:p>
        </w:tc>
        <w:tc>
          <w:tcPr>
            <w:tcW w:w="0" w:type="auto"/>
            <w:shd w:val="clear" w:fill="F3F4F6"/>
          </w:tcPr>
          <w:p>
            <w:pPr>
              <w:jc w:val="center"/>
              <w:spacing w:before="60" w:after="60"/>
            </w:pPr>
            <w:r>
              <w:rPr>
                <w:sz w:val="20"/>
                <w:color w:val="111827"/>
                <w:b/>
              </w:rPr>
              <w:t>6</w:t>
            </w:r>
          </w:p>
        </w:tc>
        <w:tc>
          <w:tcPr>
            <w:tcW w:w="0" w:type="auto"/>
            <w:shd w:val="clear" w:fill="F3F4F6"/>
          </w:tcPr>
          <w:p>
            <w:pPr>
              <w:jc w:val="center"/>
              <w:spacing w:before="60" w:after="60"/>
            </w:pPr>
            <w:r>
              <w:rPr>
                <w:sz w:val="20"/>
                <w:color w:val="111827"/>
                <w:b/>
              </w:rPr>
              <w:t>7</w:t>
            </w:r>
          </w:p>
        </w:tc>
        <w:tc>
          <w:tcPr>
            <w:tcW w:w="0" w:type="auto"/>
            <w:shd w:val="clear" w:fill="F3F4F6"/>
          </w:tcPr>
          <w:p>
            <w:pPr>
              <w:jc w:val="center"/>
              <w:spacing w:before="60" w:after="60"/>
            </w:pPr>
            <w:r>
              <w:rPr>
                <w:sz w:val="20"/>
                <w:color w:val="111827"/>
                <w:b/>
              </w:rPr>
              <w:t>8</w:t>
            </w:r>
          </w:p>
        </w:tc>
        <w:tc>
          <w:tcPr>
            <w:tcW w:w="0" w:type="auto"/>
            <w:shd w:val="clear" w:fill="F3F4F6"/>
          </w:tcPr>
          <w:p>
            <w:pPr>
              <w:jc w:val="center"/>
              <w:spacing w:before="60" w:after="60"/>
            </w:pPr>
            <w:r>
              <w:rPr>
                <w:sz w:val="20"/>
                <w:color w:val="111827"/>
                <w:b/>
              </w:rPr>
              <w:t>9</w:t>
            </w:r>
          </w:p>
        </w:tc>
      </w:tr>
      <w:tr>
        <w:tc>
          <w:tcPr>
            <w:tcW w:w="0" w:type="auto"/>
          </w:tcPr>
          <w:p>
            <w:pPr>
              <w:jc w:val="center"/>
              <w:spacing w:before="60" w:after="60"/>
            </w:pPr>
            <w:r>
              <w:rPr>
                <w:sz w:val="20"/>
                <w:color w:val="111827"/>
              </w:rPr>
              <w:t>9</w:t>
            </w:r>
          </w:p>
        </w:tc>
        <w:tc>
          <w:tcPr>
            <w:tcW w:w="0" w:type="auto"/>
          </w:tcPr>
          <w:p>
            <w:pPr>
              <w:jc w:val="center"/>
              <w:spacing w:before="60" w:after="60"/>
            </w:pPr>
            <w:r>
              <w:rPr>
                <w:sz w:val="20"/>
                <w:color w:val="111827"/>
              </w:rPr>
              <w:t>0.0%</w:t>
            </w:r>
          </w:p>
        </w:tc>
        <w:tc>
          <w:tcPr>
            <w:tcW w:w="0" w:type="auto"/>
          </w:tcPr>
          <w:p>
            <w:pPr>
              <w:jc w:val="center"/>
              <w:spacing w:before="60" w:after="60"/>
            </w:pPr>
            <w:r>
              <w:rPr>
                <w:sz w:val="20"/>
                <w:color w:val="111827"/>
              </w:rPr>
              <w:t>0.0%</w:t>
            </w:r>
          </w:p>
        </w:tc>
        <w:tc>
          <w:tcPr>
            <w:tcW w:w="0" w:type="auto"/>
          </w:tcPr>
          <w:p>
            <w:pPr>
              <w:jc w:val="center"/>
              <w:spacing w:before="60" w:after="60"/>
            </w:pPr>
            <w:r>
              <w:rPr>
                <w:sz w:val="20"/>
                <w:color w:val="111827"/>
              </w:rPr>
              <w:t>0.1%</w:t>
            </w:r>
          </w:p>
        </w:tc>
        <w:tc>
          <w:tcPr>
            <w:tcW w:w="0" w:type="auto"/>
          </w:tcPr>
          <w:p>
            <w:pPr>
              <w:jc w:val="center"/>
              <w:spacing w:before="60" w:after="60"/>
            </w:pPr>
            <w:r>
              <w:rPr>
                <w:sz w:val="20"/>
                <w:color w:val="111827"/>
              </w:rPr>
              <w:t>0.2%</w:t>
            </w:r>
          </w:p>
        </w:tc>
        <w:tc>
          <w:tcPr>
            <w:tcW w:w="0" w:type="auto"/>
          </w:tcPr>
          <w:p>
            <w:pPr>
              <w:jc w:val="center"/>
              <w:spacing w:before="60" w:after="60"/>
            </w:pPr>
            <w:r>
              <w:rPr>
                <w:sz w:val="20"/>
                <w:color w:val="111827"/>
              </w:rPr>
              <w:t>0.2%</w:t>
            </w:r>
          </w:p>
        </w:tc>
        <w:tc>
          <w:tcPr>
            <w:tcW w:w="0" w:type="auto"/>
          </w:tcPr>
          <w:p>
            <w:pPr>
              <w:jc w:val="center"/>
              <w:spacing w:before="60" w:after="60"/>
            </w:pPr>
            <w:r>
              <w:rPr>
                <w:sz w:val="20"/>
                <w:color w:val="111827"/>
              </w:rPr>
              <w:t>0.1%</w:t>
            </w:r>
          </w:p>
        </w:tc>
        <w:tc>
          <w:tcPr>
            <w:tcW w:w="0" w:type="auto"/>
          </w:tcPr>
          <w:p>
            <w:pPr>
              <w:jc w:val="center"/>
              <w:spacing w:before="60" w:after="60"/>
            </w:pPr>
            <w:r>
              <w:rPr>
                <w:sz w:val="20"/>
                <w:color w:val="111827"/>
              </w:rPr>
              <w:t>0.0%</w:t>
            </w:r>
          </w:p>
        </w:tc>
        <w:tc>
          <w:tcPr>
            <w:tcW w:w="0" w:type="auto"/>
          </w:tcPr>
          <w:p>
            <w:pPr>
              <w:jc w:val="center"/>
              <w:spacing w:before="60" w:after="60"/>
            </w:pPr>
            <w:r>
              <w:rPr>
                <w:sz w:val="20"/>
                <w:color w:val="111827"/>
              </w:rPr>
              <w:t>0.0%</w:t>
            </w:r>
          </w:p>
        </w:tc>
        <w:tc>
          <w:tcPr>
            <w:tcW w:w="0" w:type="auto"/>
          </w:tcPr>
          <w:p>
            <w:pPr>
              <w:jc w:val="center"/>
              <w:spacing w:before="60" w:after="60"/>
            </w:pPr>
            <w:r>
              <w:rPr>
                <w:sz w:val="20"/>
                <w:color w:val="111827"/>
              </w:rPr>
              <w:t>0.0%</w:t>
            </w:r>
          </w:p>
        </w:tc>
        <w:tc>
          <w:tcPr>
            <w:tcW w:w="0" w:type="auto"/>
          </w:tcPr>
          <w:p>
            <w:pPr>
              <w:jc w:val="center"/>
              <w:spacing w:before="60" w:after="60"/>
            </w:pPr>
            <w:r>
              <w:rPr>
                <w:sz w:val="20"/>
                <w:color w:val="111827"/>
              </w:rPr>
              <w:t>0.0%</w:t>
            </w:r>
          </w:p>
        </w:tc>
      </w:tr>
      <w:tr>
        <w:tc>
          <w:tcPr>
            <w:tcW w:w="0" w:type="auto"/>
            <w:shd w:val="clear" w:fill="F9FAFB"/>
          </w:tcPr>
          <w:p>
            <w:pPr>
              <w:jc w:val="center"/>
              <w:spacing w:before="60" w:after="60"/>
            </w:pPr>
            <w:r>
              <w:rPr>
                <w:sz w:val="20"/>
                <w:color w:val="111827"/>
              </w:rPr>
              <w:t>8</w:t>
            </w:r>
          </w:p>
        </w:tc>
        <w:tc>
          <w:tcPr>
            <w:tcW w:w="0" w:type="auto"/>
            <w:shd w:val="clear" w:fill="F9FAFB"/>
          </w:tcPr>
          <w:p>
            <w:pPr>
              <w:jc w:val="center"/>
              <w:spacing w:before="60" w:after="60"/>
            </w:pPr>
            <w:r>
              <w:rPr>
                <w:sz w:val="20"/>
                <w:color w:val="111827"/>
              </w:rPr>
              <w:t>0.0%</w:t>
            </w:r>
          </w:p>
        </w:tc>
        <w:tc>
          <w:tcPr>
            <w:tcW w:w="0" w:type="auto"/>
            <w:shd w:val="clear" w:fill="F9FAFB"/>
          </w:tcPr>
          <w:p>
            <w:pPr>
              <w:jc w:val="center"/>
              <w:spacing w:before="60" w:after="60"/>
            </w:pPr>
            <w:r>
              <w:rPr>
                <w:sz w:val="20"/>
                <w:color w:val="111827"/>
              </w:rPr>
              <w:t>0.2%</w:t>
            </w:r>
          </w:p>
        </w:tc>
        <w:tc>
          <w:tcPr>
            <w:tcW w:w="0" w:type="auto"/>
            <w:shd w:val="clear" w:fill="F9FAFB"/>
          </w:tcPr>
          <w:p>
            <w:pPr>
              <w:jc w:val="center"/>
              <w:spacing w:before="60" w:after="60"/>
            </w:pPr>
            <w:r>
              <w:rPr>
                <w:sz w:val="20"/>
                <w:color w:val="111827"/>
              </w:rPr>
              <w:t>0.5%</w:t>
            </w:r>
          </w:p>
        </w:tc>
        <w:tc>
          <w:tcPr>
            <w:tcW w:w="0" w:type="auto"/>
            <w:shd w:val="clear" w:fill="F9FAFB"/>
          </w:tcPr>
          <w:p>
            <w:pPr>
              <w:jc w:val="center"/>
              <w:spacing w:before="60" w:after="60"/>
            </w:pPr>
            <w:r>
              <w:rPr>
                <w:sz w:val="20"/>
                <w:color w:val="111827"/>
              </w:rPr>
              <w:t>0.9%</w:t>
            </w:r>
          </w:p>
        </w:tc>
        <w:tc>
          <w:tcPr>
            <w:tcW w:w="0" w:type="auto"/>
            <w:shd w:val="clear" w:fill="F9FAFB"/>
          </w:tcPr>
          <w:p>
            <w:pPr>
              <w:jc w:val="center"/>
              <w:spacing w:before="60" w:after="60"/>
            </w:pPr>
            <w:r>
              <w:rPr>
                <w:sz w:val="20"/>
                <w:color w:val="111827"/>
              </w:rPr>
              <w:t>0.9%</w:t>
            </w:r>
          </w:p>
        </w:tc>
        <w:tc>
          <w:tcPr>
            <w:tcW w:w="0" w:type="auto"/>
            <w:shd w:val="clear" w:fill="F9FAFB"/>
          </w:tcPr>
          <w:p>
            <w:pPr>
              <w:jc w:val="center"/>
              <w:spacing w:before="60" w:after="60"/>
            </w:pPr>
            <w:r>
              <w:rPr>
                <w:sz w:val="20"/>
                <w:color w:val="111827"/>
              </w:rPr>
              <w:t>0.5%</w:t>
            </w:r>
          </w:p>
        </w:tc>
        <w:tc>
          <w:tcPr>
            <w:tcW w:w="0" w:type="auto"/>
            <w:shd w:val="clear" w:fill="F9FAFB"/>
          </w:tcPr>
          <w:p>
            <w:pPr>
              <w:jc w:val="center"/>
              <w:spacing w:before="60" w:after="60"/>
            </w:pPr>
            <w:r>
              <w:rPr>
                <w:sz w:val="20"/>
                <w:color w:val="111827"/>
              </w:rPr>
              <w:t>0.2%</w:t>
            </w:r>
          </w:p>
        </w:tc>
        <w:tc>
          <w:tcPr>
            <w:tcW w:w="0" w:type="auto"/>
            <w:shd w:val="clear" w:fill="F9FAFB"/>
          </w:tcPr>
          <w:p>
            <w:pPr>
              <w:jc w:val="center"/>
              <w:spacing w:before="60" w:after="60"/>
            </w:pPr>
            <w:r>
              <w:rPr>
                <w:sz w:val="20"/>
                <w:color w:val="111827"/>
              </w:rPr>
              <w:t>0.0%</w:t>
            </w:r>
          </w:p>
        </w:tc>
        <w:tc>
          <w:tcPr>
            <w:tcW w:w="0" w:type="auto"/>
            <w:shd w:val="clear" w:fill="F9FAFB"/>
          </w:tcPr>
          <w:p>
            <w:pPr>
              <w:jc w:val="center"/>
              <w:spacing w:before="60" w:after="60"/>
            </w:pPr>
            <w:r>
              <w:rPr>
                <w:sz w:val="20"/>
                <w:color w:val="111827"/>
              </w:rPr>
              <w:t>0.0%</w:t>
            </w:r>
          </w:p>
        </w:tc>
        <w:tc>
          <w:tcPr>
            <w:tcW w:w="0" w:type="auto"/>
            <w:shd w:val="clear" w:fill="F9FAFB"/>
          </w:tcPr>
          <w:p>
            <w:pPr>
              <w:jc w:val="center"/>
              <w:spacing w:before="60" w:after="60"/>
            </w:pPr>
            <w:r>
              <w:rPr>
                <w:sz w:val="20"/>
                <w:color w:val="111827"/>
              </w:rPr>
              <w:t>0.0%</w:t>
            </w:r>
          </w:p>
        </w:tc>
      </w:tr>
      <w:tr>
        <w:tc>
          <w:tcPr>
            <w:tcW w:w="0" w:type="auto"/>
          </w:tcPr>
          <w:p>
            <w:pPr>
              <w:jc w:val="center"/>
              <w:spacing w:before="60" w:after="60"/>
            </w:pPr>
            <w:r>
              <w:rPr>
                <w:sz w:val="20"/>
                <w:color w:val="111827"/>
              </w:rPr>
              <w:t>7</w:t>
            </w:r>
          </w:p>
        </w:tc>
        <w:tc>
          <w:tcPr>
            <w:tcW w:w="0" w:type="auto"/>
          </w:tcPr>
          <w:p>
            <w:pPr>
              <w:jc w:val="center"/>
              <w:spacing w:before="60" w:after="60"/>
            </w:pPr>
            <w:r>
              <w:rPr>
                <w:sz w:val="20"/>
                <w:color w:val="111827"/>
              </w:rPr>
              <w:t>0.1%</w:t>
            </w:r>
          </w:p>
        </w:tc>
        <w:tc>
          <w:tcPr>
            <w:tcW w:w="0" w:type="auto"/>
          </w:tcPr>
          <w:p>
            <w:pPr>
              <w:jc w:val="center"/>
              <w:spacing w:before="60" w:after="60"/>
            </w:pPr>
            <w:r>
              <w:rPr>
                <w:sz w:val="20"/>
                <w:color w:val="111827"/>
              </w:rPr>
              <w:t>0.7%</w:t>
            </w:r>
          </w:p>
        </w:tc>
        <w:tc>
          <w:tcPr>
            <w:tcW w:w="0" w:type="auto"/>
          </w:tcPr>
          <w:p>
            <w:pPr>
              <w:jc w:val="center"/>
              <w:spacing w:before="60" w:after="60"/>
            </w:pPr>
            <w:r>
              <w:rPr>
                <w:sz w:val="20"/>
                <w:color w:val="111827"/>
              </w:rPr>
              <w:t>2.3%</w:t>
            </w:r>
          </w:p>
        </w:tc>
        <w:tc>
          <w:tcPr>
            <w:tcW w:w="0" w:type="auto"/>
          </w:tcPr>
          <w:p>
            <w:pPr>
              <w:jc w:val="center"/>
              <w:spacing w:before="60" w:after="60"/>
            </w:pPr>
            <w:r>
              <w:rPr>
                <w:sz w:val="20"/>
                <w:color w:val="111827"/>
              </w:rPr>
              <w:t>4.3%</w:t>
            </w:r>
          </w:p>
        </w:tc>
        <w:tc>
          <w:tcPr>
            <w:tcW w:w="0" w:type="auto"/>
          </w:tcPr>
          <w:p>
            <w:pPr>
              <w:jc w:val="center"/>
              <w:spacing w:before="60" w:after="60"/>
            </w:pPr>
            <w:r>
              <w:rPr>
                <w:sz w:val="20"/>
                <w:color w:val="111827"/>
              </w:rPr>
              <w:t>4.3%</w:t>
            </w:r>
          </w:p>
        </w:tc>
        <w:tc>
          <w:tcPr>
            <w:tcW w:w="0" w:type="auto"/>
          </w:tcPr>
          <w:p>
            <w:pPr>
              <w:jc w:val="center"/>
              <w:spacing w:before="60" w:after="60"/>
            </w:pPr>
            <w:r>
              <w:rPr>
                <w:sz w:val="20"/>
                <w:color w:val="111827"/>
              </w:rPr>
              <w:t>2.3%</w:t>
            </w:r>
          </w:p>
        </w:tc>
        <w:tc>
          <w:tcPr>
            <w:tcW w:w="0" w:type="auto"/>
          </w:tcPr>
          <w:p>
            <w:pPr>
              <w:jc w:val="center"/>
              <w:spacing w:before="60" w:after="60"/>
            </w:pPr>
            <w:r>
              <w:rPr>
                <w:sz w:val="20"/>
                <w:color w:val="111827"/>
              </w:rPr>
              <w:t>0.7%</w:t>
            </w:r>
          </w:p>
        </w:tc>
        <w:tc>
          <w:tcPr>
            <w:tcW w:w="0" w:type="auto"/>
          </w:tcPr>
          <w:p>
            <w:pPr>
              <w:jc w:val="center"/>
              <w:spacing w:before="60" w:after="60"/>
            </w:pPr>
            <w:r>
              <w:rPr>
                <w:sz w:val="20"/>
                <w:color w:val="111827"/>
              </w:rPr>
              <w:t>0.1%</w:t>
            </w:r>
          </w:p>
        </w:tc>
        <w:tc>
          <w:tcPr>
            <w:tcW w:w="0" w:type="auto"/>
          </w:tcPr>
          <w:p>
            <w:pPr>
              <w:jc w:val="center"/>
              <w:spacing w:before="60" w:after="60"/>
            </w:pPr>
            <w:r>
              <w:rPr>
                <w:sz w:val="20"/>
                <w:color w:val="111827"/>
              </w:rPr>
              <w:t>0.0%</w:t>
            </w:r>
          </w:p>
        </w:tc>
        <w:tc>
          <w:tcPr>
            <w:tcW w:w="0" w:type="auto"/>
          </w:tcPr>
          <w:p>
            <w:pPr>
              <w:jc w:val="center"/>
              <w:spacing w:before="60" w:after="60"/>
            </w:pPr>
            <w:r>
              <w:rPr>
                <w:sz w:val="20"/>
                <w:color w:val="111827"/>
              </w:rPr>
              <w:t>0.0%</w:t>
            </w:r>
          </w:p>
        </w:tc>
      </w:tr>
      <w:tr>
        <w:tc>
          <w:tcPr>
            <w:tcW w:w="0" w:type="auto"/>
            <w:shd w:val="clear" w:fill="F9FAFB"/>
          </w:tcPr>
          <w:p>
            <w:pPr>
              <w:jc w:val="center"/>
              <w:spacing w:before="60" w:after="60"/>
            </w:pPr>
            <w:r>
              <w:rPr>
                <w:sz w:val="20"/>
                <w:color w:val="111827"/>
              </w:rPr>
              <w:t>6</w:t>
            </w:r>
          </w:p>
        </w:tc>
        <w:tc>
          <w:tcPr>
            <w:tcW w:w="0" w:type="auto"/>
            <w:shd w:val="clear" w:fill="F9FAFB"/>
          </w:tcPr>
          <w:p>
            <w:pPr>
              <w:jc w:val="center"/>
              <w:spacing w:before="60" w:after="60"/>
            </w:pPr>
            <w:r>
              <w:rPr>
                <w:sz w:val="20"/>
                <w:color w:val="111827"/>
              </w:rPr>
              <w:t>0.2%</w:t>
            </w:r>
          </w:p>
        </w:tc>
        <w:tc>
          <w:tcPr>
            <w:tcW w:w="0" w:type="auto"/>
            <w:shd w:val="clear" w:fill="F9FAFB"/>
          </w:tcPr>
          <w:p>
            <w:pPr>
              <w:jc w:val="center"/>
              <w:spacing w:before="60" w:after="60"/>
            </w:pPr>
            <w:r>
              <w:rPr>
                <w:sz w:val="20"/>
                <w:color w:val="111827"/>
              </w:rPr>
              <w:t>2.2%</w:t>
            </w:r>
          </w:p>
        </w:tc>
        <w:tc>
          <w:tcPr>
            <w:tcW w:w="0" w:type="auto"/>
            <w:shd w:val="clear" w:fill="F9FAFB"/>
          </w:tcPr>
          <w:p>
            <w:pPr>
              <w:jc w:val="center"/>
              <w:spacing w:before="60" w:after="60"/>
            </w:pPr>
            <w:r>
              <w:rPr>
                <w:sz w:val="20"/>
                <w:color w:val="111827"/>
              </w:rPr>
              <w:t>7.5%</w:t>
            </w:r>
          </w:p>
        </w:tc>
        <w:tc>
          <w:tcPr>
            <w:tcW w:w="0" w:type="auto"/>
            <w:shd w:val="clear" w:fill="F9FAFB"/>
          </w:tcPr>
          <w:p>
            <w:pPr>
              <w:jc w:val="center"/>
              <w:spacing w:before="60" w:after="60"/>
            </w:pPr>
            <w:r>
              <w:rPr>
                <w:sz w:val="20"/>
                <w:color w:val="111827"/>
              </w:rPr>
              <w:t>13.8%</w:t>
            </w:r>
          </w:p>
        </w:tc>
        <w:tc>
          <w:tcPr>
            <w:tcW w:w="0" w:type="auto"/>
            <w:shd w:val="clear" w:fill="F9FAFB"/>
          </w:tcPr>
          <w:p>
            <w:pPr>
              <w:jc w:val="center"/>
              <w:spacing w:before="60" w:after="60"/>
            </w:pPr>
            <w:r>
              <w:rPr>
                <w:sz w:val="20"/>
                <w:color w:val="111827"/>
              </w:rPr>
              <w:t>13.8%</w:t>
            </w:r>
          </w:p>
        </w:tc>
        <w:tc>
          <w:tcPr>
            <w:tcW w:w="0" w:type="auto"/>
            <w:shd w:val="clear" w:fill="F9FAFB"/>
          </w:tcPr>
          <w:p>
            <w:pPr>
              <w:jc w:val="center"/>
              <w:spacing w:before="60" w:after="60"/>
            </w:pPr>
            <w:r>
              <w:rPr>
                <w:sz w:val="20"/>
                <w:color w:val="111827"/>
              </w:rPr>
              <w:t>7.5%</w:t>
            </w:r>
          </w:p>
        </w:tc>
        <w:tc>
          <w:tcPr>
            <w:tcW w:w="0" w:type="auto"/>
            <w:shd w:val="clear" w:fill="F9FAFB"/>
          </w:tcPr>
          <w:p>
            <w:pPr>
              <w:jc w:val="center"/>
              <w:spacing w:before="60" w:after="60"/>
            </w:pPr>
            <w:r>
              <w:rPr>
                <w:sz w:val="20"/>
                <w:color w:val="111827"/>
              </w:rPr>
              <w:t>2.2%</w:t>
            </w:r>
          </w:p>
        </w:tc>
        <w:tc>
          <w:tcPr>
            <w:tcW w:w="0" w:type="auto"/>
            <w:shd w:val="clear" w:fill="F9FAFB"/>
          </w:tcPr>
          <w:p>
            <w:pPr>
              <w:jc w:val="center"/>
              <w:spacing w:before="60" w:after="60"/>
            </w:pPr>
            <w:r>
              <w:rPr>
                <w:sz w:val="20"/>
                <w:color w:val="111827"/>
              </w:rPr>
              <w:t>0.2%</w:t>
            </w:r>
          </w:p>
        </w:tc>
        <w:tc>
          <w:tcPr>
            <w:tcW w:w="0" w:type="auto"/>
            <w:shd w:val="clear" w:fill="F9FAFB"/>
          </w:tcPr>
          <w:p>
            <w:pPr>
              <w:jc w:val="center"/>
              <w:spacing w:before="60" w:after="60"/>
            </w:pPr>
            <w:r>
              <w:rPr>
                <w:sz w:val="20"/>
                <w:color w:val="111827"/>
              </w:rPr>
              <w:t>0.0%</w:t>
            </w:r>
          </w:p>
        </w:tc>
        <w:tc>
          <w:tcPr>
            <w:tcW w:w="0" w:type="auto"/>
            <w:shd w:val="clear" w:fill="F9FAFB"/>
          </w:tcPr>
          <w:p>
            <w:pPr>
              <w:jc w:val="center"/>
              <w:spacing w:before="60" w:after="60"/>
            </w:pPr>
            <w:r>
              <w:rPr>
                <w:sz w:val="20"/>
                <w:color w:val="111827"/>
              </w:rPr>
              <w:t>0.0%</w:t>
            </w:r>
          </w:p>
        </w:tc>
      </w:tr>
      <w:tr>
        <w:tc>
          <w:tcPr>
            <w:tcW w:w="0" w:type="auto"/>
          </w:tcPr>
          <w:p>
            <w:pPr>
              <w:jc w:val="center"/>
              <w:spacing w:before="60" w:after="60"/>
            </w:pPr>
            <w:r>
              <w:rPr>
                <w:sz w:val="20"/>
                <w:color w:val="111827"/>
              </w:rPr>
              <w:t>5</w:t>
            </w:r>
          </w:p>
        </w:tc>
        <w:tc>
          <w:tcPr>
            <w:tcW w:w="0" w:type="auto"/>
          </w:tcPr>
          <w:p>
            <w:pPr>
              <w:jc w:val="center"/>
              <w:spacing w:before="60" w:after="60"/>
            </w:pPr>
            <w:r>
              <w:rPr>
                <w:sz w:val="20"/>
                <w:color w:val="111827"/>
              </w:rPr>
              <w:t>0.5%</w:t>
            </w:r>
          </w:p>
        </w:tc>
        <w:tc>
          <w:tcPr>
            <w:tcW w:w="0" w:type="auto"/>
          </w:tcPr>
          <w:p>
            <w:pPr>
              <w:jc w:val="center"/>
              <w:spacing w:before="60" w:after="60"/>
            </w:pPr>
            <w:r>
              <w:rPr>
                <w:sz w:val="20"/>
                <w:color w:val="111827"/>
              </w:rPr>
              <w:t>4.7%</w:t>
            </w:r>
          </w:p>
        </w:tc>
        <w:tc>
          <w:tcPr>
            <w:tcW w:w="0" w:type="auto"/>
          </w:tcPr>
          <w:p>
            <w:pPr>
              <w:jc w:val="center"/>
              <w:spacing w:before="60" w:after="60"/>
            </w:pPr>
            <w:r>
              <w:rPr>
                <w:sz w:val="20"/>
                <w:color w:val="111827"/>
              </w:rPr>
              <w:t>16.1%</w:t>
            </w:r>
          </w:p>
        </w:tc>
        <w:tc>
          <w:tcPr>
            <w:tcW w:w="0" w:type="auto"/>
          </w:tcPr>
          <w:p>
            <w:pPr>
              <w:jc w:val="center"/>
              <w:spacing w:before="60" w:after="60"/>
            </w:pPr>
            <w:r>
              <w:rPr>
                <w:sz w:val="20"/>
                <w:color w:val="111827"/>
              </w:rPr>
              <w:t>29.7%</w:t>
            </w:r>
          </w:p>
        </w:tc>
        <w:tc>
          <w:tcPr>
            <w:tcW w:w="0" w:type="auto"/>
          </w:tcPr>
          <w:p>
            <w:pPr>
              <w:jc w:val="center"/>
              <w:spacing w:before="60" w:after="60"/>
            </w:pPr>
            <w:r>
              <w:rPr>
                <w:sz w:val="20"/>
                <w:color w:val="111827"/>
              </w:rPr>
              <w:t>29.7%</w:t>
            </w:r>
          </w:p>
        </w:tc>
        <w:tc>
          <w:tcPr>
            <w:tcW w:w="0" w:type="auto"/>
          </w:tcPr>
          <w:p>
            <w:pPr>
              <w:jc w:val="center"/>
              <w:spacing w:before="60" w:after="60"/>
            </w:pPr>
            <w:r>
              <w:rPr>
                <w:sz w:val="20"/>
                <w:color w:val="111827"/>
              </w:rPr>
              <w:t>16.1%</w:t>
            </w:r>
          </w:p>
        </w:tc>
        <w:tc>
          <w:tcPr>
            <w:tcW w:w="0" w:type="auto"/>
          </w:tcPr>
          <w:p>
            <w:pPr>
              <w:jc w:val="center"/>
              <w:spacing w:before="60" w:after="60"/>
            </w:pPr>
            <w:r>
              <w:rPr>
                <w:sz w:val="20"/>
                <w:color w:val="111827"/>
              </w:rPr>
              <w:t>4.7%</w:t>
            </w:r>
          </w:p>
        </w:tc>
        <w:tc>
          <w:tcPr>
            <w:tcW w:w="0" w:type="auto"/>
          </w:tcPr>
          <w:p>
            <w:pPr>
              <w:jc w:val="center"/>
              <w:spacing w:before="60" w:after="60"/>
            </w:pPr>
            <w:r>
              <w:rPr>
                <w:sz w:val="20"/>
                <w:color w:val="111827"/>
              </w:rPr>
              <w:t>0.5%</w:t>
            </w:r>
          </w:p>
        </w:tc>
        <w:tc>
          <w:tcPr>
            <w:tcW w:w="0" w:type="auto"/>
          </w:tcPr>
          <w:p>
            <w:pPr>
              <w:jc w:val="center"/>
              <w:spacing w:before="60" w:after="60"/>
            </w:pPr>
            <w:r>
              <w:rPr>
                <w:sz w:val="20"/>
                <w:color w:val="111827"/>
              </w:rPr>
              <w:t>0.0%</w:t>
            </w:r>
          </w:p>
        </w:tc>
        <w:tc>
          <w:tcPr>
            <w:tcW w:w="0" w:type="auto"/>
          </w:tcPr>
          <w:p>
            <w:pPr>
              <w:jc w:val="center"/>
              <w:spacing w:before="60" w:after="60"/>
            </w:pPr>
            <w:r>
              <w:rPr>
                <w:sz w:val="20"/>
                <w:color w:val="111827"/>
              </w:rPr>
              <w:t>0.0%</w:t>
            </w:r>
          </w:p>
        </w:tc>
      </w:tr>
      <w:tr>
        <w:tc>
          <w:tcPr>
            <w:tcW w:w="0" w:type="auto"/>
            <w:shd w:val="clear" w:fill="F9FAFB"/>
          </w:tcPr>
          <w:p>
            <w:pPr>
              <w:jc w:val="center"/>
              <w:spacing w:before="60" w:after="60"/>
            </w:pPr>
            <w:r>
              <w:rPr>
                <w:sz w:val="20"/>
                <w:color w:val="111827"/>
              </w:rPr>
              <w:t>4</w:t>
            </w:r>
          </w:p>
        </w:tc>
        <w:tc>
          <w:tcPr>
            <w:tcW w:w="0" w:type="auto"/>
            <w:shd w:val="clear" w:fill="F9FAFB"/>
          </w:tcPr>
          <w:p>
            <w:pPr>
              <w:jc w:val="center"/>
              <w:spacing w:before="60" w:after="60"/>
            </w:pPr>
            <w:r>
              <w:rPr>
                <w:sz w:val="20"/>
                <w:color w:val="111827"/>
              </w:rPr>
              <w:t>0.8%</w:t>
            </w:r>
          </w:p>
        </w:tc>
        <w:tc>
          <w:tcPr>
            <w:tcW w:w="0" w:type="auto"/>
            <w:shd w:val="clear" w:fill="F9FAFB"/>
          </w:tcPr>
          <w:p>
            <w:pPr>
              <w:jc w:val="center"/>
              <w:spacing w:before="60" w:after="60"/>
            </w:pPr>
            <w:r>
              <w:rPr>
                <w:sz w:val="20"/>
                <w:color w:val="111827"/>
              </w:rPr>
              <w:t>8.0%</w:t>
            </w:r>
          </w:p>
        </w:tc>
        <w:tc>
          <w:tcPr>
            <w:tcW w:w="0" w:type="auto"/>
            <w:shd w:val="clear" w:fill="F9FAFB"/>
          </w:tcPr>
          <w:p>
            <w:pPr>
              <w:jc w:val="center"/>
              <w:spacing w:before="60" w:after="60"/>
            </w:pPr>
            <w:r>
              <w:rPr>
                <w:sz w:val="20"/>
                <w:color w:val="111827"/>
              </w:rPr>
              <w:t>27.5%</w:t>
            </w:r>
          </w:p>
        </w:tc>
        <w:tc>
          <w:tcPr>
            <w:tcW w:w="0" w:type="auto"/>
            <w:shd w:val="clear" w:fill="F9FAFB"/>
          </w:tcPr>
          <w:p>
            <w:pPr>
              <w:jc w:val="center"/>
              <w:spacing w:before="60" w:after="60"/>
            </w:pPr>
            <w:r>
              <w:rPr>
                <w:sz w:val="20"/>
                <w:color w:val="111827"/>
              </w:rPr>
              <w:t>50.8%</w:t>
            </w:r>
          </w:p>
        </w:tc>
        <w:tc>
          <w:tcPr>
            <w:tcW w:w="0" w:type="auto"/>
            <w:shd w:val="clear" w:fill="F9FAFB"/>
          </w:tcPr>
          <w:p>
            <w:pPr>
              <w:jc w:val="center"/>
              <w:spacing w:before="60" w:after="60"/>
            </w:pPr>
            <w:r>
              <w:rPr>
                <w:sz w:val="20"/>
                <w:color w:val="111827"/>
              </w:rPr>
              <w:t>50.8%</w:t>
            </w:r>
          </w:p>
        </w:tc>
        <w:tc>
          <w:tcPr>
            <w:tcW w:w="0" w:type="auto"/>
            <w:shd w:val="clear" w:fill="F9FAFB"/>
          </w:tcPr>
          <w:p>
            <w:pPr>
              <w:jc w:val="center"/>
              <w:spacing w:before="60" w:after="60"/>
            </w:pPr>
            <w:r>
              <w:rPr>
                <w:sz w:val="20"/>
                <w:color w:val="111827"/>
              </w:rPr>
              <w:t>27.5%</w:t>
            </w:r>
          </w:p>
        </w:tc>
        <w:tc>
          <w:tcPr>
            <w:tcW w:w="0" w:type="auto"/>
            <w:shd w:val="clear" w:fill="F9FAFB"/>
          </w:tcPr>
          <w:p>
            <w:pPr>
              <w:jc w:val="center"/>
              <w:spacing w:before="60" w:after="60"/>
            </w:pPr>
            <w:r>
              <w:rPr>
                <w:sz w:val="20"/>
                <w:color w:val="111827"/>
              </w:rPr>
              <w:t>8.0%</w:t>
            </w:r>
          </w:p>
        </w:tc>
        <w:tc>
          <w:tcPr>
            <w:tcW w:w="0" w:type="auto"/>
            <w:shd w:val="clear" w:fill="F9FAFB"/>
          </w:tcPr>
          <w:p>
            <w:pPr>
              <w:jc w:val="center"/>
              <w:spacing w:before="60" w:after="60"/>
            </w:pPr>
            <w:r>
              <w:rPr>
                <w:sz w:val="20"/>
                <w:color w:val="111827"/>
              </w:rPr>
              <w:t>0.8%</w:t>
            </w:r>
          </w:p>
        </w:tc>
        <w:tc>
          <w:tcPr>
            <w:tcW w:w="0" w:type="auto"/>
            <w:shd w:val="clear" w:fill="F9FAFB"/>
          </w:tcPr>
          <w:p>
            <w:pPr>
              <w:jc w:val="center"/>
              <w:spacing w:before="60" w:after="60"/>
            </w:pPr>
            <w:r>
              <w:rPr>
                <w:sz w:val="20"/>
                <w:color w:val="111827"/>
              </w:rPr>
              <w:t>0.0%</w:t>
            </w:r>
          </w:p>
        </w:tc>
        <w:tc>
          <w:tcPr>
            <w:tcW w:w="0" w:type="auto"/>
            <w:shd w:val="clear" w:fill="F9FAFB"/>
          </w:tcPr>
          <w:p>
            <w:pPr>
              <w:jc w:val="center"/>
              <w:spacing w:before="60" w:after="60"/>
            </w:pPr>
            <w:r>
              <w:rPr>
                <w:sz w:val="20"/>
                <w:color w:val="111827"/>
              </w:rPr>
              <w:t>0.0%</w:t>
            </w:r>
          </w:p>
        </w:tc>
      </w:tr>
      <w:tr>
        <w:tc>
          <w:tcPr>
            <w:tcW w:w="0" w:type="auto"/>
          </w:tcPr>
          <w:p>
            <w:pPr>
              <w:jc w:val="center"/>
              <w:spacing w:before="60" w:after="60"/>
            </w:pPr>
            <w:r>
              <w:rPr>
                <w:sz w:val="20"/>
                <w:color w:val="111827"/>
              </w:rPr>
              <w:t>3</w:t>
            </w:r>
          </w:p>
        </w:tc>
        <w:tc>
          <w:tcPr>
            <w:tcW w:w="0" w:type="auto"/>
          </w:tcPr>
          <w:p>
            <w:pPr>
              <w:jc w:val="center"/>
              <w:spacing w:before="60" w:after="60"/>
            </w:pPr>
            <w:r>
              <w:rPr>
                <w:sz w:val="20"/>
                <w:color w:val="111827"/>
              </w:rPr>
              <w:t>1.0%</w:t>
            </w:r>
          </w:p>
        </w:tc>
        <w:tc>
          <w:tcPr>
            <w:tcW w:w="0" w:type="auto"/>
          </w:tcPr>
          <w:p>
            <w:pPr>
              <w:jc w:val="center"/>
              <w:spacing w:before="60" w:after="60"/>
            </w:pPr>
            <w:r>
              <w:rPr>
                <w:sz w:val="20"/>
                <w:color w:val="111827"/>
              </w:rPr>
              <w:t>9.7%</w:t>
            </w:r>
          </w:p>
        </w:tc>
        <w:tc>
          <w:tcPr>
            <w:tcW w:w="0" w:type="auto"/>
          </w:tcPr>
          <w:p>
            <w:pPr>
              <w:jc w:val="center"/>
              <w:spacing w:before="60" w:after="60"/>
            </w:pPr>
            <w:r>
              <w:rPr>
                <w:sz w:val="20"/>
                <w:color w:val="111827"/>
              </w:rPr>
              <w:t>33.5%</w:t>
            </w:r>
          </w:p>
        </w:tc>
        <w:tc>
          <w:tcPr>
            <w:tcW w:w="0" w:type="auto"/>
          </w:tcPr>
          <w:p>
            <w:pPr>
              <w:jc w:val="center"/>
              <w:spacing w:before="60" w:after="60"/>
            </w:pPr>
            <w:r>
              <w:rPr>
                <w:sz w:val="20"/>
                <w:color w:val="111827"/>
              </w:rPr>
              <w:t>61.7%</w:t>
            </w:r>
          </w:p>
        </w:tc>
        <w:tc>
          <w:tcPr>
            <w:tcW w:w="0" w:type="auto"/>
          </w:tcPr>
          <w:p>
            <w:pPr>
              <w:jc w:val="center"/>
              <w:spacing w:before="60" w:after="60"/>
            </w:pPr>
            <w:r>
              <w:rPr>
                <w:sz w:val="20"/>
                <w:color w:val="111827"/>
              </w:rPr>
              <w:t>61.7%</w:t>
            </w:r>
          </w:p>
        </w:tc>
        <w:tc>
          <w:tcPr>
            <w:tcW w:w="0" w:type="auto"/>
          </w:tcPr>
          <w:p>
            <w:pPr>
              <w:jc w:val="center"/>
              <w:spacing w:before="60" w:after="60"/>
            </w:pPr>
            <w:r>
              <w:rPr>
                <w:sz w:val="20"/>
                <w:color w:val="111827"/>
              </w:rPr>
              <w:t>33.5%</w:t>
            </w:r>
          </w:p>
        </w:tc>
        <w:tc>
          <w:tcPr>
            <w:tcW w:w="0" w:type="auto"/>
          </w:tcPr>
          <w:p>
            <w:pPr>
              <w:jc w:val="center"/>
              <w:spacing w:before="60" w:after="60"/>
            </w:pPr>
            <w:r>
              <w:rPr>
                <w:sz w:val="20"/>
                <w:color w:val="111827"/>
              </w:rPr>
              <w:t>9.7%</w:t>
            </w:r>
          </w:p>
        </w:tc>
        <w:tc>
          <w:tcPr>
            <w:tcW w:w="0" w:type="auto"/>
          </w:tcPr>
          <w:p>
            <w:pPr>
              <w:jc w:val="center"/>
              <w:spacing w:before="60" w:after="60"/>
            </w:pPr>
            <w:r>
              <w:rPr>
                <w:sz w:val="20"/>
                <w:color w:val="111827"/>
              </w:rPr>
              <w:t>1.0%</w:t>
            </w:r>
          </w:p>
        </w:tc>
        <w:tc>
          <w:tcPr>
            <w:tcW w:w="0" w:type="auto"/>
          </w:tcPr>
          <w:p>
            <w:pPr>
              <w:jc w:val="center"/>
              <w:spacing w:before="60" w:after="60"/>
            </w:pPr>
            <w:r>
              <w:rPr>
                <w:sz w:val="20"/>
                <w:color w:val="111827"/>
              </w:rPr>
              <w:t>0.1%</w:t>
            </w:r>
          </w:p>
        </w:tc>
        <w:tc>
          <w:tcPr>
            <w:tcW w:w="0" w:type="auto"/>
          </w:tcPr>
          <w:p>
            <w:pPr>
              <w:jc w:val="center"/>
              <w:spacing w:before="60" w:after="60"/>
            </w:pPr>
            <w:r>
              <w:rPr>
                <w:sz w:val="20"/>
                <w:color w:val="111827"/>
              </w:rPr>
              <w:t>0.0%</w:t>
            </w:r>
          </w:p>
        </w:tc>
      </w:tr>
      <w:tr>
        <w:tc>
          <w:tcPr>
            <w:tcW w:w="0" w:type="auto"/>
            <w:shd w:val="clear" w:fill="F9FAFB"/>
          </w:tcPr>
          <w:p>
            <w:pPr>
              <w:jc w:val="center"/>
              <w:spacing w:before="60" w:after="60"/>
            </w:pPr>
            <w:r>
              <w:rPr>
                <w:sz w:val="20"/>
                <w:color w:val="111827"/>
              </w:rPr>
              <w:t>2</w:t>
            </w:r>
          </w:p>
        </w:tc>
        <w:tc>
          <w:tcPr>
            <w:tcW w:w="0" w:type="auto"/>
            <w:shd w:val="clear" w:fill="F9FAFB"/>
          </w:tcPr>
          <w:p>
            <w:pPr>
              <w:jc w:val="center"/>
              <w:spacing w:before="60" w:after="60"/>
            </w:pPr>
            <w:r>
              <w:rPr>
                <w:sz w:val="20"/>
                <w:color w:val="111827"/>
              </w:rPr>
              <w:t>0.8%</w:t>
            </w:r>
          </w:p>
        </w:tc>
        <w:tc>
          <w:tcPr>
            <w:tcW w:w="0" w:type="auto"/>
            <w:shd w:val="clear" w:fill="F9FAFB"/>
          </w:tcPr>
          <w:p>
            <w:pPr>
              <w:jc w:val="center"/>
              <w:spacing w:before="60" w:after="60"/>
            </w:pPr>
            <w:r>
              <w:rPr>
                <w:sz w:val="20"/>
                <w:color w:val="111827"/>
              </w:rPr>
              <w:t>8.0%</w:t>
            </w:r>
          </w:p>
        </w:tc>
        <w:tc>
          <w:tcPr>
            <w:tcW w:w="0" w:type="auto"/>
            <w:shd w:val="clear" w:fill="F9FAFB"/>
          </w:tcPr>
          <w:p>
            <w:pPr>
              <w:jc w:val="center"/>
              <w:spacing w:before="60" w:after="60"/>
            </w:pPr>
            <w:r>
              <w:rPr>
                <w:sz w:val="20"/>
                <w:color w:val="111827"/>
              </w:rPr>
              <w:t>27.5%</w:t>
            </w:r>
          </w:p>
        </w:tc>
        <w:tc>
          <w:tcPr>
            <w:tcW w:w="0" w:type="auto"/>
            <w:shd w:val="clear" w:fill="F9FAFB"/>
          </w:tcPr>
          <w:p>
            <w:pPr>
              <w:jc w:val="center"/>
              <w:spacing w:before="60" w:after="60"/>
            </w:pPr>
            <w:r>
              <w:rPr>
                <w:sz w:val="20"/>
                <w:color w:val="111827"/>
              </w:rPr>
              <w:t>50.8%</w:t>
            </w:r>
          </w:p>
        </w:tc>
        <w:tc>
          <w:tcPr>
            <w:tcW w:w="0" w:type="auto"/>
            <w:shd w:val="clear" w:fill="F9FAFB"/>
          </w:tcPr>
          <w:p>
            <w:pPr>
              <w:jc w:val="center"/>
              <w:spacing w:before="60" w:after="60"/>
            </w:pPr>
            <w:r>
              <w:rPr>
                <w:sz w:val="20"/>
                <w:color w:val="111827"/>
              </w:rPr>
              <w:t>50.8%</w:t>
            </w:r>
          </w:p>
        </w:tc>
        <w:tc>
          <w:tcPr>
            <w:tcW w:w="0" w:type="auto"/>
            <w:shd w:val="clear" w:fill="F9FAFB"/>
          </w:tcPr>
          <w:p>
            <w:pPr>
              <w:jc w:val="center"/>
              <w:spacing w:before="60" w:after="60"/>
            </w:pPr>
            <w:r>
              <w:rPr>
                <w:sz w:val="20"/>
                <w:color w:val="111827"/>
              </w:rPr>
              <w:t>27.5%</w:t>
            </w:r>
          </w:p>
        </w:tc>
        <w:tc>
          <w:tcPr>
            <w:tcW w:w="0" w:type="auto"/>
            <w:shd w:val="clear" w:fill="F9FAFB"/>
          </w:tcPr>
          <w:p>
            <w:pPr>
              <w:jc w:val="center"/>
              <w:spacing w:before="60" w:after="60"/>
            </w:pPr>
            <w:r>
              <w:rPr>
                <w:sz w:val="20"/>
                <w:color w:val="111827"/>
              </w:rPr>
              <w:t>8.0%</w:t>
            </w:r>
          </w:p>
        </w:tc>
        <w:tc>
          <w:tcPr>
            <w:tcW w:w="0" w:type="auto"/>
            <w:shd w:val="clear" w:fill="F9FAFB"/>
          </w:tcPr>
          <w:p>
            <w:pPr>
              <w:jc w:val="center"/>
              <w:spacing w:before="60" w:after="60"/>
            </w:pPr>
            <w:r>
              <w:rPr>
                <w:sz w:val="20"/>
                <w:color w:val="111827"/>
              </w:rPr>
              <w:t>0.8%</w:t>
            </w:r>
          </w:p>
        </w:tc>
        <w:tc>
          <w:tcPr>
            <w:tcW w:w="0" w:type="auto"/>
            <w:shd w:val="clear" w:fill="F9FAFB"/>
          </w:tcPr>
          <w:p>
            <w:pPr>
              <w:jc w:val="center"/>
              <w:spacing w:before="60" w:after="60"/>
            </w:pPr>
            <w:r>
              <w:rPr>
                <w:sz w:val="20"/>
                <w:color w:val="111827"/>
              </w:rPr>
              <w:t>0.0%</w:t>
            </w:r>
          </w:p>
        </w:tc>
        <w:tc>
          <w:tcPr>
            <w:tcW w:w="0" w:type="auto"/>
            <w:shd w:val="clear" w:fill="F9FAFB"/>
          </w:tcPr>
          <w:p>
            <w:pPr>
              <w:jc w:val="center"/>
              <w:spacing w:before="60" w:after="60"/>
            </w:pPr>
            <w:r>
              <w:rPr>
                <w:sz w:val="20"/>
                <w:color w:val="111827"/>
              </w:rPr>
              <w:t>0.0%</w:t>
            </w:r>
          </w:p>
        </w:tc>
      </w:tr>
      <w:tr>
        <w:tc>
          <w:tcPr>
            <w:tcW w:w="0" w:type="auto"/>
          </w:tcPr>
          <w:p>
            <w:pPr>
              <w:jc w:val="center"/>
              <w:spacing w:before="60" w:after="60"/>
            </w:pPr>
            <w:r>
              <w:rPr>
                <w:sz w:val="20"/>
                <w:color w:val="111827"/>
              </w:rPr>
              <w:t>1</w:t>
            </w:r>
          </w:p>
        </w:tc>
        <w:tc>
          <w:tcPr>
            <w:tcW w:w="0" w:type="auto"/>
          </w:tcPr>
          <w:p>
            <w:pPr>
              <w:jc w:val="center"/>
              <w:spacing w:before="60" w:after="60"/>
            </w:pPr>
            <w:r>
              <w:rPr>
                <w:sz w:val="20"/>
                <w:color w:val="111827"/>
              </w:rPr>
              <w:t>0.5%</w:t>
            </w:r>
          </w:p>
        </w:tc>
        <w:tc>
          <w:tcPr>
            <w:tcW w:w="0" w:type="auto"/>
          </w:tcPr>
          <w:p>
            <w:pPr>
              <w:jc w:val="center"/>
              <w:spacing w:before="60" w:after="60"/>
            </w:pPr>
            <w:r>
              <w:rPr>
                <w:sz w:val="20"/>
                <w:color w:val="111827"/>
              </w:rPr>
              <w:t>4.7%</w:t>
            </w:r>
          </w:p>
        </w:tc>
        <w:tc>
          <w:tcPr>
            <w:tcW w:w="0" w:type="auto"/>
          </w:tcPr>
          <w:p>
            <w:pPr>
              <w:jc w:val="center"/>
              <w:spacing w:before="60" w:after="60"/>
            </w:pPr>
            <w:r>
              <w:rPr>
                <w:sz w:val="20"/>
                <w:color w:val="111827"/>
              </w:rPr>
              <w:t>16.1%</w:t>
            </w:r>
          </w:p>
        </w:tc>
        <w:tc>
          <w:tcPr>
            <w:tcW w:w="0" w:type="auto"/>
          </w:tcPr>
          <w:p>
            <w:pPr>
              <w:jc w:val="center"/>
              <w:spacing w:before="60" w:after="60"/>
            </w:pPr>
            <w:r>
              <w:rPr>
                <w:sz w:val="20"/>
                <w:color w:val="111827"/>
              </w:rPr>
              <w:t>29.7%</w:t>
            </w:r>
          </w:p>
        </w:tc>
        <w:tc>
          <w:tcPr>
            <w:tcW w:w="0" w:type="auto"/>
          </w:tcPr>
          <w:p>
            <w:pPr>
              <w:jc w:val="center"/>
              <w:spacing w:before="60" w:after="60"/>
            </w:pPr>
            <w:r>
              <w:rPr>
                <w:sz w:val="20"/>
                <w:color w:val="111827"/>
              </w:rPr>
              <w:t>29.7%</w:t>
            </w:r>
          </w:p>
        </w:tc>
        <w:tc>
          <w:tcPr>
            <w:tcW w:w="0" w:type="auto"/>
          </w:tcPr>
          <w:p>
            <w:pPr>
              <w:jc w:val="center"/>
              <w:spacing w:before="60" w:after="60"/>
            </w:pPr>
            <w:r>
              <w:rPr>
                <w:sz w:val="20"/>
                <w:color w:val="111827"/>
              </w:rPr>
              <w:t>16.1%</w:t>
            </w:r>
          </w:p>
        </w:tc>
        <w:tc>
          <w:tcPr>
            <w:tcW w:w="0" w:type="auto"/>
          </w:tcPr>
          <w:p>
            <w:pPr>
              <w:jc w:val="center"/>
              <w:spacing w:before="60" w:after="60"/>
            </w:pPr>
            <w:r>
              <w:rPr>
                <w:sz w:val="20"/>
                <w:color w:val="111827"/>
              </w:rPr>
              <w:t>4.7%</w:t>
            </w:r>
          </w:p>
        </w:tc>
        <w:tc>
          <w:tcPr>
            <w:tcW w:w="0" w:type="auto"/>
          </w:tcPr>
          <w:p>
            <w:pPr>
              <w:jc w:val="center"/>
              <w:spacing w:before="60" w:after="60"/>
            </w:pPr>
            <w:r>
              <w:rPr>
                <w:sz w:val="20"/>
                <w:color w:val="111827"/>
              </w:rPr>
              <w:t>0.5%</w:t>
            </w:r>
          </w:p>
        </w:tc>
        <w:tc>
          <w:tcPr>
            <w:tcW w:w="0" w:type="auto"/>
          </w:tcPr>
          <w:p>
            <w:pPr>
              <w:jc w:val="center"/>
              <w:spacing w:before="60" w:after="60"/>
            </w:pPr>
            <w:r>
              <w:rPr>
                <w:sz w:val="20"/>
                <w:color w:val="111827"/>
              </w:rPr>
              <w:t>0.0%</w:t>
            </w:r>
          </w:p>
        </w:tc>
        <w:tc>
          <w:tcPr>
            <w:tcW w:w="0" w:type="auto"/>
          </w:tcPr>
          <w:p>
            <w:pPr>
              <w:jc w:val="center"/>
              <w:spacing w:before="60" w:after="60"/>
            </w:pPr>
            <w:r>
              <w:rPr>
                <w:sz w:val="20"/>
                <w:color w:val="111827"/>
              </w:rPr>
              <w:t>0.0%</w:t>
            </w:r>
          </w:p>
        </w:tc>
      </w:tr>
      <w:tr>
        <w:tc>
          <w:tcPr>
            <w:tcW w:w="0" w:type="auto"/>
            <w:shd w:val="clear" w:fill="F9FAFB"/>
          </w:tcPr>
          <w:p>
            <w:pPr>
              <w:jc w:val="center"/>
              <w:spacing w:before="60" w:after="60"/>
            </w:pPr>
            <w:r>
              <w:rPr>
                <w:sz w:val="20"/>
                <w:color w:val="111827"/>
              </w:rPr>
              <w:t>0</w:t>
            </w:r>
          </w:p>
        </w:tc>
        <w:tc>
          <w:tcPr>
            <w:tcW w:w="0" w:type="auto"/>
            <w:shd w:val="clear" w:fill="F9FAFB"/>
          </w:tcPr>
          <w:p>
            <w:pPr>
              <w:jc w:val="center"/>
              <w:spacing w:before="60" w:after="60"/>
            </w:pPr>
            <w:r>
              <w:rPr>
                <w:sz w:val="20"/>
                <w:color w:val="111827"/>
              </w:rPr>
              <w:t>0.2%</w:t>
            </w:r>
          </w:p>
        </w:tc>
        <w:tc>
          <w:tcPr>
            <w:tcW w:w="0" w:type="auto"/>
            <w:shd w:val="clear" w:fill="F9FAFB"/>
          </w:tcPr>
          <w:p>
            <w:pPr>
              <w:jc w:val="center"/>
              <w:spacing w:before="60" w:after="60"/>
            </w:pPr>
            <w:r>
              <w:rPr>
                <w:sz w:val="20"/>
                <w:color w:val="111827"/>
              </w:rPr>
              <w:t>1.7%</w:t>
            </w:r>
          </w:p>
        </w:tc>
        <w:tc>
          <w:tcPr>
            <w:tcW w:w="0" w:type="auto"/>
            <w:shd w:val="clear" w:fill="F9FAFB"/>
          </w:tcPr>
          <w:p>
            <w:pPr>
              <w:jc w:val="center"/>
              <w:spacing w:before="60" w:after="60"/>
            </w:pPr>
            <w:r>
              <w:rPr>
                <w:sz w:val="20"/>
                <w:color w:val="111827"/>
              </w:rPr>
              <w:t>5.8%</w:t>
            </w:r>
          </w:p>
        </w:tc>
        <w:tc>
          <w:tcPr>
            <w:tcW w:w="0" w:type="auto"/>
            <w:shd w:val="clear" w:fill="F9FAFB"/>
          </w:tcPr>
          <w:p>
            <w:pPr>
              <w:jc w:val="center"/>
              <w:spacing w:before="60" w:after="60"/>
            </w:pPr>
            <w:r>
              <w:rPr>
                <w:sz w:val="20"/>
                <w:color w:val="111827"/>
              </w:rPr>
              <w:t>10.7%</w:t>
            </w:r>
          </w:p>
        </w:tc>
        <w:tc>
          <w:tcPr>
            <w:tcW w:w="0" w:type="auto"/>
            <w:shd w:val="clear" w:fill="F9FAFB"/>
          </w:tcPr>
          <w:p>
            <w:pPr>
              <w:jc w:val="center"/>
              <w:spacing w:before="60" w:after="60"/>
            </w:pPr>
            <w:r>
              <w:rPr>
                <w:sz w:val="20"/>
                <w:color w:val="111827"/>
              </w:rPr>
              <w:t>10.7%</w:t>
            </w:r>
          </w:p>
        </w:tc>
        <w:tc>
          <w:tcPr>
            <w:tcW w:w="0" w:type="auto"/>
            <w:shd w:val="clear" w:fill="F9FAFB"/>
          </w:tcPr>
          <w:p>
            <w:pPr>
              <w:jc w:val="center"/>
              <w:spacing w:before="60" w:after="60"/>
            </w:pPr>
            <w:r>
              <w:rPr>
                <w:sz w:val="20"/>
                <w:color w:val="111827"/>
              </w:rPr>
              <w:t>5.8%</w:t>
            </w:r>
          </w:p>
        </w:tc>
        <w:tc>
          <w:tcPr>
            <w:tcW w:w="0" w:type="auto"/>
            <w:shd w:val="clear" w:fill="F9FAFB"/>
          </w:tcPr>
          <w:p>
            <w:pPr>
              <w:jc w:val="center"/>
              <w:spacing w:before="60" w:after="60"/>
            </w:pPr>
            <w:r>
              <w:rPr>
                <w:sz w:val="20"/>
                <w:color w:val="111827"/>
              </w:rPr>
              <w:t>1.7%</w:t>
            </w:r>
          </w:p>
        </w:tc>
        <w:tc>
          <w:tcPr>
            <w:tcW w:w="0" w:type="auto"/>
            <w:shd w:val="clear" w:fill="F9FAFB"/>
          </w:tcPr>
          <w:p>
            <w:pPr>
              <w:jc w:val="center"/>
              <w:spacing w:before="60" w:after="60"/>
            </w:pPr>
            <w:r>
              <w:rPr>
                <w:sz w:val="20"/>
                <w:color w:val="111827"/>
              </w:rPr>
              <w:t>0.2%</w:t>
            </w:r>
          </w:p>
        </w:tc>
        <w:tc>
          <w:tcPr>
            <w:tcW w:w="0" w:type="auto"/>
            <w:shd w:val="clear" w:fill="F9FAFB"/>
          </w:tcPr>
          <w:p>
            <w:pPr>
              <w:jc w:val="center"/>
              <w:spacing w:before="60" w:after="60"/>
            </w:pPr>
            <w:r>
              <w:rPr>
                <w:sz w:val="20"/>
                <w:color w:val="111827"/>
              </w:rPr>
              <w:t>0.0%</w:t>
            </w:r>
          </w:p>
        </w:tc>
        <w:tc>
          <w:tcPr>
            <w:tcW w:w="0" w:type="auto"/>
            <w:shd w:val="clear" w:fill="F9FAFB"/>
          </w:tcPr>
          <w:p>
            <w:pPr>
              <w:jc w:val="center"/>
              <w:spacing w:before="60" w:after="60"/>
            </w:pPr>
            <w:r>
              <w:rPr>
                <w:sz w:val="20"/>
                <w:color w:val="111827"/>
              </w:rPr>
              <w:t>0.0%</w:t>
            </w:r>
          </w:p>
        </w:tc>
      </w:tr>
    </w:tbl>
    <w:p>
      <w:pPr>
        <w:sectPr>
          <w:headerReference xmlns:r="http://schemas.openxmlformats.org/officeDocument/2006/relationships" w:type="default" r:id="Rd0d2714cd6ce4554"/>
          <w:footerReference xmlns:r="http://schemas.openxmlformats.org/officeDocument/2006/relationships" w:type="default" r:id="Rc542bf80d51a4cc1"/>
          <w:pgSz w:w="11906" w:h="16838"/>
          <w:pgMar w:top="1440" w:right="1440" w:bottom="1440" w:left="1440" w:header="720" w:footer="720"/>
        </w:sectPr>
      </w:pPr>
    </w:p>
  </w:body>
</w:document>
</file>

<file path=word/footer1.xml><?xml version="1.0" encoding="utf-8"?>
<w:ftr xmlns:w="http://schemas.openxmlformats.org/wordprocessingml/2006/main">
  <w:p>
    <w:pPr>
      <w:jc w:val="center"/>
    </w:pPr>
    <w:r>
      <w:rPr>
        <w:sz w:val="18"/>
        <w:color w:val="4B5563"/>
      </w:rPr>
      <w:t>Page </w:t>
    </w:r>
    <w:r>
      <w:fldChar w:fldCharType="begin"/>
    </w:r>
    <w:r>
      <w:instrText xml:space="preserve"> PAGE </w:instrText>
    </w:r>
    <w:r>
      <w:fldChar w:fldCharType="separate"/>
    </w:r>
    <w:r>
      <w:t>1</w:t>
    </w:r>
    <w:r>
      <w:fldChar w:fldCharType="end"/>
    </w:r>
    <w:r>
      <w:rPr>
        <w:sz w:val="18"/>
        <w:color w:val="4B5563"/>
      </w:rPr>
      <w:t> of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w:p>
    <w:pPr>
      <w:jc w:val="right"/>
    </w:pPr>
    <w:r>
      <w:rPr>
        <w:sz w:val="18"/>
        <w:color w:val="4B5563"/>
      </w:rPr>
      <w:t>Spatial Autocorrelation &amp; Point Pattern Analysis Assignment</w:t>
    </w:r>
  </w:p>
</w:hdr>
</file>

<file path=word/numbering.xml><?xml version="1.0" encoding="utf-8"?>
<w:numbering xmlns:w="http://schemas.openxmlformats.org/wordprocessingml/2006/main">
  <w:abstractNum w:abstractNumId="1">
    <w:lvl w:ilvl="0">
      <w:numFmt w:val="decimal"/>
      <w:lvlText w:val="%1."/>
      <w:lvlJc w:val="left"/>
      <w:pPr>
        <w:ind w:left="540" w:hanging="360"/>
      </w:pPr>
    </w:lvl>
  </w:abstractNum>
  <w:num w:numId="1">
    <w:abstractNumId w:val="1"/>
  </w:num>
</w:numbering>
</file>

<file path=word/settings.xml><?xml version="1.0" encoding="utf-8"?>
<w:settings xmlns:w="http://schemas.openxmlformats.org/wordprocessingml/2006/main">
  <w:updateFields w:val="true"/>
  <w:displayBackgroundShape/>
</w:settings>
</file>

<file path=word/styles.xml><?xml version="1.0" encoding="utf-8"?>
<w:styles xmlns:w="http://schemas.openxmlformats.org/wordprocessingml/2006/main">
  <w:style w:type="paragraph" w:styleId="Normal" w:default="true">
    <w:name w:val="Normal"/>
    <w:pPr>
      <w:spacing w:after="120" w:line="280" w:lineRule="auto"/>
    </w:pPr>
    <w:rPr>
      <w:rFonts w:ascii="Times New Roman" w:hAnsi="Times New Roman"/>
      <w:color w:val="111827"/>
      <w:sz w:val="22"/>
    </w:rPr>
  </w:style>
  <w:style w:type="paragraph" w:styleId="Heading1">
    <w:name w:val="heading 1"/>
    <w:basedOn w:val="Normal"/>
    <w:pPr>
      <w:keepNext/>
      <w:keepLines/>
      <w:spacing w:before="400" w:after="120"/>
      <w:outlineLvl w:val="0"/>
    </w:pPr>
    <w:rPr>
      <w:rFonts w:ascii="Times New Roman" w:hAnsi="Times New Roman"/>
      <w:b/>
      <w:color w:val="0D233A"/>
      <w:sz w:val="32"/>
    </w:rPr>
  </w:style>
  <w:style w:type="paragraph" w:styleId="Heading2">
    <w:name w:val="heading 2"/>
    <w:basedOn w:val="Normal"/>
    <w:pPr>
      <w:keepNext/>
      <w:keepLines/>
      <w:spacing w:before="240" w:after="80"/>
      <w:outlineLvl w:val="1"/>
    </w:pPr>
    <w:rPr>
      <w:rFonts w:ascii="Times New Roman" w:hAnsi="Times New Roman"/>
      <w:b/>
      <w:color w:val="1D4E89"/>
      <w:sz w:val="26"/>
    </w:rPr>
  </w:style>
  <w:style w:type="paragraph" w:styleId="Heading3">
    <w:name w:val="heading 3"/>
    <w:basedOn w:val="Normal"/>
    <w:pPr>
      <w:keepNext/>
      <w:keepLines/>
      <w:spacing w:before="160" w:after="60"/>
      <w:outlineLvl w:val="2"/>
    </w:pPr>
    <w:rPr>
      <w:rFonts w:ascii="Times New Roman" w:hAnsi="Times New Roman"/>
      <w:b/>
      <w:color w:val="4A2A7A"/>
      <w:sz w:val="22"/>
    </w:rPr>
  </w:style>
  <w:style w:type="paragraph" w:styleId="Caption">
    <w:name w:val="Caption"/>
    <w:basedOn w:val="Normal"/>
    <w:pPr>
      <w:spacing w:before="80" w:after="240"/>
      <w:jc w:val="center"/>
    </w:pPr>
    <w:rPr>
      <w:i/>
      <w:color w:val="4B5563"/>
      <w:sz w:val="19"/>
    </w:rPr>
  </w:style>
  <w:style w:type="paragraph" w:styleId="TOC1">
    <w:name w:val="toc 1"/>
    <w:basedOn w:val="Normal"/>
    <w:pPr>
      <w:tabs>
        <w:tab w:val="right" w:leader="dot" w:pos="9350"/>
      </w:tabs>
      <w:spacing w:before="180" w:after="40"/>
      <w:ind w:left="0"/>
    </w:pPr>
    <w:rPr>
      <w:b/>
      <w:color w:val="0D233A"/>
    </w:rPr>
  </w:style>
  <w:style w:type="paragraph" w:styleId="TOC2">
    <w:name w:val="toc 2"/>
    <w:basedOn w:val="Normal"/>
    <w:pPr>
      <w:tabs>
        <w:tab w:val="right" w:leader="dot" w:pos="9350"/>
      </w:tabs>
      <w:spacing w:before="40" w:after="40"/>
      <w:ind w:left="360"/>
    </w:pPr>
    <w:rPr>
      <w:color w:val="111827"/>
    </w:rPr>
  </w:style>
  <w:style w:type="paragraph" w:styleId="TOC3">
    <w:name w:val="toc 3"/>
    <w:basedOn w:val="Normal"/>
    <w:pPr>
      <w:tabs>
        <w:tab w:val="right" w:leader="dot" w:pos="9350"/>
      </w:tabs>
      <w:spacing w:before="20" w:after="40"/>
      <w:ind w:left="720"/>
    </w:pPr>
    <w:rPr>
      <w:color w:val="111827"/>
    </w:rPr>
  </w:style>
</w:styles>
</file>

<file path=word/_rels/document.xml.rels>&#65279;<?xml version="1.0" encoding="utf-8"?><Relationships xmlns="http://schemas.openxmlformats.org/package/2006/relationships"><Relationship Type="http://schemas.openxmlformats.org/officeDocument/2006/relationships/styles" Target="/word/styles.xml" Id="R63fee3e4e6fe428b" /><Relationship Type="http://schemas.openxmlformats.org/officeDocument/2006/relationships/numbering" Target="/word/numbering.xml" Id="Rb02d6380be1044a4" /><Relationship Type="http://schemas.openxmlformats.org/officeDocument/2006/relationships/image" Target="/media/image.png" Id="R26cf3517f81f4734" /><Relationship Type="http://schemas.openxmlformats.org/officeDocument/2006/relationships/header" Target="/word/header1.xml" Id="Rd0d2714cd6ce4554" /><Relationship Type="http://schemas.openxmlformats.org/officeDocument/2006/relationships/footer" Target="/word/footer1.xml" Id="Rc542bf80d51a4cc1" /><Relationship Type="http://schemas.openxmlformats.org/officeDocument/2006/relationships/image" Target="/media/image2.png" Id="Rdafab4cb452f4e10" /><Relationship Type="http://schemas.openxmlformats.org/officeDocument/2006/relationships/image" Target="/media/image3.png" Id="R374cbc21799844cc" /><Relationship Type="http://schemas.openxmlformats.org/officeDocument/2006/relationships/image" Target="/media/image4.png" Id="Rd0bf562d8f684b39" /><Relationship Type="http://schemas.openxmlformats.org/officeDocument/2006/relationships/image" Target="/media/image5.png" Id="Rb8dfe71950cb45c8" /><Relationship Type="http://schemas.openxmlformats.org/officeDocument/2006/relationships/image" Target="/media/image6.png" Id="Ra94abe5ce6224bda" /><Relationship Type="http://schemas.openxmlformats.org/officeDocument/2006/relationships/image" Target="/media/image7.png" Id="Raf5b507a948a43d1" /><Relationship Type="http://schemas.openxmlformats.org/officeDocument/2006/relationships/image" Target="/media/image8.png" Id="R7662be4bdd5f4b28" /><Relationship Type="http://schemas.openxmlformats.org/officeDocument/2006/relationships/image" Target="/media/image9.png" Id="R883373d3e17646ee" /><Relationship Type="http://schemas.openxmlformats.org/officeDocument/2006/relationships/image" Target="/media/image10.png" Id="R8951c8d3d31d4dbf" /><Relationship Type="http://schemas.openxmlformats.org/officeDocument/2006/relationships/image" Target="/media/image11.png" Id="R7ccca38b7c514f1b" /><Relationship Type="http://schemas.openxmlformats.org/officeDocument/2006/relationships/settings" Target="/word/settings.xml" Id="R6b04f02daf6e401d" /></Relationships>
</file>