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C35" w:rsidRPr="00766CBC" w:rsidRDefault="00444C35" w:rsidP="00444C35">
      <w:pPr>
        <w:jc w:val="center"/>
        <w:rPr>
          <w:rFonts w:ascii="Times New Roman" w:hAnsi="Times New Roman" w:cs="Times New Roman"/>
          <w:b/>
          <w:bCs/>
          <w:sz w:val="48"/>
          <w:szCs w:val="48"/>
        </w:rPr>
      </w:pPr>
      <w:r>
        <w:rPr>
          <w:rFonts w:ascii="Times New Roman" w:hAnsi="Times New Roman" w:cs="Times New Roman"/>
          <w:b/>
          <w:bCs/>
          <w:sz w:val="48"/>
          <w:szCs w:val="48"/>
        </w:rPr>
        <w:t xml:space="preserve">PROJECT ON VALUATION OF SHARES OF NESTLE INDIA AND ITS FINANCIAL STATEMENT ANALYSIS </w:t>
      </w:r>
    </w:p>
    <w:p w:rsidR="00444C35" w:rsidRPr="005E07F7" w:rsidRDefault="00444C35" w:rsidP="00444C35">
      <w:pPr>
        <w:rPr>
          <w:b/>
          <w:bCs/>
          <w:sz w:val="30"/>
          <w:szCs w:val="30"/>
        </w:rPr>
      </w:pPr>
    </w:p>
    <w:p w:rsidR="00444C35" w:rsidRPr="005E07F7" w:rsidRDefault="00444C35" w:rsidP="00444C35">
      <w:pPr>
        <w:jc w:val="center"/>
        <w:rPr>
          <w:b/>
          <w:bCs/>
          <w:sz w:val="30"/>
          <w:szCs w:val="30"/>
        </w:rPr>
      </w:pPr>
      <w:r w:rsidRPr="005E07F7">
        <w:rPr>
          <w:b/>
          <w:bCs/>
          <w:sz w:val="30"/>
          <w:szCs w:val="30"/>
        </w:rPr>
        <w:t>Prepared for and under guidance of</w:t>
      </w:r>
    </w:p>
    <w:p w:rsidR="00444C35" w:rsidRPr="005E07F7" w:rsidRDefault="00444C35" w:rsidP="00444C35">
      <w:pPr>
        <w:jc w:val="center"/>
        <w:rPr>
          <w:sz w:val="30"/>
          <w:szCs w:val="30"/>
        </w:rPr>
      </w:pPr>
      <w:proofErr w:type="spellStart"/>
      <w:r>
        <w:rPr>
          <w:sz w:val="30"/>
          <w:szCs w:val="30"/>
        </w:rPr>
        <w:t>Prof.</w:t>
      </w:r>
      <w:proofErr w:type="spellEnd"/>
      <w:r>
        <w:rPr>
          <w:sz w:val="30"/>
          <w:szCs w:val="30"/>
        </w:rPr>
        <w:t xml:space="preserve"> Ram Mohan Menon</w:t>
      </w:r>
    </w:p>
    <w:p w:rsidR="00444C35" w:rsidRPr="005E07F7" w:rsidRDefault="00444C35" w:rsidP="00444C35">
      <w:pPr>
        <w:jc w:val="center"/>
        <w:rPr>
          <w:b/>
          <w:bCs/>
          <w:sz w:val="30"/>
          <w:szCs w:val="30"/>
        </w:rPr>
      </w:pPr>
      <w:r w:rsidRPr="005E07F7">
        <w:rPr>
          <w:b/>
          <w:bCs/>
          <w:sz w:val="30"/>
          <w:szCs w:val="30"/>
        </w:rPr>
        <w:t>Prepared By</w:t>
      </w:r>
    </w:p>
    <w:p w:rsidR="00444C35" w:rsidRDefault="00444C35" w:rsidP="00444C35">
      <w:pPr>
        <w:jc w:val="center"/>
        <w:rPr>
          <w:sz w:val="30"/>
          <w:szCs w:val="30"/>
        </w:rPr>
      </w:pPr>
      <w:proofErr w:type="spellStart"/>
      <w:r w:rsidRPr="005E07F7">
        <w:rPr>
          <w:sz w:val="30"/>
          <w:szCs w:val="30"/>
        </w:rPr>
        <w:t>Viraj</w:t>
      </w:r>
      <w:proofErr w:type="spellEnd"/>
      <w:r w:rsidRPr="005E07F7">
        <w:rPr>
          <w:sz w:val="30"/>
          <w:szCs w:val="30"/>
        </w:rPr>
        <w:t xml:space="preserve"> V </w:t>
      </w:r>
      <w:proofErr w:type="spellStart"/>
      <w:r w:rsidRPr="005E07F7">
        <w:rPr>
          <w:sz w:val="30"/>
          <w:szCs w:val="30"/>
        </w:rPr>
        <w:t>Aute</w:t>
      </w:r>
      <w:proofErr w:type="spellEnd"/>
      <w:r w:rsidRPr="005E07F7">
        <w:rPr>
          <w:sz w:val="30"/>
          <w:szCs w:val="30"/>
        </w:rPr>
        <w:t xml:space="preserve">   </w:t>
      </w:r>
      <w:r>
        <w:rPr>
          <w:sz w:val="30"/>
          <w:szCs w:val="30"/>
        </w:rPr>
        <w:t xml:space="preserve">             </w:t>
      </w:r>
      <w:r w:rsidRPr="005E07F7">
        <w:rPr>
          <w:sz w:val="30"/>
          <w:szCs w:val="30"/>
        </w:rPr>
        <w:t xml:space="preserve"> 2018B3A70741G</w:t>
      </w:r>
    </w:p>
    <w:p w:rsidR="00444C35" w:rsidRDefault="00444C35" w:rsidP="00444C35">
      <w:pPr>
        <w:jc w:val="center"/>
        <w:rPr>
          <w:sz w:val="30"/>
          <w:szCs w:val="30"/>
        </w:rPr>
      </w:pPr>
      <w:proofErr w:type="spellStart"/>
      <w:r>
        <w:rPr>
          <w:sz w:val="30"/>
          <w:szCs w:val="30"/>
        </w:rPr>
        <w:t>Kshitish</w:t>
      </w:r>
      <w:proofErr w:type="spellEnd"/>
      <w:r>
        <w:rPr>
          <w:sz w:val="30"/>
          <w:szCs w:val="30"/>
        </w:rPr>
        <w:t xml:space="preserve"> </w:t>
      </w:r>
      <w:proofErr w:type="spellStart"/>
      <w:r>
        <w:rPr>
          <w:sz w:val="30"/>
          <w:szCs w:val="30"/>
        </w:rPr>
        <w:t>Ghate</w:t>
      </w:r>
      <w:proofErr w:type="spellEnd"/>
      <w:r>
        <w:rPr>
          <w:sz w:val="30"/>
          <w:szCs w:val="30"/>
        </w:rPr>
        <w:t xml:space="preserve">            2018B3A70364G</w:t>
      </w:r>
    </w:p>
    <w:p w:rsidR="00444C35" w:rsidRPr="005E07F7" w:rsidRDefault="00444C35" w:rsidP="00444C35">
      <w:pPr>
        <w:jc w:val="center"/>
        <w:rPr>
          <w:sz w:val="30"/>
          <w:szCs w:val="30"/>
        </w:rPr>
      </w:pPr>
      <w:r>
        <w:rPr>
          <w:sz w:val="30"/>
          <w:szCs w:val="30"/>
        </w:rPr>
        <w:t xml:space="preserve">Aryan </w:t>
      </w:r>
      <w:proofErr w:type="spellStart"/>
      <w:r>
        <w:rPr>
          <w:sz w:val="30"/>
          <w:szCs w:val="30"/>
        </w:rPr>
        <w:t>Makharia</w:t>
      </w:r>
      <w:proofErr w:type="spellEnd"/>
      <w:r>
        <w:rPr>
          <w:sz w:val="30"/>
          <w:szCs w:val="30"/>
        </w:rPr>
        <w:t xml:space="preserve">         2018B3AA0719G</w:t>
      </w:r>
    </w:p>
    <w:p w:rsidR="00444C35" w:rsidRPr="005E07F7" w:rsidRDefault="00444C35" w:rsidP="00444C35">
      <w:pPr>
        <w:jc w:val="center"/>
        <w:rPr>
          <w:sz w:val="30"/>
          <w:szCs w:val="30"/>
        </w:rPr>
      </w:pPr>
      <w:r w:rsidRPr="005E07F7">
        <w:rPr>
          <w:sz w:val="30"/>
          <w:szCs w:val="30"/>
        </w:rPr>
        <w:t>In partial fulfilment of the requirements of the course</w:t>
      </w:r>
    </w:p>
    <w:p w:rsidR="00444C35" w:rsidRPr="005E07F7" w:rsidRDefault="00444C35" w:rsidP="00444C35">
      <w:pPr>
        <w:jc w:val="center"/>
        <w:rPr>
          <w:sz w:val="30"/>
          <w:szCs w:val="30"/>
        </w:rPr>
      </w:pPr>
      <w:r w:rsidRPr="005E07F7">
        <w:rPr>
          <w:sz w:val="30"/>
          <w:szCs w:val="30"/>
        </w:rPr>
        <w:t xml:space="preserve"> </w:t>
      </w:r>
      <w:r w:rsidR="00195911">
        <w:rPr>
          <w:sz w:val="30"/>
          <w:szCs w:val="30"/>
        </w:rPr>
        <w:t xml:space="preserve">ECON </w:t>
      </w:r>
      <w:proofErr w:type="gramStart"/>
      <w:r w:rsidRPr="005E07F7">
        <w:rPr>
          <w:sz w:val="30"/>
          <w:szCs w:val="30"/>
        </w:rPr>
        <w:t>F</w:t>
      </w:r>
      <w:r w:rsidR="00195911">
        <w:rPr>
          <w:sz w:val="30"/>
          <w:szCs w:val="30"/>
        </w:rPr>
        <w:t>315 :</w:t>
      </w:r>
      <w:proofErr w:type="gramEnd"/>
      <w:r w:rsidR="00195911">
        <w:rPr>
          <w:sz w:val="30"/>
          <w:szCs w:val="30"/>
        </w:rPr>
        <w:t xml:space="preserve"> Financial Management</w:t>
      </w:r>
    </w:p>
    <w:p w:rsidR="00444C35" w:rsidRDefault="00444C35" w:rsidP="00444C35">
      <w:pPr>
        <w:jc w:val="center"/>
        <w:rPr>
          <w:b/>
          <w:bCs/>
          <w:sz w:val="48"/>
          <w:szCs w:val="48"/>
        </w:rPr>
      </w:pPr>
      <w:r w:rsidRPr="005E07F7">
        <w:rPr>
          <w:b/>
          <w:bCs/>
          <w:noProof/>
          <w:sz w:val="48"/>
          <w:szCs w:val="48"/>
          <w:lang w:eastAsia="en-IN"/>
        </w:rPr>
        <w:drawing>
          <wp:inline distT="0" distB="0" distL="0" distR="0" wp14:anchorId="5F960096" wp14:editId="18A159F4">
            <wp:extent cx="2721429" cy="2721429"/>
            <wp:effectExtent l="0" t="0" r="3175" b="3175"/>
            <wp:docPr id="34" name="Picture 34" descr="Birla Institute of Technology and Science,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la Institute of Technology and Science, Pilani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276" cy="2719276"/>
                    </a:xfrm>
                    <a:prstGeom prst="rect">
                      <a:avLst/>
                    </a:prstGeom>
                    <a:noFill/>
                    <a:ln>
                      <a:noFill/>
                    </a:ln>
                  </pic:spPr>
                </pic:pic>
              </a:graphicData>
            </a:graphic>
          </wp:inline>
        </w:drawing>
      </w:r>
    </w:p>
    <w:p w:rsidR="00444C35" w:rsidRDefault="00444C35" w:rsidP="00444C35">
      <w:pPr>
        <w:spacing w:line="240" w:lineRule="auto"/>
        <w:jc w:val="center"/>
        <w:rPr>
          <w:sz w:val="24"/>
          <w:szCs w:val="24"/>
        </w:rPr>
      </w:pPr>
      <w:r>
        <w:rPr>
          <w:sz w:val="24"/>
          <w:szCs w:val="24"/>
        </w:rPr>
        <w:t xml:space="preserve">BITS </w:t>
      </w:r>
      <w:proofErr w:type="spellStart"/>
      <w:r>
        <w:rPr>
          <w:sz w:val="24"/>
          <w:szCs w:val="24"/>
        </w:rPr>
        <w:t>Pilani</w:t>
      </w:r>
      <w:proofErr w:type="spellEnd"/>
      <w:r>
        <w:rPr>
          <w:sz w:val="24"/>
          <w:szCs w:val="24"/>
        </w:rPr>
        <w:t>, Goa Campus</w:t>
      </w:r>
    </w:p>
    <w:p w:rsidR="00444C35" w:rsidRDefault="00444C35" w:rsidP="00444C35">
      <w:pPr>
        <w:spacing w:line="240" w:lineRule="auto"/>
        <w:jc w:val="center"/>
        <w:rPr>
          <w:sz w:val="24"/>
          <w:szCs w:val="24"/>
        </w:rPr>
      </w:pPr>
      <w:r>
        <w:rPr>
          <w:sz w:val="24"/>
          <w:szCs w:val="24"/>
        </w:rPr>
        <w:t>29 April, 2020</w:t>
      </w:r>
    </w:p>
    <w:p w:rsidR="00B472EF" w:rsidRDefault="00B472EF">
      <w:pPr>
        <w:rPr>
          <w:b/>
          <w:bCs/>
          <w:sz w:val="40"/>
          <w:szCs w:val="40"/>
        </w:rPr>
      </w:pPr>
      <w:r>
        <w:rPr>
          <w:b/>
          <w:bCs/>
          <w:sz w:val="40"/>
          <w:szCs w:val="40"/>
        </w:rPr>
        <w:br w:type="page"/>
      </w:r>
    </w:p>
    <w:p w:rsidR="00D733F6" w:rsidRDefault="00146BC9">
      <w:pPr>
        <w:rPr>
          <w:b/>
          <w:bCs/>
          <w:sz w:val="40"/>
          <w:szCs w:val="40"/>
        </w:rPr>
      </w:pPr>
      <w:r w:rsidRPr="00146BC9">
        <w:rPr>
          <w:b/>
          <w:bCs/>
          <w:sz w:val="40"/>
          <w:szCs w:val="40"/>
        </w:rPr>
        <w:lastRenderedPageBreak/>
        <w:t>Q1      VALUATION</w:t>
      </w:r>
    </w:p>
    <w:p w:rsidR="00146BC9" w:rsidRPr="00146BC9" w:rsidRDefault="00146BC9" w:rsidP="00146BC9">
      <w:pPr>
        <w:rPr>
          <w:b/>
          <w:bCs/>
          <w:sz w:val="32"/>
          <w:szCs w:val="32"/>
          <w:u w:val="single"/>
        </w:rPr>
      </w:pPr>
      <w:r w:rsidRPr="00146BC9">
        <w:rPr>
          <w:b/>
          <w:bCs/>
          <w:sz w:val="32"/>
          <w:szCs w:val="32"/>
          <w:u w:val="single"/>
        </w:rPr>
        <w:t>Forecasting Free Cash Flow</w:t>
      </w:r>
    </w:p>
    <w:p w:rsidR="00146BC9" w:rsidRDefault="00146BC9" w:rsidP="00146BC9">
      <w:pPr>
        <w:pStyle w:val="ListParagraph"/>
        <w:numPr>
          <w:ilvl w:val="0"/>
          <w:numId w:val="4"/>
        </w:numPr>
        <w:rPr>
          <w:b/>
          <w:bCs/>
          <w:sz w:val="24"/>
          <w:szCs w:val="24"/>
        </w:rPr>
      </w:pPr>
      <w:r w:rsidRPr="00146BC9">
        <w:rPr>
          <w:b/>
          <w:bCs/>
          <w:sz w:val="24"/>
          <w:szCs w:val="24"/>
        </w:rPr>
        <w:t>Forecasting Revenue</w:t>
      </w:r>
      <w:r w:rsidR="00C47656">
        <w:rPr>
          <w:b/>
          <w:bCs/>
          <w:sz w:val="24"/>
          <w:szCs w:val="24"/>
        </w:rPr>
        <w:t xml:space="preserve"> (in million </w:t>
      </w:r>
      <w:proofErr w:type="spellStart"/>
      <w:r w:rsidR="00C47656">
        <w:rPr>
          <w:b/>
          <w:bCs/>
          <w:sz w:val="24"/>
          <w:szCs w:val="24"/>
        </w:rPr>
        <w:t>Rs</w:t>
      </w:r>
      <w:proofErr w:type="spellEnd"/>
      <w:r w:rsidR="00C47656">
        <w:rPr>
          <w:b/>
          <w:bCs/>
          <w:sz w:val="24"/>
          <w:szCs w:val="24"/>
        </w:rPr>
        <w:t>)</w:t>
      </w:r>
    </w:p>
    <w:tbl>
      <w:tblPr>
        <w:tblW w:w="10605" w:type="dxa"/>
        <w:jc w:val="center"/>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053"/>
        <w:gridCol w:w="960"/>
        <w:gridCol w:w="1387"/>
        <w:gridCol w:w="1053"/>
        <w:gridCol w:w="1053"/>
        <w:gridCol w:w="1053"/>
        <w:gridCol w:w="1053"/>
        <w:gridCol w:w="1053"/>
      </w:tblGrid>
      <w:tr w:rsidR="00146BC9" w:rsidRPr="00146BC9" w:rsidTr="00195911">
        <w:trPr>
          <w:trHeight w:val="300"/>
          <w:jc w:val="center"/>
        </w:trPr>
        <w:tc>
          <w:tcPr>
            <w:tcW w:w="1940" w:type="dxa"/>
            <w:shd w:val="clear" w:color="auto" w:fill="auto"/>
            <w:noWrap/>
            <w:vAlign w:val="bottom"/>
            <w:hideMark/>
          </w:tcPr>
          <w:p w:rsidR="00146BC9" w:rsidRPr="00146BC9" w:rsidRDefault="00146BC9" w:rsidP="00146BC9">
            <w:pPr>
              <w:spacing w:after="0" w:line="240" w:lineRule="auto"/>
              <w:rPr>
                <w:rFonts w:ascii="Calibri" w:eastAsia="Times New Roman" w:hAnsi="Calibri" w:cs="Times New Roman"/>
                <w:b/>
                <w:bCs/>
                <w:color w:val="000000"/>
                <w:szCs w:val="22"/>
                <w:lang w:eastAsia="en-IN"/>
              </w:rPr>
            </w:pP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2019</w:t>
            </w:r>
          </w:p>
        </w:tc>
        <w:tc>
          <w:tcPr>
            <w:tcW w:w="960"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2020</w:t>
            </w:r>
          </w:p>
        </w:tc>
        <w:tc>
          <w:tcPr>
            <w:tcW w:w="1387"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2021</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2022</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2023</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2024</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2025</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2026</w:t>
            </w:r>
          </w:p>
        </w:tc>
      </w:tr>
      <w:tr w:rsidR="00146BC9" w:rsidRPr="00146BC9" w:rsidTr="00195911">
        <w:trPr>
          <w:trHeight w:val="300"/>
          <w:jc w:val="center"/>
        </w:trPr>
        <w:tc>
          <w:tcPr>
            <w:tcW w:w="1940" w:type="dxa"/>
            <w:shd w:val="clear" w:color="auto" w:fill="auto"/>
            <w:noWrap/>
            <w:vAlign w:val="bottom"/>
            <w:hideMark/>
          </w:tcPr>
          <w:p w:rsidR="00146BC9" w:rsidRPr="00146BC9" w:rsidRDefault="00146BC9" w:rsidP="00146BC9">
            <w:pPr>
              <w:spacing w:after="0" w:line="240" w:lineRule="auto"/>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Growth rate of sales</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0.106</w:t>
            </w:r>
          </w:p>
        </w:tc>
        <w:tc>
          <w:tcPr>
            <w:tcW w:w="960" w:type="dxa"/>
            <w:shd w:val="clear" w:color="auto" w:fill="auto"/>
            <w:noWrap/>
            <w:vAlign w:val="bottom"/>
            <w:hideMark/>
          </w:tcPr>
          <w:p w:rsidR="00146BC9" w:rsidRPr="00146BC9" w:rsidRDefault="00146BC9" w:rsidP="00146BC9">
            <w:pPr>
              <w:spacing w:after="0" w:line="240" w:lineRule="auto"/>
              <w:rPr>
                <w:rFonts w:ascii="Calibri" w:eastAsia="Times New Roman" w:hAnsi="Calibri" w:cs="Times New Roman"/>
                <w:b/>
                <w:bCs/>
                <w:color w:val="000000"/>
                <w:szCs w:val="22"/>
                <w:lang w:eastAsia="en-IN"/>
              </w:rPr>
            </w:pPr>
          </w:p>
        </w:tc>
        <w:tc>
          <w:tcPr>
            <w:tcW w:w="1387"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0.053</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0.106</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0.106</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0.106</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0.106</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0.106</w:t>
            </w:r>
          </w:p>
        </w:tc>
      </w:tr>
      <w:tr w:rsidR="00146BC9" w:rsidRPr="00146BC9" w:rsidTr="00195911">
        <w:trPr>
          <w:trHeight w:val="300"/>
          <w:jc w:val="center"/>
        </w:trPr>
        <w:tc>
          <w:tcPr>
            <w:tcW w:w="1940" w:type="dxa"/>
            <w:shd w:val="clear" w:color="auto" w:fill="auto"/>
            <w:noWrap/>
            <w:vAlign w:val="bottom"/>
            <w:hideMark/>
          </w:tcPr>
          <w:p w:rsidR="00146BC9" w:rsidRPr="00146BC9" w:rsidRDefault="00146BC9" w:rsidP="00146BC9">
            <w:pPr>
              <w:spacing w:after="0" w:line="240" w:lineRule="auto"/>
              <w:rPr>
                <w:rFonts w:ascii="Calibri" w:eastAsia="Times New Roman" w:hAnsi="Calibri" w:cs="Times New Roman"/>
                <w:b/>
                <w:bCs/>
                <w:color w:val="000000"/>
                <w:szCs w:val="22"/>
                <w:lang w:eastAsia="en-IN"/>
              </w:rPr>
            </w:pPr>
            <w:r w:rsidRPr="00146BC9">
              <w:rPr>
                <w:rFonts w:ascii="Calibri" w:eastAsia="Times New Roman" w:hAnsi="Calibri" w:cs="Times New Roman"/>
                <w:b/>
                <w:bCs/>
                <w:color w:val="000000"/>
                <w:szCs w:val="22"/>
                <w:lang w:eastAsia="en-IN"/>
              </w:rPr>
              <w:t>Sales</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127756.2</w:t>
            </w:r>
          </w:p>
        </w:tc>
        <w:tc>
          <w:tcPr>
            <w:tcW w:w="960"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76653.7</w:t>
            </w:r>
          </w:p>
        </w:tc>
        <w:tc>
          <w:tcPr>
            <w:tcW w:w="1387"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80716.34277</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89272.28</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98735.14</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109201.1</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120776.4</w:t>
            </w:r>
          </w:p>
        </w:tc>
        <w:tc>
          <w:tcPr>
            <w:tcW w:w="1053" w:type="dxa"/>
            <w:shd w:val="clear" w:color="auto" w:fill="auto"/>
            <w:noWrap/>
            <w:vAlign w:val="bottom"/>
            <w:hideMark/>
          </w:tcPr>
          <w:p w:rsidR="00146BC9" w:rsidRPr="00146BC9" w:rsidRDefault="00146BC9" w:rsidP="00146BC9">
            <w:pPr>
              <w:spacing w:after="0" w:line="240" w:lineRule="auto"/>
              <w:jc w:val="right"/>
              <w:rPr>
                <w:rFonts w:ascii="Calibri" w:eastAsia="Times New Roman" w:hAnsi="Calibri" w:cs="Times New Roman"/>
                <w:color w:val="000000"/>
                <w:szCs w:val="22"/>
                <w:lang w:eastAsia="en-IN"/>
              </w:rPr>
            </w:pPr>
            <w:r w:rsidRPr="00146BC9">
              <w:rPr>
                <w:rFonts w:ascii="Calibri" w:eastAsia="Times New Roman" w:hAnsi="Calibri" w:cs="Times New Roman"/>
                <w:color w:val="000000"/>
                <w:szCs w:val="22"/>
                <w:lang w:eastAsia="en-IN"/>
              </w:rPr>
              <w:t>133578.7</w:t>
            </w:r>
          </w:p>
        </w:tc>
      </w:tr>
    </w:tbl>
    <w:p w:rsidR="00146BC9" w:rsidRDefault="00146BC9" w:rsidP="00146BC9">
      <w:pPr>
        <w:pStyle w:val="ListParagraph"/>
        <w:rPr>
          <w:sz w:val="24"/>
          <w:szCs w:val="24"/>
        </w:rPr>
      </w:pPr>
    </w:p>
    <w:p w:rsidR="00146BC9" w:rsidRDefault="00146BC9" w:rsidP="00146BC9">
      <w:pPr>
        <w:rPr>
          <w:b/>
          <w:bCs/>
          <w:sz w:val="24"/>
          <w:szCs w:val="24"/>
        </w:rPr>
      </w:pPr>
      <w:r>
        <w:rPr>
          <w:sz w:val="24"/>
          <w:szCs w:val="24"/>
        </w:rPr>
        <w:t xml:space="preserve">The average growth rate of revenue for past 5 year excluding year 2015 was </w:t>
      </w:r>
      <w:r>
        <w:rPr>
          <w:b/>
          <w:bCs/>
          <w:sz w:val="24"/>
          <w:szCs w:val="24"/>
        </w:rPr>
        <w:t xml:space="preserve">10.57%. </w:t>
      </w:r>
      <w:r w:rsidR="00156C5D">
        <w:rPr>
          <w:sz w:val="24"/>
          <w:szCs w:val="24"/>
        </w:rPr>
        <w:t>We excluded 2015’s growth rate because of the MAGGI case which led to the fall in revenue. However the FMCG is industry is growing heavily and also having less competitor (oligopoly market</w:t>
      </w:r>
      <w:proofErr w:type="gramStart"/>
      <w:r w:rsidR="00156C5D">
        <w:rPr>
          <w:sz w:val="24"/>
          <w:szCs w:val="24"/>
        </w:rPr>
        <w:t>) ,</w:t>
      </w:r>
      <w:proofErr w:type="gramEnd"/>
      <w:r w:rsidR="00156C5D">
        <w:rPr>
          <w:sz w:val="24"/>
          <w:szCs w:val="24"/>
        </w:rPr>
        <w:t xml:space="preserve"> so we took growth rate as </w:t>
      </w:r>
      <w:r w:rsidR="00156C5D">
        <w:rPr>
          <w:b/>
          <w:bCs/>
          <w:sz w:val="24"/>
          <w:szCs w:val="24"/>
        </w:rPr>
        <w:t xml:space="preserve">10.6% for 2019-20. </w:t>
      </w:r>
    </w:p>
    <w:p w:rsidR="00156C5D" w:rsidRDefault="00156C5D" w:rsidP="00146BC9">
      <w:pPr>
        <w:rPr>
          <w:sz w:val="24"/>
          <w:szCs w:val="24"/>
        </w:rPr>
      </w:pPr>
      <w:r w:rsidRPr="00156C5D">
        <w:rPr>
          <w:sz w:val="24"/>
          <w:szCs w:val="24"/>
        </w:rPr>
        <w:t xml:space="preserve">As </w:t>
      </w:r>
      <w:r w:rsidR="009D15F8" w:rsidRPr="00156C5D">
        <w:rPr>
          <w:sz w:val="24"/>
          <w:szCs w:val="24"/>
        </w:rPr>
        <w:t>Nestlé’s</w:t>
      </w:r>
      <w:r w:rsidRPr="00156C5D">
        <w:rPr>
          <w:sz w:val="24"/>
          <w:szCs w:val="24"/>
        </w:rPr>
        <w:t xml:space="preserve"> product mainly includes </w:t>
      </w:r>
      <w:r w:rsidR="009D15F8" w:rsidRPr="00156C5D">
        <w:rPr>
          <w:sz w:val="24"/>
          <w:szCs w:val="24"/>
        </w:rPr>
        <w:t>Dairy,</w:t>
      </w:r>
      <w:r w:rsidRPr="00156C5D">
        <w:rPr>
          <w:sz w:val="24"/>
          <w:szCs w:val="24"/>
        </w:rPr>
        <w:t xml:space="preserve"> Cereals, and other Food items</w:t>
      </w:r>
      <w:r>
        <w:rPr>
          <w:sz w:val="24"/>
          <w:szCs w:val="24"/>
        </w:rPr>
        <w:t xml:space="preserve">. The </w:t>
      </w:r>
      <w:proofErr w:type="spellStart"/>
      <w:r>
        <w:rPr>
          <w:sz w:val="24"/>
          <w:szCs w:val="24"/>
        </w:rPr>
        <w:t>Covid</w:t>
      </w:r>
      <w:proofErr w:type="spellEnd"/>
      <w:r>
        <w:rPr>
          <w:sz w:val="24"/>
          <w:szCs w:val="24"/>
        </w:rPr>
        <w:t xml:space="preserve"> impact of</w:t>
      </w:r>
      <w:r w:rsidRPr="00156C5D">
        <w:rPr>
          <w:sz w:val="24"/>
          <w:szCs w:val="24"/>
        </w:rPr>
        <w:t xml:space="preserve"> drop in Sales from Domestic Market will be less </w:t>
      </w:r>
      <w:r w:rsidR="009D15F8" w:rsidRPr="00156C5D">
        <w:rPr>
          <w:sz w:val="24"/>
          <w:szCs w:val="24"/>
        </w:rPr>
        <w:t>however the</w:t>
      </w:r>
      <w:r w:rsidRPr="00156C5D">
        <w:rPr>
          <w:sz w:val="24"/>
          <w:szCs w:val="24"/>
        </w:rPr>
        <w:t xml:space="preserve"> Sales from Export will decrease by much larger extent. Hence we take </w:t>
      </w:r>
      <w:r w:rsidRPr="00156C5D">
        <w:rPr>
          <w:b/>
          <w:bCs/>
          <w:sz w:val="24"/>
          <w:szCs w:val="24"/>
        </w:rPr>
        <w:t>revenue of 2020 as 60% of 2019</w:t>
      </w:r>
      <w:r w:rsidRPr="00156C5D">
        <w:rPr>
          <w:sz w:val="24"/>
          <w:szCs w:val="24"/>
        </w:rPr>
        <w:t xml:space="preserve">(pre </w:t>
      </w:r>
      <w:proofErr w:type="spellStart"/>
      <w:r w:rsidRPr="00156C5D">
        <w:rPr>
          <w:sz w:val="24"/>
          <w:szCs w:val="24"/>
        </w:rPr>
        <w:t>covid</w:t>
      </w:r>
      <w:proofErr w:type="spellEnd"/>
      <w:r w:rsidRPr="00156C5D">
        <w:rPr>
          <w:sz w:val="24"/>
          <w:szCs w:val="24"/>
        </w:rPr>
        <w:t xml:space="preserve"> year</w:t>
      </w:r>
      <w:proofErr w:type="gramStart"/>
      <w:r w:rsidRPr="00156C5D">
        <w:rPr>
          <w:sz w:val="24"/>
          <w:szCs w:val="24"/>
        </w:rPr>
        <w:t>) .</w:t>
      </w:r>
      <w:proofErr w:type="gramEnd"/>
    </w:p>
    <w:p w:rsidR="00156C5D" w:rsidRPr="00156C5D" w:rsidRDefault="00156C5D" w:rsidP="00156C5D">
      <w:pPr>
        <w:rPr>
          <w:sz w:val="24"/>
          <w:szCs w:val="24"/>
        </w:rPr>
      </w:pPr>
      <w:r w:rsidRPr="00156C5D">
        <w:rPr>
          <w:sz w:val="24"/>
          <w:szCs w:val="24"/>
        </w:rPr>
        <w:t xml:space="preserve">Although revenue would start increasing after the </w:t>
      </w:r>
      <w:proofErr w:type="spellStart"/>
      <w:r w:rsidRPr="00156C5D">
        <w:rPr>
          <w:sz w:val="24"/>
          <w:szCs w:val="24"/>
        </w:rPr>
        <w:t>covid</w:t>
      </w:r>
      <w:proofErr w:type="spellEnd"/>
      <w:r w:rsidRPr="00156C5D">
        <w:rPr>
          <w:sz w:val="24"/>
          <w:szCs w:val="24"/>
        </w:rPr>
        <w:t xml:space="preserve"> crisis but due to decline in the income of the consumers the growth rate wouldn't </w:t>
      </w:r>
      <w:r w:rsidR="009D15F8" w:rsidRPr="00156C5D">
        <w:rPr>
          <w:sz w:val="24"/>
          <w:szCs w:val="24"/>
        </w:rPr>
        <w:t>jump directly</w:t>
      </w:r>
      <w:r w:rsidRPr="00156C5D">
        <w:rPr>
          <w:sz w:val="24"/>
          <w:szCs w:val="24"/>
        </w:rPr>
        <w:t xml:space="preserve"> to natural rate of 10.8% henc</w:t>
      </w:r>
      <w:r>
        <w:rPr>
          <w:sz w:val="24"/>
          <w:szCs w:val="24"/>
        </w:rPr>
        <w:t>e we assume that it would take 1 year</w:t>
      </w:r>
      <w:r w:rsidRPr="00156C5D">
        <w:rPr>
          <w:sz w:val="24"/>
          <w:szCs w:val="24"/>
        </w:rPr>
        <w:t xml:space="preserve"> for growth to attain natural rate. Therefore growth rate for </w:t>
      </w:r>
      <w:r w:rsidRPr="00156C5D">
        <w:rPr>
          <w:b/>
          <w:bCs/>
          <w:sz w:val="24"/>
          <w:szCs w:val="24"/>
        </w:rPr>
        <w:t>2021 is assumed to be 5.3% and 10.6% for following years.</w:t>
      </w:r>
    </w:p>
    <w:p w:rsidR="00156C5D" w:rsidRDefault="00156C5D" w:rsidP="00146BC9">
      <w:pPr>
        <w:rPr>
          <w:sz w:val="24"/>
          <w:szCs w:val="24"/>
        </w:rPr>
      </w:pPr>
    </w:p>
    <w:p w:rsidR="00440460" w:rsidRPr="00156C5D" w:rsidRDefault="00440460" w:rsidP="00146BC9">
      <w:pPr>
        <w:rPr>
          <w:sz w:val="24"/>
          <w:szCs w:val="24"/>
        </w:rPr>
      </w:pPr>
    </w:p>
    <w:p w:rsidR="00146BC9" w:rsidRPr="00C47656" w:rsidRDefault="00156C5D" w:rsidP="00156C5D">
      <w:pPr>
        <w:pStyle w:val="ListParagraph"/>
        <w:numPr>
          <w:ilvl w:val="0"/>
          <w:numId w:val="4"/>
        </w:numPr>
        <w:rPr>
          <w:b/>
          <w:bCs/>
          <w:sz w:val="24"/>
          <w:szCs w:val="24"/>
        </w:rPr>
      </w:pPr>
      <w:r w:rsidRPr="00156C5D">
        <w:rPr>
          <w:b/>
          <w:bCs/>
          <w:sz w:val="24"/>
          <w:szCs w:val="24"/>
        </w:rPr>
        <w:t>Forecasting Variable and Fixed Cost</w:t>
      </w:r>
      <w:r w:rsidR="00C47656">
        <w:rPr>
          <w:b/>
          <w:bCs/>
          <w:sz w:val="24"/>
          <w:szCs w:val="24"/>
        </w:rPr>
        <w:t xml:space="preserve"> (in million </w:t>
      </w:r>
      <w:proofErr w:type="spellStart"/>
      <w:r w:rsidR="00C47656">
        <w:rPr>
          <w:b/>
          <w:bCs/>
          <w:sz w:val="24"/>
          <w:szCs w:val="24"/>
        </w:rPr>
        <w:t>Rs</w:t>
      </w:r>
      <w:proofErr w:type="spellEnd"/>
      <w:r w:rsidR="00C47656">
        <w:rPr>
          <w:b/>
          <w:bCs/>
          <w:sz w:val="24"/>
          <w:szCs w:val="24"/>
        </w:rPr>
        <w:t>)</w:t>
      </w:r>
    </w:p>
    <w:tbl>
      <w:tblPr>
        <w:tblpPr w:leftFromText="180" w:rightFromText="180" w:vertAnchor="text" w:horzAnchor="margin" w:tblpXSpec="center" w:tblpY="179"/>
        <w:tblW w:w="10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053"/>
        <w:gridCol w:w="1053"/>
        <w:gridCol w:w="1387"/>
        <w:gridCol w:w="1053"/>
        <w:gridCol w:w="1053"/>
        <w:gridCol w:w="1053"/>
        <w:gridCol w:w="1053"/>
        <w:gridCol w:w="1053"/>
      </w:tblGrid>
      <w:tr w:rsidR="00C47656" w:rsidRPr="00C47656" w:rsidTr="00C47656">
        <w:trPr>
          <w:trHeight w:val="300"/>
        </w:trPr>
        <w:tc>
          <w:tcPr>
            <w:tcW w:w="1940"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p>
        </w:tc>
        <w:tc>
          <w:tcPr>
            <w:tcW w:w="1053"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2019</w:t>
            </w:r>
          </w:p>
        </w:tc>
        <w:tc>
          <w:tcPr>
            <w:tcW w:w="1053"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2020</w:t>
            </w:r>
          </w:p>
        </w:tc>
        <w:tc>
          <w:tcPr>
            <w:tcW w:w="1387"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2021</w:t>
            </w:r>
          </w:p>
        </w:tc>
        <w:tc>
          <w:tcPr>
            <w:tcW w:w="1053"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2022</w:t>
            </w:r>
          </w:p>
        </w:tc>
        <w:tc>
          <w:tcPr>
            <w:tcW w:w="1053"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2023</w:t>
            </w:r>
          </w:p>
        </w:tc>
        <w:tc>
          <w:tcPr>
            <w:tcW w:w="1053"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2024</w:t>
            </w:r>
          </w:p>
        </w:tc>
        <w:tc>
          <w:tcPr>
            <w:tcW w:w="1053"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2025</w:t>
            </w:r>
          </w:p>
        </w:tc>
        <w:tc>
          <w:tcPr>
            <w:tcW w:w="1053"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2026</w:t>
            </w:r>
          </w:p>
        </w:tc>
      </w:tr>
      <w:tr w:rsidR="00C47656" w:rsidRPr="00C47656" w:rsidTr="00C47656">
        <w:trPr>
          <w:trHeight w:val="300"/>
        </w:trPr>
        <w:tc>
          <w:tcPr>
            <w:tcW w:w="1940"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VC</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60045.4</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36027.24</w:t>
            </w:r>
          </w:p>
        </w:tc>
        <w:tc>
          <w:tcPr>
            <w:tcW w:w="1387"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37936.6811</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41957.97</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46405.51</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51324.5</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56764.9</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62781.97</w:t>
            </w:r>
          </w:p>
        </w:tc>
      </w:tr>
      <w:tr w:rsidR="00C47656" w:rsidRPr="00C47656" w:rsidTr="00C47656">
        <w:trPr>
          <w:trHeight w:val="300"/>
        </w:trPr>
        <w:tc>
          <w:tcPr>
            <w:tcW w:w="1940"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FC</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39604.41</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26062.26</w:t>
            </w:r>
          </w:p>
        </w:tc>
        <w:tc>
          <w:tcPr>
            <w:tcW w:w="1387"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25022.06626</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27674.41</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30607.89</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33852.33</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37440.68</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41409.39</w:t>
            </w:r>
          </w:p>
        </w:tc>
      </w:tr>
      <w:tr w:rsidR="00C47656" w:rsidRPr="00C47656" w:rsidTr="00C47656">
        <w:trPr>
          <w:trHeight w:val="300"/>
        </w:trPr>
        <w:tc>
          <w:tcPr>
            <w:tcW w:w="1940" w:type="dxa"/>
            <w:shd w:val="clear" w:color="auto" w:fill="auto"/>
            <w:noWrap/>
            <w:vAlign w:val="bottom"/>
            <w:hideMark/>
          </w:tcPr>
          <w:p w:rsidR="00C47656" w:rsidRPr="00C47656" w:rsidRDefault="00C47656" w:rsidP="00C47656">
            <w:pPr>
              <w:spacing w:after="0" w:line="240" w:lineRule="auto"/>
              <w:rPr>
                <w:rFonts w:ascii="Calibri" w:eastAsia="Times New Roman" w:hAnsi="Calibri" w:cs="Times New Roman"/>
                <w:b/>
                <w:bCs/>
                <w:color w:val="000000"/>
                <w:szCs w:val="22"/>
                <w:lang w:eastAsia="en-IN"/>
              </w:rPr>
            </w:pPr>
            <w:r w:rsidRPr="00C47656">
              <w:rPr>
                <w:rFonts w:ascii="Calibri" w:eastAsia="Times New Roman" w:hAnsi="Calibri" w:cs="Times New Roman"/>
                <w:b/>
                <w:bCs/>
                <w:color w:val="000000"/>
                <w:szCs w:val="22"/>
                <w:lang w:eastAsia="en-IN"/>
              </w:rPr>
              <w:t>TC</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99649.81</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62089.49</w:t>
            </w:r>
          </w:p>
        </w:tc>
        <w:tc>
          <w:tcPr>
            <w:tcW w:w="1387"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62958.74736</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69632.37</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77013.41</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85176.83</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94205.57</w:t>
            </w:r>
          </w:p>
        </w:tc>
        <w:tc>
          <w:tcPr>
            <w:tcW w:w="1053" w:type="dxa"/>
            <w:shd w:val="clear" w:color="auto" w:fill="auto"/>
            <w:noWrap/>
            <w:vAlign w:val="bottom"/>
            <w:hideMark/>
          </w:tcPr>
          <w:p w:rsidR="00C47656" w:rsidRPr="00C47656" w:rsidRDefault="00C47656" w:rsidP="00C47656">
            <w:pPr>
              <w:spacing w:after="0" w:line="240" w:lineRule="auto"/>
              <w:jc w:val="right"/>
              <w:rPr>
                <w:rFonts w:ascii="Calibri" w:eastAsia="Times New Roman" w:hAnsi="Calibri" w:cs="Times New Roman"/>
                <w:color w:val="000000"/>
                <w:szCs w:val="22"/>
                <w:lang w:eastAsia="en-IN"/>
              </w:rPr>
            </w:pPr>
            <w:r w:rsidRPr="00C47656">
              <w:rPr>
                <w:rFonts w:ascii="Calibri" w:eastAsia="Times New Roman" w:hAnsi="Calibri" w:cs="Times New Roman"/>
                <w:color w:val="000000"/>
                <w:szCs w:val="22"/>
                <w:lang w:eastAsia="en-IN"/>
              </w:rPr>
              <w:t>104191.4</w:t>
            </w:r>
          </w:p>
        </w:tc>
      </w:tr>
    </w:tbl>
    <w:p w:rsidR="00B359FA" w:rsidRDefault="00C47656" w:rsidP="00C47656">
      <w:r>
        <w:fldChar w:fldCharType="begin"/>
      </w:r>
      <w:r>
        <w:instrText xml:space="preserve"> LINK </w:instrText>
      </w:r>
      <w:r w:rsidR="00D57251">
        <w:instrText xml:space="preserve">Excel.Sheet.12 "C:\\Users\\VIJAY\\Desktop\\finman project\\valuation.xlsx" FCF!R7C13:R10C21 </w:instrText>
      </w:r>
      <w:r>
        <w:instrText xml:space="preserve">\a \f 4 \h </w:instrText>
      </w:r>
      <w:r>
        <w:fldChar w:fldCharType="separate"/>
      </w:r>
    </w:p>
    <w:p w:rsidR="00C47656" w:rsidRDefault="00C47656" w:rsidP="00C47656">
      <w:pPr>
        <w:rPr>
          <w:sz w:val="24"/>
          <w:szCs w:val="24"/>
        </w:rPr>
      </w:pPr>
      <w:r>
        <w:rPr>
          <w:b/>
          <w:bCs/>
          <w:sz w:val="24"/>
          <w:szCs w:val="24"/>
        </w:rPr>
        <w:fldChar w:fldCharType="end"/>
      </w:r>
      <w:r>
        <w:rPr>
          <w:sz w:val="24"/>
          <w:szCs w:val="24"/>
        </w:rPr>
        <w:t xml:space="preserve">It has been observed that VC as % of Sales and FC as % of sales has been nearly constant for the year 2015-2018, hence we take </w:t>
      </w:r>
      <w:r>
        <w:rPr>
          <w:b/>
          <w:bCs/>
          <w:sz w:val="24"/>
          <w:szCs w:val="24"/>
        </w:rPr>
        <w:t xml:space="preserve">VC = 0.47* Sales </w:t>
      </w:r>
      <w:r>
        <w:rPr>
          <w:sz w:val="24"/>
          <w:szCs w:val="24"/>
        </w:rPr>
        <w:t xml:space="preserve">and </w:t>
      </w:r>
      <w:r>
        <w:rPr>
          <w:b/>
          <w:bCs/>
          <w:sz w:val="24"/>
          <w:szCs w:val="24"/>
        </w:rPr>
        <w:t xml:space="preserve">FC =0.31*Sales </w:t>
      </w:r>
      <w:r>
        <w:rPr>
          <w:sz w:val="24"/>
          <w:szCs w:val="24"/>
        </w:rPr>
        <w:t>for year 2019.</w:t>
      </w:r>
    </w:p>
    <w:p w:rsidR="00B359FA" w:rsidRDefault="00B359FA" w:rsidP="00B359FA">
      <w:pPr>
        <w:rPr>
          <w:sz w:val="24"/>
          <w:szCs w:val="24"/>
        </w:rPr>
      </w:pPr>
      <w:r w:rsidRPr="00B359FA">
        <w:rPr>
          <w:sz w:val="24"/>
          <w:szCs w:val="24"/>
        </w:rPr>
        <w:t>Nestle suffered a loss in revenue in 2015 due to MAGGI Case, at that time FC as % of Sales increased but VC as % of sales was</w:t>
      </w:r>
      <w:r>
        <w:rPr>
          <w:sz w:val="24"/>
          <w:szCs w:val="24"/>
        </w:rPr>
        <w:t xml:space="preserve"> constant</w:t>
      </w:r>
      <w:r w:rsidRPr="00B359FA">
        <w:rPr>
          <w:sz w:val="24"/>
          <w:szCs w:val="24"/>
        </w:rPr>
        <w:t>. Hence we</w:t>
      </w:r>
      <w:r>
        <w:rPr>
          <w:sz w:val="24"/>
          <w:szCs w:val="24"/>
        </w:rPr>
        <w:t xml:space="preserve"> assume a similar impact will occur </w:t>
      </w:r>
      <w:r w:rsidR="00CA2B60">
        <w:rPr>
          <w:sz w:val="24"/>
          <w:szCs w:val="24"/>
        </w:rPr>
        <w:t xml:space="preserve">due to </w:t>
      </w:r>
      <w:proofErr w:type="spellStart"/>
      <w:r w:rsidR="00CA2B60">
        <w:rPr>
          <w:sz w:val="24"/>
          <w:szCs w:val="24"/>
        </w:rPr>
        <w:t>Covid</w:t>
      </w:r>
      <w:proofErr w:type="spellEnd"/>
      <w:r w:rsidR="00CA2B60">
        <w:rPr>
          <w:sz w:val="24"/>
          <w:szCs w:val="24"/>
        </w:rPr>
        <w:t xml:space="preserve"> so we</w:t>
      </w:r>
      <w:r w:rsidRPr="00B359FA">
        <w:rPr>
          <w:sz w:val="24"/>
          <w:szCs w:val="24"/>
        </w:rPr>
        <w:t xml:space="preserve"> take </w:t>
      </w:r>
      <w:r w:rsidRPr="00B359FA">
        <w:rPr>
          <w:b/>
          <w:bCs/>
          <w:sz w:val="24"/>
          <w:szCs w:val="24"/>
        </w:rPr>
        <w:t xml:space="preserve">VC as 0.47* sales </w:t>
      </w:r>
      <w:r w:rsidRPr="00B359FA">
        <w:rPr>
          <w:sz w:val="24"/>
          <w:szCs w:val="24"/>
        </w:rPr>
        <w:t xml:space="preserve">but </w:t>
      </w:r>
      <w:r w:rsidRPr="00B359FA">
        <w:rPr>
          <w:b/>
          <w:bCs/>
          <w:sz w:val="24"/>
          <w:szCs w:val="24"/>
        </w:rPr>
        <w:t>FC as 0.34*sales</w:t>
      </w:r>
      <w:r w:rsidRPr="00B359FA">
        <w:rPr>
          <w:sz w:val="24"/>
          <w:szCs w:val="24"/>
        </w:rPr>
        <w:t>.</w:t>
      </w:r>
    </w:p>
    <w:p w:rsidR="00D57251" w:rsidRPr="00255B4E" w:rsidRDefault="00D57251" w:rsidP="00255B4E">
      <w:pPr>
        <w:pStyle w:val="ListParagraph"/>
        <w:numPr>
          <w:ilvl w:val="0"/>
          <w:numId w:val="4"/>
        </w:numPr>
        <w:rPr>
          <w:b/>
          <w:bCs/>
          <w:sz w:val="24"/>
          <w:szCs w:val="24"/>
        </w:rPr>
      </w:pPr>
      <w:r w:rsidRPr="00255B4E">
        <w:rPr>
          <w:b/>
          <w:bCs/>
          <w:sz w:val="24"/>
          <w:szCs w:val="24"/>
        </w:rPr>
        <w:lastRenderedPageBreak/>
        <w:t xml:space="preserve"> Forecasting PAT (in million </w:t>
      </w:r>
      <w:proofErr w:type="spellStart"/>
      <w:r w:rsidRPr="00255B4E">
        <w:rPr>
          <w:b/>
          <w:bCs/>
          <w:sz w:val="24"/>
          <w:szCs w:val="24"/>
        </w:rPr>
        <w:t>Rs</w:t>
      </w:r>
      <w:proofErr w:type="spellEnd"/>
      <w:r w:rsidRPr="00255B4E">
        <w:rPr>
          <w:b/>
          <w:bCs/>
          <w:sz w:val="24"/>
          <w:szCs w:val="24"/>
        </w:rPr>
        <w:t>)</w:t>
      </w:r>
    </w:p>
    <w:tbl>
      <w:tblPr>
        <w:tblStyle w:val="TableGrid"/>
        <w:tblW w:w="9606" w:type="dxa"/>
        <w:jc w:val="center"/>
        <w:tblLook w:val="04A0" w:firstRow="1" w:lastRow="0" w:firstColumn="1" w:lastColumn="0" w:noHBand="0" w:noVBand="1"/>
      </w:tblPr>
      <w:tblGrid>
        <w:gridCol w:w="1155"/>
        <w:gridCol w:w="1129"/>
        <w:gridCol w:w="1129"/>
        <w:gridCol w:w="1493"/>
        <w:gridCol w:w="1129"/>
        <w:gridCol w:w="1129"/>
        <w:gridCol w:w="1129"/>
        <w:gridCol w:w="1129"/>
        <w:gridCol w:w="1247"/>
      </w:tblGrid>
      <w:tr w:rsidR="00872405" w:rsidRPr="00872405" w:rsidTr="009628E1">
        <w:trPr>
          <w:trHeight w:val="300"/>
          <w:jc w:val="center"/>
        </w:trPr>
        <w:tc>
          <w:tcPr>
            <w:tcW w:w="1155" w:type="dxa"/>
            <w:noWrap/>
          </w:tcPr>
          <w:p w:rsidR="00872405" w:rsidRPr="00872405" w:rsidRDefault="00872405">
            <w:pPr>
              <w:rPr>
                <w:b/>
                <w:bCs/>
                <w:sz w:val="24"/>
                <w:szCs w:val="24"/>
              </w:rPr>
            </w:pPr>
          </w:p>
        </w:tc>
        <w:tc>
          <w:tcPr>
            <w:tcW w:w="986" w:type="dxa"/>
            <w:noWrap/>
          </w:tcPr>
          <w:p w:rsidR="00872405" w:rsidRPr="00872405" w:rsidRDefault="00872405" w:rsidP="00872405">
            <w:pPr>
              <w:rPr>
                <w:b/>
                <w:bCs/>
                <w:sz w:val="24"/>
                <w:szCs w:val="24"/>
              </w:rPr>
            </w:pPr>
            <w:r w:rsidRPr="00872405">
              <w:rPr>
                <w:b/>
                <w:bCs/>
                <w:sz w:val="24"/>
                <w:szCs w:val="24"/>
              </w:rPr>
              <w:t>2019</w:t>
            </w:r>
          </w:p>
        </w:tc>
        <w:tc>
          <w:tcPr>
            <w:tcW w:w="986" w:type="dxa"/>
            <w:noWrap/>
          </w:tcPr>
          <w:p w:rsidR="00872405" w:rsidRPr="00872405" w:rsidRDefault="00872405" w:rsidP="00872405">
            <w:pPr>
              <w:rPr>
                <w:b/>
                <w:bCs/>
                <w:sz w:val="24"/>
                <w:szCs w:val="24"/>
              </w:rPr>
            </w:pPr>
            <w:r w:rsidRPr="00872405">
              <w:rPr>
                <w:b/>
                <w:bCs/>
                <w:sz w:val="24"/>
                <w:szCs w:val="24"/>
              </w:rPr>
              <w:t>2020</w:t>
            </w:r>
          </w:p>
        </w:tc>
        <w:tc>
          <w:tcPr>
            <w:tcW w:w="1292" w:type="dxa"/>
            <w:noWrap/>
          </w:tcPr>
          <w:p w:rsidR="00872405" w:rsidRPr="00872405" w:rsidRDefault="00872405" w:rsidP="00872405">
            <w:pPr>
              <w:rPr>
                <w:b/>
                <w:bCs/>
                <w:sz w:val="24"/>
                <w:szCs w:val="24"/>
              </w:rPr>
            </w:pPr>
            <w:r w:rsidRPr="00872405">
              <w:rPr>
                <w:b/>
                <w:bCs/>
                <w:sz w:val="24"/>
                <w:szCs w:val="24"/>
              </w:rPr>
              <w:t>2021</w:t>
            </w:r>
          </w:p>
        </w:tc>
        <w:tc>
          <w:tcPr>
            <w:tcW w:w="985" w:type="dxa"/>
            <w:noWrap/>
          </w:tcPr>
          <w:p w:rsidR="00872405" w:rsidRPr="00872405" w:rsidRDefault="00872405" w:rsidP="00872405">
            <w:pPr>
              <w:rPr>
                <w:b/>
                <w:bCs/>
                <w:sz w:val="24"/>
                <w:szCs w:val="24"/>
              </w:rPr>
            </w:pPr>
            <w:r w:rsidRPr="00872405">
              <w:rPr>
                <w:b/>
                <w:bCs/>
                <w:sz w:val="24"/>
                <w:szCs w:val="24"/>
              </w:rPr>
              <w:t>2022</w:t>
            </w:r>
          </w:p>
        </w:tc>
        <w:tc>
          <w:tcPr>
            <w:tcW w:w="985" w:type="dxa"/>
            <w:noWrap/>
          </w:tcPr>
          <w:p w:rsidR="00872405" w:rsidRPr="00872405" w:rsidRDefault="00872405" w:rsidP="00872405">
            <w:pPr>
              <w:rPr>
                <w:b/>
                <w:bCs/>
                <w:sz w:val="24"/>
                <w:szCs w:val="24"/>
              </w:rPr>
            </w:pPr>
            <w:r w:rsidRPr="00872405">
              <w:rPr>
                <w:b/>
                <w:bCs/>
                <w:sz w:val="24"/>
                <w:szCs w:val="24"/>
              </w:rPr>
              <w:t>2023</w:t>
            </w:r>
          </w:p>
        </w:tc>
        <w:tc>
          <w:tcPr>
            <w:tcW w:w="985" w:type="dxa"/>
            <w:noWrap/>
          </w:tcPr>
          <w:p w:rsidR="00872405" w:rsidRPr="00872405" w:rsidRDefault="00872405" w:rsidP="00872405">
            <w:pPr>
              <w:rPr>
                <w:b/>
                <w:bCs/>
                <w:sz w:val="24"/>
                <w:szCs w:val="24"/>
              </w:rPr>
            </w:pPr>
            <w:r w:rsidRPr="00872405">
              <w:rPr>
                <w:b/>
                <w:bCs/>
                <w:sz w:val="24"/>
                <w:szCs w:val="24"/>
              </w:rPr>
              <w:t>2024</w:t>
            </w:r>
          </w:p>
        </w:tc>
        <w:tc>
          <w:tcPr>
            <w:tcW w:w="985" w:type="dxa"/>
            <w:noWrap/>
          </w:tcPr>
          <w:p w:rsidR="00872405" w:rsidRPr="00872405" w:rsidRDefault="00872405" w:rsidP="00872405">
            <w:pPr>
              <w:rPr>
                <w:b/>
                <w:bCs/>
                <w:sz w:val="24"/>
                <w:szCs w:val="24"/>
              </w:rPr>
            </w:pPr>
            <w:r w:rsidRPr="00872405">
              <w:rPr>
                <w:b/>
                <w:bCs/>
                <w:sz w:val="24"/>
                <w:szCs w:val="24"/>
              </w:rPr>
              <w:t>2025</w:t>
            </w:r>
          </w:p>
        </w:tc>
        <w:tc>
          <w:tcPr>
            <w:tcW w:w="1247" w:type="dxa"/>
            <w:noWrap/>
          </w:tcPr>
          <w:p w:rsidR="00872405" w:rsidRPr="00872405" w:rsidRDefault="00872405" w:rsidP="00872405">
            <w:pPr>
              <w:rPr>
                <w:b/>
                <w:bCs/>
                <w:sz w:val="24"/>
                <w:szCs w:val="24"/>
              </w:rPr>
            </w:pPr>
            <w:r w:rsidRPr="00872405">
              <w:rPr>
                <w:b/>
                <w:bCs/>
                <w:sz w:val="24"/>
                <w:szCs w:val="24"/>
              </w:rPr>
              <w:t>2026</w:t>
            </w:r>
          </w:p>
        </w:tc>
      </w:tr>
      <w:tr w:rsidR="009628E1" w:rsidRPr="00872405" w:rsidTr="009628E1">
        <w:trPr>
          <w:trHeight w:val="300"/>
          <w:jc w:val="center"/>
        </w:trPr>
        <w:tc>
          <w:tcPr>
            <w:tcW w:w="1155" w:type="dxa"/>
            <w:noWrap/>
            <w:hideMark/>
          </w:tcPr>
          <w:p w:rsidR="00872405" w:rsidRPr="00872405" w:rsidRDefault="00872405">
            <w:pPr>
              <w:rPr>
                <w:b/>
                <w:bCs/>
                <w:sz w:val="24"/>
                <w:szCs w:val="24"/>
              </w:rPr>
            </w:pPr>
            <w:r w:rsidRPr="00872405">
              <w:rPr>
                <w:b/>
                <w:bCs/>
                <w:sz w:val="24"/>
                <w:szCs w:val="24"/>
              </w:rPr>
              <w:t>tax rate</w:t>
            </w:r>
          </w:p>
        </w:tc>
        <w:tc>
          <w:tcPr>
            <w:tcW w:w="986" w:type="dxa"/>
            <w:noWrap/>
            <w:hideMark/>
          </w:tcPr>
          <w:p w:rsidR="00872405" w:rsidRPr="00872405" w:rsidRDefault="00872405" w:rsidP="00872405">
            <w:pPr>
              <w:rPr>
                <w:sz w:val="24"/>
                <w:szCs w:val="24"/>
              </w:rPr>
            </w:pPr>
            <w:r w:rsidRPr="00872405">
              <w:rPr>
                <w:sz w:val="24"/>
                <w:szCs w:val="24"/>
              </w:rPr>
              <w:t>0.338</w:t>
            </w:r>
          </w:p>
        </w:tc>
        <w:tc>
          <w:tcPr>
            <w:tcW w:w="986" w:type="dxa"/>
            <w:noWrap/>
            <w:hideMark/>
          </w:tcPr>
          <w:p w:rsidR="00872405" w:rsidRPr="00872405" w:rsidRDefault="00872405" w:rsidP="00872405">
            <w:pPr>
              <w:rPr>
                <w:sz w:val="24"/>
                <w:szCs w:val="24"/>
              </w:rPr>
            </w:pPr>
            <w:r w:rsidRPr="00872405">
              <w:rPr>
                <w:sz w:val="24"/>
                <w:szCs w:val="24"/>
              </w:rPr>
              <w:t>0.318</w:t>
            </w:r>
          </w:p>
        </w:tc>
        <w:tc>
          <w:tcPr>
            <w:tcW w:w="1292" w:type="dxa"/>
            <w:noWrap/>
            <w:hideMark/>
          </w:tcPr>
          <w:p w:rsidR="00872405" w:rsidRPr="00872405" w:rsidRDefault="00872405" w:rsidP="00872405">
            <w:pPr>
              <w:rPr>
                <w:sz w:val="24"/>
                <w:szCs w:val="24"/>
              </w:rPr>
            </w:pPr>
            <w:r w:rsidRPr="00872405">
              <w:rPr>
                <w:sz w:val="24"/>
                <w:szCs w:val="24"/>
              </w:rPr>
              <w:t>0.318</w:t>
            </w:r>
          </w:p>
        </w:tc>
        <w:tc>
          <w:tcPr>
            <w:tcW w:w="985" w:type="dxa"/>
            <w:noWrap/>
            <w:hideMark/>
          </w:tcPr>
          <w:p w:rsidR="00872405" w:rsidRPr="00872405" w:rsidRDefault="00872405" w:rsidP="00872405">
            <w:pPr>
              <w:rPr>
                <w:sz w:val="24"/>
                <w:szCs w:val="24"/>
              </w:rPr>
            </w:pPr>
            <w:r w:rsidRPr="00872405">
              <w:rPr>
                <w:sz w:val="24"/>
                <w:szCs w:val="24"/>
              </w:rPr>
              <w:t>0.338</w:t>
            </w:r>
          </w:p>
        </w:tc>
        <w:tc>
          <w:tcPr>
            <w:tcW w:w="985" w:type="dxa"/>
            <w:noWrap/>
            <w:hideMark/>
          </w:tcPr>
          <w:p w:rsidR="00872405" w:rsidRPr="00872405" w:rsidRDefault="00872405" w:rsidP="00872405">
            <w:pPr>
              <w:rPr>
                <w:sz w:val="24"/>
                <w:szCs w:val="24"/>
              </w:rPr>
            </w:pPr>
            <w:r w:rsidRPr="00872405">
              <w:rPr>
                <w:sz w:val="24"/>
                <w:szCs w:val="24"/>
              </w:rPr>
              <w:t>0.338</w:t>
            </w:r>
          </w:p>
        </w:tc>
        <w:tc>
          <w:tcPr>
            <w:tcW w:w="985" w:type="dxa"/>
            <w:noWrap/>
            <w:hideMark/>
          </w:tcPr>
          <w:p w:rsidR="00872405" w:rsidRPr="00872405" w:rsidRDefault="00872405" w:rsidP="00872405">
            <w:pPr>
              <w:rPr>
                <w:sz w:val="24"/>
                <w:szCs w:val="24"/>
              </w:rPr>
            </w:pPr>
            <w:r w:rsidRPr="00872405">
              <w:rPr>
                <w:sz w:val="24"/>
                <w:szCs w:val="24"/>
              </w:rPr>
              <w:t>0.338</w:t>
            </w:r>
          </w:p>
        </w:tc>
        <w:tc>
          <w:tcPr>
            <w:tcW w:w="985" w:type="dxa"/>
            <w:noWrap/>
            <w:hideMark/>
          </w:tcPr>
          <w:p w:rsidR="00872405" w:rsidRPr="00872405" w:rsidRDefault="00872405" w:rsidP="00872405">
            <w:pPr>
              <w:rPr>
                <w:sz w:val="24"/>
                <w:szCs w:val="24"/>
              </w:rPr>
            </w:pPr>
            <w:r w:rsidRPr="00872405">
              <w:rPr>
                <w:sz w:val="24"/>
                <w:szCs w:val="24"/>
              </w:rPr>
              <w:t>0.338</w:t>
            </w:r>
          </w:p>
        </w:tc>
        <w:tc>
          <w:tcPr>
            <w:tcW w:w="1247" w:type="dxa"/>
            <w:noWrap/>
            <w:hideMark/>
          </w:tcPr>
          <w:p w:rsidR="00872405" w:rsidRPr="00872405" w:rsidRDefault="00872405" w:rsidP="00872405">
            <w:pPr>
              <w:rPr>
                <w:sz w:val="24"/>
                <w:szCs w:val="24"/>
              </w:rPr>
            </w:pPr>
            <w:r w:rsidRPr="00872405">
              <w:rPr>
                <w:sz w:val="24"/>
                <w:szCs w:val="24"/>
              </w:rPr>
              <w:t>0.338</w:t>
            </w:r>
          </w:p>
        </w:tc>
      </w:tr>
      <w:tr w:rsidR="00872405" w:rsidRPr="00872405" w:rsidTr="009628E1">
        <w:trPr>
          <w:trHeight w:val="300"/>
          <w:jc w:val="center"/>
        </w:trPr>
        <w:tc>
          <w:tcPr>
            <w:tcW w:w="1155" w:type="dxa"/>
            <w:noWrap/>
            <w:hideMark/>
          </w:tcPr>
          <w:p w:rsidR="00872405" w:rsidRPr="00872405" w:rsidRDefault="00872405">
            <w:pPr>
              <w:rPr>
                <w:b/>
                <w:bCs/>
                <w:sz w:val="24"/>
                <w:szCs w:val="24"/>
              </w:rPr>
            </w:pPr>
            <w:r w:rsidRPr="00872405">
              <w:rPr>
                <w:b/>
                <w:bCs/>
                <w:sz w:val="24"/>
                <w:szCs w:val="24"/>
              </w:rPr>
              <w:t>PAT</w:t>
            </w:r>
          </w:p>
        </w:tc>
        <w:tc>
          <w:tcPr>
            <w:tcW w:w="986" w:type="dxa"/>
            <w:noWrap/>
            <w:hideMark/>
          </w:tcPr>
          <w:p w:rsidR="00872405" w:rsidRPr="00872405" w:rsidRDefault="00872405" w:rsidP="00872405">
            <w:pPr>
              <w:rPr>
                <w:sz w:val="24"/>
                <w:szCs w:val="24"/>
              </w:rPr>
            </w:pPr>
            <w:r w:rsidRPr="00872405">
              <w:rPr>
                <w:sz w:val="24"/>
                <w:szCs w:val="24"/>
              </w:rPr>
              <w:t>18606.41</w:t>
            </w:r>
          </w:p>
        </w:tc>
        <w:tc>
          <w:tcPr>
            <w:tcW w:w="986" w:type="dxa"/>
            <w:noWrap/>
            <w:hideMark/>
          </w:tcPr>
          <w:p w:rsidR="00872405" w:rsidRPr="00872405" w:rsidRDefault="00872405" w:rsidP="00872405">
            <w:pPr>
              <w:rPr>
                <w:sz w:val="24"/>
                <w:szCs w:val="24"/>
              </w:rPr>
            </w:pPr>
            <w:r w:rsidRPr="00872405">
              <w:rPr>
                <w:sz w:val="24"/>
                <w:szCs w:val="24"/>
              </w:rPr>
              <w:t>9932.786</w:t>
            </w:r>
          </w:p>
        </w:tc>
        <w:tc>
          <w:tcPr>
            <w:tcW w:w="1292" w:type="dxa"/>
            <w:noWrap/>
            <w:hideMark/>
          </w:tcPr>
          <w:p w:rsidR="00872405" w:rsidRPr="00872405" w:rsidRDefault="00872405" w:rsidP="00872405">
            <w:pPr>
              <w:rPr>
                <w:sz w:val="24"/>
                <w:szCs w:val="24"/>
              </w:rPr>
            </w:pPr>
            <w:r w:rsidRPr="00872405">
              <w:rPr>
                <w:sz w:val="24"/>
                <w:szCs w:val="24"/>
              </w:rPr>
              <w:t>12110.68007</w:t>
            </w:r>
          </w:p>
        </w:tc>
        <w:tc>
          <w:tcPr>
            <w:tcW w:w="985" w:type="dxa"/>
            <w:noWrap/>
            <w:hideMark/>
          </w:tcPr>
          <w:p w:rsidR="00872405" w:rsidRPr="00872405" w:rsidRDefault="00872405" w:rsidP="00872405">
            <w:pPr>
              <w:rPr>
                <w:sz w:val="24"/>
                <w:szCs w:val="24"/>
              </w:rPr>
            </w:pPr>
            <w:r w:rsidRPr="00872405">
              <w:rPr>
                <w:sz w:val="24"/>
                <w:szCs w:val="24"/>
              </w:rPr>
              <w:t>13001.61</w:t>
            </w:r>
          </w:p>
        </w:tc>
        <w:tc>
          <w:tcPr>
            <w:tcW w:w="985" w:type="dxa"/>
            <w:noWrap/>
            <w:hideMark/>
          </w:tcPr>
          <w:p w:rsidR="00872405" w:rsidRPr="00872405" w:rsidRDefault="00872405" w:rsidP="00872405">
            <w:pPr>
              <w:rPr>
                <w:sz w:val="24"/>
                <w:szCs w:val="24"/>
              </w:rPr>
            </w:pPr>
            <w:r w:rsidRPr="00872405">
              <w:rPr>
                <w:sz w:val="24"/>
                <w:szCs w:val="24"/>
              </w:rPr>
              <w:t>14379.79</w:t>
            </w:r>
          </w:p>
        </w:tc>
        <w:tc>
          <w:tcPr>
            <w:tcW w:w="985" w:type="dxa"/>
            <w:noWrap/>
            <w:hideMark/>
          </w:tcPr>
          <w:p w:rsidR="00872405" w:rsidRPr="00872405" w:rsidRDefault="00872405" w:rsidP="00872405">
            <w:pPr>
              <w:rPr>
                <w:sz w:val="24"/>
                <w:szCs w:val="24"/>
              </w:rPr>
            </w:pPr>
            <w:r w:rsidRPr="00872405">
              <w:rPr>
                <w:sz w:val="24"/>
                <w:szCs w:val="24"/>
              </w:rPr>
              <w:t>15904.04</w:t>
            </w:r>
          </w:p>
        </w:tc>
        <w:tc>
          <w:tcPr>
            <w:tcW w:w="985" w:type="dxa"/>
            <w:noWrap/>
            <w:hideMark/>
          </w:tcPr>
          <w:p w:rsidR="00872405" w:rsidRPr="00872405" w:rsidRDefault="00872405" w:rsidP="00872405">
            <w:pPr>
              <w:rPr>
                <w:sz w:val="24"/>
                <w:szCs w:val="24"/>
              </w:rPr>
            </w:pPr>
            <w:r w:rsidRPr="00872405">
              <w:rPr>
                <w:sz w:val="24"/>
                <w:szCs w:val="24"/>
              </w:rPr>
              <w:t>17589.87</w:t>
            </w:r>
          </w:p>
        </w:tc>
        <w:tc>
          <w:tcPr>
            <w:tcW w:w="1247" w:type="dxa"/>
            <w:noWrap/>
            <w:hideMark/>
          </w:tcPr>
          <w:p w:rsidR="00872405" w:rsidRPr="00872405" w:rsidRDefault="00872405" w:rsidP="00872405">
            <w:pPr>
              <w:rPr>
                <w:sz w:val="24"/>
                <w:szCs w:val="24"/>
              </w:rPr>
            </w:pPr>
            <w:r w:rsidRPr="00872405">
              <w:rPr>
                <w:sz w:val="24"/>
                <w:szCs w:val="24"/>
              </w:rPr>
              <w:t>19454.4</w:t>
            </w:r>
          </w:p>
        </w:tc>
      </w:tr>
    </w:tbl>
    <w:p w:rsidR="00C47656" w:rsidRDefault="00C47656" w:rsidP="00C47656">
      <w:pPr>
        <w:rPr>
          <w:sz w:val="24"/>
          <w:szCs w:val="24"/>
        </w:rPr>
      </w:pPr>
    </w:p>
    <w:p w:rsidR="00920EDE" w:rsidRDefault="00920EDE" w:rsidP="00920EDE">
      <w:pPr>
        <w:rPr>
          <w:sz w:val="24"/>
          <w:szCs w:val="24"/>
        </w:rPr>
      </w:pPr>
      <w:r w:rsidRPr="00920EDE">
        <w:rPr>
          <w:sz w:val="24"/>
          <w:szCs w:val="24"/>
        </w:rPr>
        <w:t xml:space="preserve">Tax rate for year 2019 was taken </w:t>
      </w:r>
      <w:r w:rsidR="009D15F8" w:rsidRPr="00920EDE">
        <w:rPr>
          <w:sz w:val="24"/>
          <w:szCs w:val="24"/>
        </w:rPr>
        <w:t xml:space="preserve">as </w:t>
      </w:r>
      <w:r w:rsidR="009D15F8" w:rsidRPr="00920EDE">
        <w:rPr>
          <w:b/>
          <w:bCs/>
          <w:sz w:val="24"/>
          <w:szCs w:val="24"/>
        </w:rPr>
        <w:t>33.8</w:t>
      </w:r>
      <w:r w:rsidRPr="00920EDE">
        <w:rPr>
          <w:b/>
          <w:bCs/>
          <w:sz w:val="24"/>
          <w:szCs w:val="24"/>
        </w:rPr>
        <w:t xml:space="preserve">% </w:t>
      </w:r>
      <w:r w:rsidRPr="00920EDE">
        <w:rPr>
          <w:sz w:val="24"/>
          <w:szCs w:val="24"/>
        </w:rPr>
        <w:t xml:space="preserve">which was calculated as the average tax rate for past 6 years. We assume that due to fall in sales we expect policy measures to reduce </w:t>
      </w:r>
      <w:r w:rsidR="009D15F8" w:rsidRPr="00920EDE">
        <w:rPr>
          <w:sz w:val="24"/>
          <w:szCs w:val="24"/>
        </w:rPr>
        <w:t>taxes to</w:t>
      </w:r>
      <w:r w:rsidRPr="00920EDE">
        <w:rPr>
          <w:sz w:val="24"/>
          <w:szCs w:val="24"/>
        </w:rPr>
        <w:t xml:space="preserve"> support industries and hence we take </w:t>
      </w:r>
      <w:r w:rsidRPr="00920EDE">
        <w:rPr>
          <w:b/>
          <w:bCs/>
          <w:sz w:val="24"/>
          <w:szCs w:val="24"/>
        </w:rPr>
        <w:t xml:space="preserve">tax rate as 31.8% </w:t>
      </w:r>
      <w:r w:rsidRPr="00920EDE">
        <w:rPr>
          <w:sz w:val="24"/>
          <w:szCs w:val="24"/>
        </w:rPr>
        <w:t xml:space="preserve">(2% less than pre </w:t>
      </w:r>
      <w:proofErr w:type="spellStart"/>
      <w:r w:rsidRPr="00920EDE">
        <w:rPr>
          <w:sz w:val="24"/>
          <w:szCs w:val="24"/>
        </w:rPr>
        <w:t>covid</w:t>
      </w:r>
      <w:proofErr w:type="spellEnd"/>
      <w:r w:rsidRPr="00920EDE">
        <w:rPr>
          <w:sz w:val="24"/>
          <w:szCs w:val="24"/>
        </w:rPr>
        <w:t>).</w:t>
      </w:r>
      <w:r w:rsidR="00255B4E" w:rsidRPr="00255B4E">
        <w:rPr>
          <w:rFonts w:eastAsiaTheme="minorEastAsia" w:hAnsi="Calibri"/>
          <w:color w:val="000000" w:themeColor="dark1"/>
          <w:szCs w:val="22"/>
        </w:rPr>
        <w:t xml:space="preserve"> </w:t>
      </w:r>
      <w:r w:rsidR="00255B4E" w:rsidRPr="00255B4E">
        <w:rPr>
          <w:sz w:val="24"/>
          <w:szCs w:val="24"/>
        </w:rPr>
        <w:t xml:space="preserve">After initial tax </w:t>
      </w:r>
      <w:r w:rsidR="009D15F8" w:rsidRPr="00255B4E">
        <w:rPr>
          <w:sz w:val="24"/>
          <w:szCs w:val="24"/>
        </w:rPr>
        <w:t>cut,</w:t>
      </w:r>
      <w:r w:rsidR="00255B4E" w:rsidRPr="00255B4E">
        <w:rPr>
          <w:sz w:val="24"/>
          <w:szCs w:val="24"/>
        </w:rPr>
        <w:t xml:space="preserve"> we assume that tax rate would be back to normal after 2 </w:t>
      </w:r>
      <w:r w:rsidR="009D15F8" w:rsidRPr="00255B4E">
        <w:rPr>
          <w:sz w:val="24"/>
          <w:szCs w:val="24"/>
        </w:rPr>
        <w:t>years that</w:t>
      </w:r>
      <w:r w:rsidR="00255B4E" w:rsidRPr="00255B4E">
        <w:rPr>
          <w:sz w:val="24"/>
          <w:szCs w:val="24"/>
        </w:rPr>
        <w:t xml:space="preserve"> is from 2022</w:t>
      </w:r>
    </w:p>
    <w:p w:rsidR="00440460" w:rsidRPr="00920EDE" w:rsidRDefault="00440460" w:rsidP="00920EDE">
      <w:pPr>
        <w:rPr>
          <w:sz w:val="24"/>
          <w:szCs w:val="24"/>
        </w:rPr>
      </w:pPr>
    </w:p>
    <w:p w:rsidR="00920EDE" w:rsidRPr="00522150" w:rsidRDefault="00920EDE" w:rsidP="00C47656">
      <w:pPr>
        <w:rPr>
          <w:b/>
          <w:bCs/>
          <w:sz w:val="24"/>
          <w:szCs w:val="24"/>
        </w:rPr>
      </w:pPr>
    </w:p>
    <w:p w:rsidR="00255B4E" w:rsidRDefault="00522150" w:rsidP="00522150">
      <w:pPr>
        <w:pStyle w:val="ListParagraph"/>
        <w:numPr>
          <w:ilvl w:val="0"/>
          <w:numId w:val="4"/>
        </w:numPr>
        <w:rPr>
          <w:b/>
          <w:bCs/>
          <w:sz w:val="24"/>
          <w:szCs w:val="24"/>
        </w:rPr>
      </w:pPr>
      <w:r w:rsidRPr="00522150">
        <w:rPr>
          <w:b/>
          <w:bCs/>
          <w:sz w:val="24"/>
          <w:szCs w:val="24"/>
        </w:rPr>
        <w:t xml:space="preserve">Forecasting Depreciation and Capex (in million </w:t>
      </w:r>
      <w:proofErr w:type="spellStart"/>
      <w:r w:rsidRPr="00522150">
        <w:rPr>
          <w:b/>
          <w:bCs/>
          <w:sz w:val="24"/>
          <w:szCs w:val="24"/>
        </w:rPr>
        <w:t>Rs</w:t>
      </w:r>
      <w:proofErr w:type="spellEnd"/>
      <w:r w:rsidRPr="00522150">
        <w:rPr>
          <w:b/>
          <w:bCs/>
          <w:sz w:val="24"/>
          <w:szCs w:val="24"/>
        </w:rPr>
        <w:t>)</w:t>
      </w:r>
    </w:p>
    <w:tbl>
      <w:tblPr>
        <w:tblW w:w="10432" w:type="dxa"/>
        <w:jc w:val="center"/>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053"/>
        <w:gridCol w:w="1053"/>
        <w:gridCol w:w="1387"/>
        <w:gridCol w:w="1053"/>
        <w:gridCol w:w="1053"/>
        <w:gridCol w:w="1053"/>
        <w:gridCol w:w="1053"/>
        <w:gridCol w:w="1053"/>
      </w:tblGrid>
      <w:tr w:rsidR="00B522AD" w:rsidRPr="00B522AD" w:rsidTr="00195911">
        <w:trPr>
          <w:trHeight w:val="300"/>
          <w:jc w:val="center"/>
        </w:trPr>
        <w:tc>
          <w:tcPr>
            <w:tcW w:w="1674" w:type="dxa"/>
            <w:shd w:val="clear" w:color="auto" w:fill="auto"/>
            <w:noWrap/>
            <w:vAlign w:val="bottom"/>
          </w:tcPr>
          <w:p w:rsidR="00B522AD" w:rsidRPr="00B522AD" w:rsidRDefault="00B522AD" w:rsidP="00B522AD">
            <w:pPr>
              <w:spacing w:after="0" w:line="240" w:lineRule="auto"/>
              <w:rPr>
                <w:rFonts w:ascii="Calibri" w:eastAsia="Times New Roman" w:hAnsi="Calibri" w:cs="Times New Roman"/>
                <w:b/>
                <w:bCs/>
                <w:color w:val="000000"/>
                <w:szCs w:val="22"/>
                <w:lang w:eastAsia="en-IN"/>
              </w:rPr>
            </w:pPr>
          </w:p>
        </w:tc>
        <w:tc>
          <w:tcPr>
            <w:tcW w:w="1053" w:type="dxa"/>
            <w:shd w:val="clear" w:color="auto" w:fill="auto"/>
            <w:noWrap/>
            <w:vAlign w:val="bottom"/>
          </w:tcPr>
          <w:p w:rsidR="00B522AD" w:rsidRPr="00B522AD" w:rsidRDefault="00B522AD" w:rsidP="00B522AD">
            <w:pPr>
              <w:spacing w:after="0" w:line="240" w:lineRule="auto"/>
              <w:jc w:val="right"/>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2019</w:t>
            </w:r>
          </w:p>
        </w:tc>
        <w:tc>
          <w:tcPr>
            <w:tcW w:w="1053" w:type="dxa"/>
            <w:shd w:val="clear" w:color="auto" w:fill="auto"/>
            <w:noWrap/>
            <w:vAlign w:val="bottom"/>
          </w:tcPr>
          <w:p w:rsidR="00B522AD" w:rsidRPr="00B522AD" w:rsidRDefault="00B522AD" w:rsidP="00B522AD">
            <w:pPr>
              <w:spacing w:after="0" w:line="240" w:lineRule="auto"/>
              <w:jc w:val="right"/>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2020</w:t>
            </w:r>
          </w:p>
        </w:tc>
        <w:tc>
          <w:tcPr>
            <w:tcW w:w="1387" w:type="dxa"/>
            <w:shd w:val="clear" w:color="auto" w:fill="auto"/>
            <w:noWrap/>
            <w:vAlign w:val="bottom"/>
          </w:tcPr>
          <w:p w:rsidR="00B522AD" w:rsidRPr="00B522AD" w:rsidRDefault="00B522AD" w:rsidP="00B522AD">
            <w:pPr>
              <w:spacing w:after="0" w:line="240" w:lineRule="auto"/>
              <w:jc w:val="right"/>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2021</w:t>
            </w:r>
          </w:p>
        </w:tc>
        <w:tc>
          <w:tcPr>
            <w:tcW w:w="1053" w:type="dxa"/>
            <w:shd w:val="clear" w:color="auto" w:fill="auto"/>
            <w:noWrap/>
            <w:vAlign w:val="bottom"/>
          </w:tcPr>
          <w:p w:rsidR="00B522AD" w:rsidRPr="00B522AD" w:rsidRDefault="00B522AD" w:rsidP="00B522AD">
            <w:pPr>
              <w:spacing w:after="0" w:line="240" w:lineRule="auto"/>
              <w:jc w:val="right"/>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2022</w:t>
            </w:r>
          </w:p>
        </w:tc>
        <w:tc>
          <w:tcPr>
            <w:tcW w:w="1053" w:type="dxa"/>
            <w:shd w:val="clear" w:color="auto" w:fill="auto"/>
            <w:noWrap/>
            <w:vAlign w:val="bottom"/>
          </w:tcPr>
          <w:p w:rsidR="00B522AD" w:rsidRPr="00B522AD" w:rsidRDefault="00B522AD" w:rsidP="00B522AD">
            <w:pPr>
              <w:spacing w:after="0" w:line="240" w:lineRule="auto"/>
              <w:jc w:val="right"/>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2023</w:t>
            </w:r>
          </w:p>
        </w:tc>
        <w:tc>
          <w:tcPr>
            <w:tcW w:w="1053" w:type="dxa"/>
            <w:shd w:val="clear" w:color="auto" w:fill="auto"/>
            <w:noWrap/>
            <w:vAlign w:val="bottom"/>
          </w:tcPr>
          <w:p w:rsidR="00B522AD" w:rsidRPr="00B522AD" w:rsidRDefault="00B522AD" w:rsidP="00B522AD">
            <w:pPr>
              <w:spacing w:after="0" w:line="240" w:lineRule="auto"/>
              <w:jc w:val="right"/>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2024</w:t>
            </w:r>
          </w:p>
        </w:tc>
        <w:tc>
          <w:tcPr>
            <w:tcW w:w="1053" w:type="dxa"/>
            <w:shd w:val="clear" w:color="auto" w:fill="auto"/>
            <w:noWrap/>
            <w:vAlign w:val="bottom"/>
          </w:tcPr>
          <w:p w:rsidR="00B522AD" w:rsidRPr="00B522AD" w:rsidRDefault="00B522AD" w:rsidP="00B522AD">
            <w:pPr>
              <w:spacing w:after="0" w:line="240" w:lineRule="auto"/>
              <w:jc w:val="right"/>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2025</w:t>
            </w:r>
          </w:p>
        </w:tc>
        <w:tc>
          <w:tcPr>
            <w:tcW w:w="1053" w:type="dxa"/>
            <w:shd w:val="clear" w:color="auto" w:fill="auto"/>
            <w:noWrap/>
            <w:vAlign w:val="bottom"/>
          </w:tcPr>
          <w:p w:rsidR="00B522AD" w:rsidRPr="00B522AD" w:rsidRDefault="00B522AD" w:rsidP="00B522AD">
            <w:pPr>
              <w:spacing w:after="0" w:line="240" w:lineRule="auto"/>
              <w:jc w:val="right"/>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2026</w:t>
            </w:r>
          </w:p>
        </w:tc>
      </w:tr>
      <w:tr w:rsidR="00B522AD" w:rsidRPr="00B522AD" w:rsidTr="00195911">
        <w:trPr>
          <w:trHeight w:val="300"/>
          <w:jc w:val="center"/>
        </w:trPr>
        <w:tc>
          <w:tcPr>
            <w:tcW w:w="1674" w:type="dxa"/>
            <w:shd w:val="clear" w:color="auto" w:fill="auto"/>
            <w:noWrap/>
            <w:vAlign w:val="bottom"/>
            <w:hideMark/>
          </w:tcPr>
          <w:p w:rsidR="00B522AD" w:rsidRPr="00B522AD" w:rsidRDefault="00B522AD" w:rsidP="00B522AD">
            <w:pPr>
              <w:spacing w:after="0" w:line="240" w:lineRule="auto"/>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Depre</w:t>
            </w:r>
            <w:r>
              <w:rPr>
                <w:rFonts w:ascii="Calibri" w:eastAsia="Times New Roman" w:hAnsi="Calibri" w:cs="Times New Roman"/>
                <w:b/>
                <w:bCs/>
                <w:color w:val="000000"/>
                <w:szCs w:val="22"/>
                <w:lang w:eastAsia="en-IN"/>
              </w:rPr>
              <w:t>ciation</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3409.6</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3267.293</w:t>
            </w:r>
          </w:p>
        </w:tc>
        <w:tc>
          <w:tcPr>
            <w:tcW w:w="1387"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3260.119316</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3286.985</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3316.698</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3349.561</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3385.908</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3426.107</w:t>
            </w:r>
          </w:p>
        </w:tc>
      </w:tr>
      <w:tr w:rsidR="00B522AD" w:rsidRPr="00B522AD" w:rsidTr="00195911">
        <w:trPr>
          <w:trHeight w:val="300"/>
          <w:jc w:val="center"/>
        </w:trPr>
        <w:tc>
          <w:tcPr>
            <w:tcW w:w="1674" w:type="dxa"/>
            <w:shd w:val="clear" w:color="auto" w:fill="auto"/>
            <w:noWrap/>
            <w:vAlign w:val="bottom"/>
            <w:hideMark/>
          </w:tcPr>
          <w:p w:rsidR="00B522AD" w:rsidRPr="00B522AD" w:rsidRDefault="00B522AD" w:rsidP="00B522AD">
            <w:pPr>
              <w:spacing w:after="0" w:line="240" w:lineRule="auto"/>
              <w:rPr>
                <w:rFonts w:ascii="Calibri" w:eastAsia="Times New Roman" w:hAnsi="Calibri" w:cs="Times New Roman"/>
                <w:b/>
                <w:bCs/>
                <w:color w:val="000000"/>
                <w:szCs w:val="22"/>
                <w:lang w:eastAsia="en-IN"/>
              </w:rPr>
            </w:pPr>
            <w:r w:rsidRPr="00B522AD">
              <w:rPr>
                <w:rFonts w:ascii="Calibri" w:eastAsia="Times New Roman" w:hAnsi="Calibri" w:cs="Times New Roman"/>
                <w:b/>
                <w:bCs/>
                <w:color w:val="000000"/>
                <w:szCs w:val="22"/>
                <w:lang w:eastAsia="en-IN"/>
              </w:rPr>
              <w:t>Capex</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2014.65</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1303.113</w:t>
            </w:r>
          </w:p>
        </w:tc>
        <w:tc>
          <w:tcPr>
            <w:tcW w:w="1387"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1267.246582</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1401.575</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1550.142</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1714.457</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1896.189</w:t>
            </w:r>
          </w:p>
        </w:tc>
        <w:tc>
          <w:tcPr>
            <w:tcW w:w="1053" w:type="dxa"/>
            <w:shd w:val="clear" w:color="auto" w:fill="auto"/>
            <w:noWrap/>
            <w:vAlign w:val="bottom"/>
            <w:hideMark/>
          </w:tcPr>
          <w:p w:rsidR="00B522AD" w:rsidRPr="00B522AD" w:rsidRDefault="00B522AD" w:rsidP="00B522AD">
            <w:pPr>
              <w:spacing w:after="0" w:line="240" w:lineRule="auto"/>
              <w:jc w:val="right"/>
              <w:rPr>
                <w:rFonts w:ascii="Calibri" w:eastAsia="Times New Roman" w:hAnsi="Calibri" w:cs="Times New Roman"/>
                <w:color w:val="000000"/>
                <w:szCs w:val="22"/>
                <w:lang w:eastAsia="en-IN"/>
              </w:rPr>
            </w:pPr>
            <w:r w:rsidRPr="00B522AD">
              <w:rPr>
                <w:rFonts w:ascii="Calibri" w:eastAsia="Times New Roman" w:hAnsi="Calibri" w:cs="Times New Roman"/>
                <w:color w:val="000000"/>
                <w:szCs w:val="22"/>
                <w:lang w:eastAsia="en-IN"/>
              </w:rPr>
              <w:t>2097.185</w:t>
            </w:r>
          </w:p>
        </w:tc>
      </w:tr>
    </w:tbl>
    <w:p w:rsidR="00522150" w:rsidRDefault="00522150" w:rsidP="00522150">
      <w:pPr>
        <w:pStyle w:val="ListParagraph"/>
        <w:rPr>
          <w:b/>
          <w:bCs/>
          <w:sz w:val="24"/>
          <w:szCs w:val="24"/>
        </w:rPr>
      </w:pPr>
    </w:p>
    <w:p w:rsidR="006B7295" w:rsidRPr="000F584B" w:rsidRDefault="006B7295" w:rsidP="000F584B">
      <w:pPr>
        <w:rPr>
          <w:sz w:val="24"/>
          <w:szCs w:val="24"/>
        </w:rPr>
      </w:pPr>
      <w:r w:rsidRPr="000F584B">
        <w:rPr>
          <w:sz w:val="24"/>
          <w:szCs w:val="24"/>
        </w:rPr>
        <w:t xml:space="preserve">The Capex was been fluctuating for nestle </w:t>
      </w:r>
      <w:r w:rsidR="000F584B" w:rsidRPr="000F584B">
        <w:rPr>
          <w:sz w:val="24"/>
          <w:szCs w:val="24"/>
        </w:rPr>
        <w:t>India</w:t>
      </w:r>
      <w:r w:rsidRPr="000F584B">
        <w:rPr>
          <w:sz w:val="24"/>
          <w:szCs w:val="24"/>
        </w:rPr>
        <w:t xml:space="preserve"> over the past few year  but Capex as % sales was less fluctuating , so we took av</w:t>
      </w:r>
      <w:r w:rsidR="009D15F8">
        <w:rPr>
          <w:sz w:val="24"/>
          <w:szCs w:val="24"/>
        </w:rPr>
        <w:t>era</w:t>
      </w:r>
      <w:r w:rsidRPr="000F584B">
        <w:rPr>
          <w:sz w:val="24"/>
          <w:szCs w:val="24"/>
        </w:rPr>
        <w:t>g</w:t>
      </w:r>
      <w:r w:rsidR="009D15F8">
        <w:rPr>
          <w:sz w:val="24"/>
          <w:szCs w:val="24"/>
        </w:rPr>
        <w:t>e</w:t>
      </w:r>
      <w:r w:rsidRPr="000F584B">
        <w:rPr>
          <w:sz w:val="24"/>
          <w:szCs w:val="24"/>
        </w:rPr>
        <w:t xml:space="preserve"> of Capex as % sales for 4 years .</w:t>
      </w:r>
      <w:r w:rsidR="000F584B">
        <w:rPr>
          <w:sz w:val="24"/>
          <w:szCs w:val="24"/>
        </w:rPr>
        <w:t xml:space="preserve"> For Depreciation </w:t>
      </w:r>
      <w:r w:rsidRPr="000F584B">
        <w:rPr>
          <w:sz w:val="24"/>
          <w:szCs w:val="24"/>
        </w:rPr>
        <w:t>Geometric mean of depreciation was taken because of its more or less constant nature.</w:t>
      </w:r>
    </w:p>
    <w:p w:rsidR="006B7295" w:rsidRPr="000F584B" w:rsidRDefault="006B7295" w:rsidP="000F584B">
      <w:pPr>
        <w:rPr>
          <w:sz w:val="24"/>
          <w:szCs w:val="24"/>
        </w:rPr>
      </w:pPr>
      <w:r w:rsidRPr="000F584B">
        <w:rPr>
          <w:sz w:val="24"/>
          <w:szCs w:val="24"/>
        </w:rPr>
        <w:t xml:space="preserve">Capex will decrease as expansion </w:t>
      </w:r>
      <w:r w:rsidR="000F584B" w:rsidRPr="000F584B">
        <w:rPr>
          <w:sz w:val="24"/>
          <w:szCs w:val="24"/>
        </w:rPr>
        <w:t>won’t</w:t>
      </w:r>
      <w:r w:rsidRPr="000F584B">
        <w:rPr>
          <w:sz w:val="24"/>
          <w:szCs w:val="24"/>
        </w:rPr>
        <w:t xml:space="preserve"> take place. However in FMCG sector majority of Capex is maintenance Capex hence the Capex as % of </w:t>
      </w:r>
      <w:r w:rsidR="000F584B" w:rsidRPr="000F584B">
        <w:rPr>
          <w:sz w:val="24"/>
          <w:szCs w:val="24"/>
        </w:rPr>
        <w:t>Sales should</w:t>
      </w:r>
      <w:r w:rsidRPr="000F584B">
        <w:rPr>
          <w:sz w:val="24"/>
          <w:szCs w:val="24"/>
        </w:rPr>
        <w:t xml:space="preserve"> </w:t>
      </w:r>
      <w:r w:rsidR="000F584B" w:rsidRPr="000F584B">
        <w:rPr>
          <w:sz w:val="24"/>
          <w:szCs w:val="24"/>
        </w:rPr>
        <w:t xml:space="preserve">increase. </w:t>
      </w:r>
      <w:r w:rsidRPr="000F584B">
        <w:rPr>
          <w:sz w:val="24"/>
          <w:szCs w:val="24"/>
        </w:rPr>
        <w:t>We take</w:t>
      </w:r>
      <w:r w:rsidR="000F584B">
        <w:rPr>
          <w:sz w:val="24"/>
          <w:szCs w:val="24"/>
        </w:rPr>
        <w:t xml:space="preserve">    </w:t>
      </w:r>
      <w:r w:rsidRPr="000F584B">
        <w:rPr>
          <w:sz w:val="24"/>
          <w:szCs w:val="24"/>
        </w:rPr>
        <w:t xml:space="preserve"> </w:t>
      </w:r>
      <w:r w:rsidR="000F584B" w:rsidRPr="000F584B">
        <w:rPr>
          <w:b/>
          <w:bCs/>
          <w:sz w:val="24"/>
          <w:szCs w:val="24"/>
        </w:rPr>
        <w:t>Capex /</w:t>
      </w:r>
      <w:r w:rsidR="000F584B">
        <w:rPr>
          <w:b/>
          <w:bCs/>
          <w:sz w:val="24"/>
          <w:szCs w:val="24"/>
        </w:rPr>
        <w:t xml:space="preserve"> Sales as 0.01</w:t>
      </w:r>
      <w:r w:rsidRPr="000F584B">
        <w:rPr>
          <w:b/>
          <w:bCs/>
          <w:sz w:val="24"/>
          <w:szCs w:val="24"/>
        </w:rPr>
        <w:t>7.</w:t>
      </w:r>
      <w:r w:rsidRPr="000F584B">
        <w:rPr>
          <w:sz w:val="24"/>
          <w:szCs w:val="24"/>
        </w:rPr>
        <w:t xml:space="preserve"> </w:t>
      </w:r>
      <w:r w:rsidR="00816891">
        <w:rPr>
          <w:sz w:val="24"/>
          <w:szCs w:val="24"/>
        </w:rPr>
        <w:t>W</w:t>
      </w:r>
      <w:r w:rsidRPr="000F584B">
        <w:rPr>
          <w:sz w:val="24"/>
          <w:szCs w:val="24"/>
        </w:rPr>
        <w:t xml:space="preserve">e created a </w:t>
      </w:r>
      <w:r w:rsidR="00816891" w:rsidRPr="000F584B">
        <w:rPr>
          <w:sz w:val="24"/>
          <w:szCs w:val="24"/>
        </w:rPr>
        <w:t>depreciation</w:t>
      </w:r>
      <w:r w:rsidRPr="000F584B">
        <w:rPr>
          <w:sz w:val="24"/>
          <w:szCs w:val="24"/>
        </w:rPr>
        <w:t xml:space="preserve"> </w:t>
      </w:r>
      <w:r w:rsidR="009D15F8" w:rsidRPr="000F584B">
        <w:rPr>
          <w:sz w:val="24"/>
          <w:szCs w:val="24"/>
        </w:rPr>
        <w:t>func</w:t>
      </w:r>
      <w:r w:rsidR="009D15F8">
        <w:rPr>
          <w:sz w:val="24"/>
          <w:szCs w:val="24"/>
        </w:rPr>
        <w:t>tion</w:t>
      </w:r>
      <w:r w:rsidR="009D15F8" w:rsidRPr="000F584B">
        <w:rPr>
          <w:sz w:val="24"/>
          <w:szCs w:val="24"/>
        </w:rPr>
        <w:t xml:space="preserve"> assuming</w:t>
      </w:r>
      <w:r w:rsidRPr="000F584B">
        <w:rPr>
          <w:sz w:val="24"/>
          <w:szCs w:val="24"/>
        </w:rPr>
        <w:t xml:space="preserve"> </w:t>
      </w:r>
      <w:r w:rsidR="00816891" w:rsidRPr="000F584B">
        <w:rPr>
          <w:sz w:val="24"/>
          <w:szCs w:val="24"/>
        </w:rPr>
        <w:t>depreciation</w:t>
      </w:r>
      <w:r w:rsidRPr="000F584B">
        <w:rPr>
          <w:sz w:val="24"/>
          <w:szCs w:val="24"/>
        </w:rPr>
        <w:t xml:space="preserve"> depends on Capex</w:t>
      </w:r>
    </w:p>
    <w:p w:rsidR="006B7295" w:rsidRPr="006B7295" w:rsidRDefault="006B7295" w:rsidP="000F584B">
      <w:pPr>
        <w:pStyle w:val="ListParagraph"/>
        <w:rPr>
          <w:sz w:val="24"/>
          <w:szCs w:val="24"/>
        </w:rPr>
      </w:pPr>
      <w:r w:rsidRPr="006B7295">
        <w:rPr>
          <w:sz w:val="24"/>
          <w:szCs w:val="24"/>
        </w:rPr>
        <w:t xml:space="preserve"> </w:t>
      </w:r>
      <w:r w:rsidRPr="006B7295">
        <w:rPr>
          <w:sz w:val="24"/>
          <w:szCs w:val="24"/>
        </w:rPr>
        <w:tab/>
      </w:r>
      <w:proofErr w:type="spellStart"/>
      <w:proofErr w:type="gramStart"/>
      <w:r w:rsidRPr="006B7295">
        <w:rPr>
          <w:sz w:val="24"/>
          <w:szCs w:val="24"/>
        </w:rPr>
        <w:t>Depre</w:t>
      </w:r>
      <w:proofErr w:type="spellEnd"/>
      <w:r w:rsidRPr="006B7295">
        <w:rPr>
          <w:sz w:val="24"/>
          <w:szCs w:val="24"/>
        </w:rPr>
        <w:t>(</w:t>
      </w:r>
      <w:proofErr w:type="gramEnd"/>
      <w:r w:rsidRPr="006B7295">
        <w:rPr>
          <w:sz w:val="24"/>
          <w:szCs w:val="24"/>
        </w:rPr>
        <w:t xml:space="preserve">t) = </w:t>
      </w:r>
      <w:proofErr w:type="spellStart"/>
      <w:r w:rsidRPr="006B7295">
        <w:rPr>
          <w:sz w:val="24"/>
          <w:szCs w:val="24"/>
        </w:rPr>
        <w:t>Depre</w:t>
      </w:r>
      <w:proofErr w:type="spellEnd"/>
      <w:r w:rsidRPr="006B7295">
        <w:rPr>
          <w:sz w:val="24"/>
          <w:szCs w:val="24"/>
        </w:rPr>
        <w:t>(t-1) + 0.3(Capex(t)- Capex(t-1))</w:t>
      </w:r>
      <w:r w:rsidR="00816891">
        <w:rPr>
          <w:sz w:val="24"/>
          <w:szCs w:val="24"/>
        </w:rPr>
        <w:t>.</w:t>
      </w:r>
    </w:p>
    <w:p w:rsidR="006B7295" w:rsidRDefault="006B7295" w:rsidP="00522150">
      <w:pPr>
        <w:pStyle w:val="ListParagraph"/>
        <w:rPr>
          <w:b/>
          <w:bCs/>
          <w:sz w:val="24"/>
          <w:szCs w:val="24"/>
        </w:rPr>
      </w:pPr>
    </w:p>
    <w:p w:rsidR="00440460" w:rsidRDefault="00440460" w:rsidP="00522150">
      <w:pPr>
        <w:pStyle w:val="ListParagraph"/>
        <w:rPr>
          <w:b/>
          <w:bCs/>
          <w:sz w:val="24"/>
          <w:szCs w:val="24"/>
        </w:rPr>
      </w:pPr>
    </w:p>
    <w:p w:rsidR="00440460" w:rsidRDefault="00440460" w:rsidP="00522150">
      <w:pPr>
        <w:pStyle w:val="ListParagraph"/>
        <w:rPr>
          <w:b/>
          <w:bCs/>
          <w:sz w:val="24"/>
          <w:szCs w:val="24"/>
        </w:rPr>
      </w:pPr>
    </w:p>
    <w:p w:rsidR="00440460" w:rsidRDefault="00440460" w:rsidP="00522150">
      <w:pPr>
        <w:pStyle w:val="ListParagraph"/>
        <w:rPr>
          <w:b/>
          <w:bCs/>
          <w:sz w:val="24"/>
          <w:szCs w:val="24"/>
        </w:rPr>
      </w:pPr>
    </w:p>
    <w:p w:rsidR="00440460" w:rsidRDefault="00440460" w:rsidP="00522150">
      <w:pPr>
        <w:pStyle w:val="ListParagraph"/>
        <w:rPr>
          <w:b/>
          <w:bCs/>
          <w:sz w:val="24"/>
          <w:szCs w:val="24"/>
        </w:rPr>
      </w:pPr>
    </w:p>
    <w:p w:rsidR="00440460" w:rsidRDefault="00440460" w:rsidP="00522150">
      <w:pPr>
        <w:pStyle w:val="ListParagraph"/>
        <w:rPr>
          <w:b/>
          <w:bCs/>
          <w:sz w:val="24"/>
          <w:szCs w:val="24"/>
        </w:rPr>
      </w:pPr>
    </w:p>
    <w:p w:rsidR="00440460" w:rsidRDefault="00440460" w:rsidP="00522150">
      <w:pPr>
        <w:pStyle w:val="ListParagraph"/>
        <w:rPr>
          <w:b/>
          <w:bCs/>
          <w:sz w:val="24"/>
          <w:szCs w:val="24"/>
        </w:rPr>
      </w:pPr>
    </w:p>
    <w:p w:rsidR="00440460" w:rsidRDefault="00440460" w:rsidP="00522150">
      <w:pPr>
        <w:pStyle w:val="ListParagraph"/>
        <w:rPr>
          <w:b/>
          <w:bCs/>
          <w:sz w:val="24"/>
          <w:szCs w:val="24"/>
        </w:rPr>
      </w:pPr>
    </w:p>
    <w:p w:rsidR="00440460" w:rsidRDefault="00440460" w:rsidP="00522150">
      <w:pPr>
        <w:pStyle w:val="ListParagraph"/>
        <w:rPr>
          <w:b/>
          <w:bCs/>
          <w:sz w:val="24"/>
          <w:szCs w:val="24"/>
        </w:rPr>
      </w:pPr>
    </w:p>
    <w:p w:rsidR="00440460" w:rsidRDefault="00440460" w:rsidP="00522150">
      <w:pPr>
        <w:pStyle w:val="ListParagraph"/>
        <w:rPr>
          <w:b/>
          <w:bCs/>
          <w:sz w:val="24"/>
          <w:szCs w:val="24"/>
        </w:rPr>
      </w:pPr>
    </w:p>
    <w:p w:rsidR="00440460" w:rsidRDefault="00440460" w:rsidP="00522150">
      <w:pPr>
        <w:pStyle w:val="ListParagraph"/>
        <w:rPr>
          <w:b/>
          <w:bCs/>
          <w:sz w:val="24"/>
          <w:szCs w:val="24"/>
        </w:rPr>
      </w:pPr>
    </w:p>
    <w:p w:rsidR="00925629" w:rsidRDefault="00925629" w:rsidP="00925629">
      <w:pPr>
        <w:pStyle w:val="ListParagraph"/>
        <w:numPr>
          <w:ilvl w:val="0"/>
          <w:numId w:val="4"/>
        </w:numPr>
        <w:rPr>
          <w:b/>
          <w:bCs/>
          <w:sz w:val="24"/>
          <w:szCs w:val="24"/>
        </w:rPr>
      </w:pPr>
      <w:r>
        <w:rPr>
          <w:b/>
          <w:bCs/>
          <w:sz w:val="24"/>
          <w:szCs w:val="24"/>
        </w:rPr>
        <w:lastRenderedPageBreak/>
        <w:t xml:space="preserve">Forecasting Working Capital (in million </w:t>
      </w:r>
      <w:proofErr w:type="spellStart"/>
      <w:r>
        <w:rPr>
          <w:b/>
          <w:bCs/>
          <w:sz w:val="24"/>
          <w:szCs w:val="24"/>
        </w:rPr>
        <w:t>Rs</w:t>
      </w:r>
      <w:proofErr w:type="spellEnd"/>
      <w:r>
        <w:rPr>
          <w:b/>
          <w:bCs/>
          <w:sz w:val="24"/>
          <w:szCs w:val="24"/>
        </w:rPr>
        <w:t>)</w:t>
      </w:r>
    </w:p>
    <w:tbl>
      <w:tblPr>
        <w:tblW w:w="10757" w:type="dxa"/>
        <w:jc w:val="center"/>
        <w:tblInd w:w="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1234"/>
        <w:gridCol w:w="1034"/>
        <w:gridCol w:w="1276"/>
        <w:gridCol w:w="1053"/>
        <w:gridCol w:w="1053"/>
        <w:gridCol w:w="1053"/>
        <w:gridCol w:w="1053"/>
        <w:gridCol w:w="1053"/>
      </w:tblGrid>
      <w:tr w:rsidR="002F46C7" w:rsidRPr="002F46C7" w:rsidTr="00195911">
        <w:trPr>
          <w:trHeight w:val="300"/>
          <w:jc w:val="center"/>
        </w:trPr>
        <w:tc>
          <w:tcPr>
            <w:tcW w:w="1948" w:type="dxa"/>
            <w:shd w:val="clear" w:color="auto" w:fill="auto"/>
            <w:noWrap/>
            <w:vAlign w:val="bottom"/>
          </w:tcPr>
          <w:p w:rsidR="002F46C7" w:rsidRPr="002F46C7" w:rsidRDefault="002F46C7" w:rsidP="002F46C7">
            <w:pPr>
              <w:spacing w:after="0" w:line="240" w:lineRule="auto"/>
              <w:rPr>
                <w:rFonts w:ascii="Calibri" w:eastAsia="Times New Roman" w:hAnsi="Calibri" w:cs="Times New Roman"/>
                <w:b/>
                <w:bCs/>
                <w:color w:val="000000"/>
                <w:szCs w:val="22"/>
                <w:lang w:eastAsia="en-IN"/>
              </w:rPr>
            </w:pPr>
          </w:p>
        </w:tc>
        <w:tc>
          <w:tcPr>
            <w:tcW w:w="1234" w:type="dxa"/>
            <w:shd w:val="clear" w:color="auto" w:fill="auto"/>
            <w:noWrap/>
            <w:vAlign w:val="bottom"/>
          </w:tcPr>
          <w:p w:rsidR="002F46C7" w:rsidRPr="002F46C7" w:rsidRDefault="002F46C7" w:rsidP="002F46C7">
            <w:pPr>
              <w:spacing w:after="0" w:line="240" w:lineRule="auto"/>
              <w:jc w:val="right"/>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2019</w:t>
            </w:r>
          </w:p>
        </w:tc>
        <w:tc>
          <w:tcPr>
            <w:tcW w:w="1034" w:type="dxa"/>
            <w:shd w:val="clear" w:color="auto" w:fill="auto"/>
            <w:noWrap/>
            <w:vAlign w:val="bottom"/>
          </w:tcPr>
          <w:p w:rsidR="002F46C7" w:rsidRPr="002F46C7" w:rsidRDefault="002F46C7" w:rsidP="002F46C7">
            <w:pPr>
              <w:spacing w:after="0" w:line="240" w:lineRule="auto"/>
              <w:jc w:val="right"/>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2020</w:t>
            </w:r>
          </w:p>
        </w:tc>
        <w:tc>
          <w:tcPr>
            <w:tcW w:w="1276" w:type="dxa"/>
            <w:shd w:val="clear" w:color="auto" w:fill="auto"/>
            <w:noWrap/>
            <w:vAlign w:val="bottom"/>
          </w:tcPr>
          <w:p w:rsidR="002F46C7" w:rsidRPr="002F46C7" w:rsidRDefault="002F46C7" w:rsidP="002F46C7">
            <w:pPr>
              <w:spacing w:after="0" w:line="240" w:lineRule="auto"/>
              <w:jc w:val="right"/>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2021</w:t>
            </w:r>
          </w:p>
        </w:tc>
        <w:tc>
          <w:tcPr>
            <w:tcW w:w="1053" w:type="dxa"/>
            <w:shd w:val="clear" w:color="auto" w:fill="auto"/>
            <w:noWrap/>
            <w:vAlign w:val="bottom"/>
          </w:tcPr>
          <w:p w:rsidR="002F46C7" w:rsidRPr="002F46C7" w:rsidRDefault="002F46C7" w:rsidP="002F46C7">
            <w:pPr>
              <w:spacing w:after="0" w:line="240" w:lineRule="auto"/>
              <w:jc w:val="right"/>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2022</w:t>
            </w:r>
          </w:p>
        </w:tc>
        <w:tc>
          <w:tcPr>
            <w:tcW w:w="1053" w:type="dxa"/>
            <w:shd w:val="clear" w:color="auto" w:fill="auto"/>
            <w:noWrap/>
            <w:vAlign w:val="bottom"/>
          </w:tcPr>
          <w:p w:rsidR="002F46C7" w:rsidRPr="002F46C7" w:rsidRDefault="002F46C7" w:rsidP="002F46C7">
            <w:pPr>
              <w:spacing w:after="0" w:line="240" w:lineRule="auto"/>
              <w:jc w:val="right"/>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2023</w:t>
            </w:r>
          </w:p>
        </w:tc>
        <w:tc>
          <w:tcPr>
            <w:tcW w:w="1053" w:type="dxa"/>
            <w:shd w:val="clear" w:color="auto" w:fill="auto"/>
            <w:noWrap/>
            <w:vAlign w:val="bottom"/>
          </w:tcPr>
          <w:p w:rsidR="002F46C7" w:rsidRPr="002F46C7" w:rsidRDefault="002F46C7" w:rsidP="002F46C7">
            <w:pPr>
              <w:spacing w:after="0" w:line="240" w:lineRule="auto"/>
              <w:jc w:val="right"/>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2024</w:t>
            </w:r>
          </w:p>
        </w:tc>
        <w:tc>
          <w:tcPr>
            <w:tcW w:w="1053" w:type="dxa"/>
            <w:shd w:val="clear" w:color="auto" w:fill="auto"/>
            <w:noWrap/>
            <w:vAlign w:val="bottom"/>
          </w:tcPr>
          <w:p w:rsidR="002F46C7" w:rsidRPr="002F46C7" w:rsidRDefault="002F46C7" w:rsidP="002F46C7">
            <w:pPr>
              <w:spacing w:after="0" w:line="240" w:lineRule="auto"/>
              <w:jc w:val="right"/>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2025</w:t>
            </w:r>
          </w:p>
        </w:tc>
        <w:tc>
          <w:tcPr>
            <w:tcW w:w="1053" w:type="dxa"/>
            <w:shd w:val="clear" w:color="auto" w:fill="auto"/>
            <w:noWrap/>
            <w:vAlign w:val="bottom"/>
          </w:tcPr>
          <w:p w:rsidR="002F46C7" w:rsidRPr="002F46C7" w:rsidRDefault="002F46C7" w:rsidP="002F46C7">
            <w:pPr>
              <w:spacing w:after="0" w:line="240" w:lineRule="auto"/>
              <w:jc w:val="right"/>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2026</w:t>
            </w:r>
          </w:p>
        </w:tc>
      </w:tr>
      <w:tr w:rsidR="002F46C7" w:rsidRPr="002F46C7" w:rsidTr="00195911">
        <w:trPr>
          <w:trHeight w:val="300"/>
          <w:jc w:val="center"/>
        </w:trPr>
        <w:tc>
          <w:tcPr>
            <w:tcW w:w="1948" w:type="dxa"/>
            <w:shd w:val="clear" w:color="auto" w:fill="auto"/>
            <w:noWrap/>
            <w:vAlign w:val="bottom"/>
            <w:hideMark/>
          </w:tcPr>
          <w:p w:rsidR="002F46C7" w:rsidRPr="002F46C7" w:rsidRDefault="002F46C7" w:rsidP="002F46C7">
            <w:pPr>
              <w:spacing w:after="0" w:line="240" w:lineRule="auto"/>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Working  Capital</w:t>
            </w:r>
          </w:p>
        </w:tc>
        <w:tc>
          <w:tcPr>
            <w:tcW w:w="1234"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31930.38</w:t>
            </w:r>
          </w:p>
        </w:tc>
        <w:tc>
          <w:tcPr>
            <w:tcW w:w="1034"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25544.3</w:t>
            </w:r>
          </w:p>
        </w:tc>
        <w:tc>
          <w:tcPr>
            <w:tcW w:w="1276"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26898.1479</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29749.35</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32902.78</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36390.48</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40247.87</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44514.14</w:t>
            </w:r>
          </w:p>
        </w:tc>
      </w:tr>
      <w:tr w:rsidR="002F46C7" w:rsidRPr="002F46C7" w:rsidTr="00195911">
        <w:trPr>
          <w:trHeight w:val="300"/>
          <w:jc w:val="center"/>
        </w:trPr>
        <w:tc>
          <w:tcPr>
            <w:tcW w:w="1948" w:type="dxa"/>
            <w:shd w:val="clear" w:color="auto" w:fill="auto"/>
            <w:noWrap/>
            <w:vAlign w:val="bottom"/>
            <w:hideMark/>
          </w:tcPr>
          <w:p w:rsidR="002F46C7" w:rsidRPr="002F46C7" w:rsidRDefault="002F46C7" w:rsidP="002F46C7">
            <w:pPr>
              <w:spacing w:after="0" w:line="240" w:lineRule="auto"/>
              <w:rPr>
                <w:rFonts w:ascii="Calibri" w:eastAsia="Times New Roman" w:hAnsi="Calibri" w:cs="Times New Roman"/>
                <w:b/>
                <w:bCs/>
                <w:color w:val="000000"/>
                <w:szCs w:val="22"/>
                <w:lang w:eastAsia="en-IN"/>
              </w:rPr>
            </w:pPr>
            <w:r w:rsidRPr="002F46C7">
              <w:rPr>
                <w:rFonts w:ascii="Calibri" w:eastAsia="Times New Roman" w:hAnsi="Calibri" w:cs="Times New Roman"/>
                <w:b/>
                <w:bCs/>
                <w:color w:val="000000"/>
                <w:szCs w:val="22"/>
                <w:lang w:eastAsia="en-IN"/>
              </w:rPr>
              <w:t>Change in Working Capital</w:t>
            </w:r>
          </w:p>
        </w:tc>
        <w:tc>
          <w:tcPr>
            <w:tcW w:w="1234"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3110.375</w:t>
            </w:r>
          </w:p>
        </w:tc>
        <w:tc>
          <w:tcPr>
            <w:tcW w:w="1034"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-6386.08</w:t>
            </w:r>
          </w:p>
        </w:tc>
        <w:tc>
          <w:tcPr>
            <w:tcW w:w="1276"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1353.8479</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2851.204</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3153.431</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3487.695</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3857.391</w:t>
            </w:r>
          </w:p>
        </w:tc>
        <w:tc>
          <w:tcPr>
            <w:tcW w:w="1053" w:type="dxa"/>
            <w:shd w:val="clear" w:color="auto" w:fill="auto"/>
            <w:noWrap/>
            <w:vAlign w:val="bottom"/>
            <w:hideMark/>
          </w:tcPr>
          <w:p w:rsidR="002F46C7" w:rsidRPr="002F46C7" w:rsidRDefault="002F46C7" w:rsidP="002F46C7">
            <w:pPr>
              <w:spacing w:after="0" w:line="240" w:lineRule="auto"/>
              <w:jc w:val="right"/>
              <w:rPr>
                <w:rFonts w:ascii="Calibri" w:eastAsia="Times New Roman" w:hAnsi="Calibri" w:cs="Times New Roman"/>
                <w:color w:val="000000"/>
                <w:szCs w:val="22"/>
                <w:lang w:eastAsia="en-IN"/>
              </w:rPr>
            </w:pPr>
            <w:r w:rsidRPr="002F46C7">
              <w:rPr>
                <w:rFonts w:ascii="Calibri" w:eastAsia="Times New Roman" w:hAnsi="Calibri" w:cs="Times New Roman"/>
                <w:color w:val="000000"/>
                <w:szCs w:val="22"/>
                <w:lang w:eastAsia="en-IN"/>
              </w:rPr>
              <w:t>4266.274</w:t>
            </w:r>
          </w:p>
        </w:tc>
      </w:tr>
    </w:tbl>
    <w:p w:rsidR="002F46C7" w:rsidRDefault="002F46C7" w:rsidP="002F46C7">
      <w:pPr>
        <w:pStyle w:val="ListParagraph"/>
        <w:rPr>
          <w:b/>
          <w:bCs/>
          <w:sz w:val="24"/>
          <w:szCs w:val="24"/>
        </w:rPr>
      </w:pPr>
    </w:p>
    <w:p w:rsidR="00FB1569" w:rsidRPr="00440460" w:rsidRDefault="00FB1569" w:rsidP="00440460">
      <w:pPr>
        <w:rPr>
          <w:sz w:val="24"/>
          <w:szCs w:val="24"/>
        </w:rPr>
      </w:pPr>
      <w:r w:rsidRPr="00440460">
        <w:rPr>
          <w:sz w:val="24"/>
          <w:szCs w:val="24"/>
        </w:rPr>
        <w:t xml:space="preserve">We took Working Capital at </w:t>
      </w:r>
      <w:r w:rsidRPr="00440460">
        <w:rPr>
          <w:b/>
          <w:bCs/>
          <w:sz w:val="24"/>
          <w:szCs w:val="24"/>
        </w:rPr>
        <w:t>25%</w:t>
      </w:r>
      <w:r w:rsidRPr="00440460">
        <w:rPr>
          <w:sz w:val="24"/>
          <w:szCs w:val="24"/>
        </w:rPr>
        <w:t xml:space="preserve"> of Sales for 2019 (same as that for 2018). Due to decline in profit we expect decline in Current </w:t>
      </w:r>
      <w:r w:rsidR="009D15F8" w:rsidRPr="00440460">
        <w:rPr>
          <w:sz w:val="24"/>
          <w:szCs w:val="24"/>
        </w:rPr>
        <w:t>assets</w:t>
      </w:r>
      <w:r w:rsidRPr="00440460">
        <w:rPr>
          <w:sz w:val="24"/>
          <w:szCs w:val="24"/>
        </w:rPr>
        <w:t xml:space="preserve"> </w:t>
      </w:r>
      <w:proofErr w:type="gramStart"/>
      <w:r w:rsidRPr="00440460">
        <w:rPr>
          <w:sz w:val="24"/>
          <w:szCs w:val="24"/>
        </w:rPr>
        <w:t>as  hence</w:t>
      </w:r>
      <w:proofErr w:type="gramEnd"/>
      <w:r w:rsidRPr="00440460">
        <w:rPr>
          <w:sz w:val="24"/>
          <w:szCs w:val="24"/>
        </w:rPr>
        <w:t xml:space="preserve"> decline in </w:t>
      </w:r>
      <w:r w:rsidRPr="00440460">
        <w:rPr>
          <w:b/>
          <w:bCs/>
          <w:sz w:val="24"/>
          <w:szCs w:val="24"/>
        </w:rPr>
        <w:t>working capital to 80% of previous year</w:t>
      </w:r>
      <w:r w:rsidRPr="00440460">
        <w:rPr>
          <w:sz w:val="24"/>
          <w:szCs w:val="24"/>
        </w:rPr>
        <w:t>.</w:t>
      </w:r>
      <w:r w:rsidRPr="00440460">
        <w:rPr>
          <w:rFonts w:eastAsiaTheme="minorEastAsia" w:hAnsi="Calibri"/>
          <w:color w:val="000000" w:themeColor="dark1"/>
          <w:sz w:val="24"/>
          <w:szCs w:val="24"/>
          <w:lang w:eastAsia="en-IN"/>
        </w:rPr>
        <w:t xml:space="preserve"> </w:t>
      </w:r>
      <w:r w:rsidRPr="00440460">
        <w:rPr>
          <w:sz w:val="24"/>
          <w:szCs w:val="24"/>
        </w:rPr>
        <w:t xml:space="preserve">After the </w:t>
      </w:r>
      <w:proofErr w:type="spellStart"/>
      <w:r w:rsidRPr="00440460">
        <w:rPr>
          <w:sz w:val="24"/>
          <w:szCs w:val="24"/>
        </w:rPr>
        <w:t>covid</w:t>
      </w:r>
      <w:proofErr w:type="spellEnd"/>
      <w:r w:rsidRPr="00440460">
        <w:rPr>
          <w:sz w:val="24"/>
          <w:szCs w:val="24"/>
        </w:rPr>
        <w:t xml:space="preserve"> Working Capital would increase, we assume it would increase at the same rate as Sales.</w:t>
      </w:r>
    </w:p>
    <w:p w:rsidR="00FB1569" w:rsidRDefault="00FB1569" w:rsidP="00FB1569">
      <w:pPr>
        <w:pStyle w:val="ListParagraph"/>
      </w:pPr>
    </w:p>
    <w:p w:rsidR="007B0013" w:rsidRPr="00440460" w:rsidRDefault="00440460" w:rsidP="00440460">
      <w:pPr>
        <w:pStyle w:val="ListParagraph"/>
        <w:numPr>
          <w:ilvl w:val="0"/>
          <w:numId w:val="4"/>
        </w:numPr>
        <w:rPr>
          <w:b/>
          <w:bCs/>
        </w:rPr>
      </w:pPr>
      <w:r w:rsidRPr="00440460">
        <w:rPr>
          <w:b/>
          <w:bCs/>
        </w:rPr>
        <w:t xml:space="preserve">FCF (in million </w:t>
      </w:r>
      <w:proofErr w:type="spellStart"/>
      <w:r w:rsidRPr="00440460">
        <w:rPr>
          <w:b/>
          <w:bCs/>
        </w:rPr>
        <w:t>Rs</w:t>
      </w:r>
      <w:proofErr w:type="spellEnd"/>
      <w:r w:rsidRPr="00440460">
        <w:rPr>
          <w:b/>
          <w:bCs/>
        </w:rPr>
        <w:t>)</w:t>
      </w:r>
    </w:p>
    <w:tbl>
      <w:tblPr>
        <w:tblW w:w="992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053"/>
        <w:gridCol w:w="1053"/>
        <w:gridCol w:w="1276"/>
        <w:gridCol w:w="1053"/>
        <w:gridCol w:w="1053"/>
        <w:gridCol w:w="1053"/>
        <w:gridCol w:w="960"/>
        <w:gridCol w:w="1053"/>
      </w:tblGrid>
      <w:tr w:rsidR="007B0013" w:rsidRPr="007B0013" w:rsidTr="007B0013">
        <w:trPr>
          <w:trHeight w:val="300"/>
          <w:jc w:val="center"/>
        </w:trPr>
        <w:tc>
          <w:tcPr>
            <w:tcW w:w="194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p>
        </w:tc>
        <w:tc>
          <w:tcPr>
            <w:tcW w:w="96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r>
              <w:rPr>
                <w:rFonts w:ascii="Calibri" w:eastAsia="Times New Roman" w:hAnsi="Calibri" w:cs="Times New Roman"/>
                <w:b/>
                <w:bCs/>
                <w:color w:val="000000"/>
                <w:szCs w:val="22"/>
                <w:lang w:eastAsia="en-IN"/>
              </w:rPr>
              <w:t>2019</w:t>
            </w:r>
          </w:p>
        </w:tc>
        <w:tc>
          <w:tcPr>
            <w:tcW w:w="96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r>
              <w:rPr>
                <w:rFonts w:ascii="Calibri" w:eastAsia="Times New Roman" w:hAnsi="Calibri" w:cs="Times New Roman"/>
                <w:b/>
                <w:bCs/>
                <w:color w:val="000000"/>
                <w:szCs w:val="22"/>
                <w:lang w:eastAsia="en-IN"/>
              </w:rPr>
              <w:t>2020</w:t>
            </w:r>
          </w:p>
        </w:tc>
        <w:tc>
          <w:tcPr>
            <w:tcW w:w="126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r>
              <w:rPr>
                <w:rFonts w:ascii="Calibri" w:eastAsia="Times New Roman" w:hAnsi="Calibri" w:cs="Times New Roman"/>
                <w:b/>
                <w:bCs/>
                <w:color w:val="000000"/>
                <w:szCs w:val="22"/>
                <w:lang w:eastAsia="en-IN"/>
              </w:rPr>
              <w:t>2021</w:t>
            </w:r>
          </w:p>
        </w:tc>
        <w:tc>
          <w:tcPr>
            <w:tcW w:w="96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r>
              <w:rPr>
                <w:rFonts w:ascii="Calibri" w:eastAsia="Times New Roman" w:hAnsi="Calibri" w:cs="Times New Roman"/>
                <w:b/>
                <w:bCs/>
                <w:color w:val="000000"/>
                <w:szCs w:val="22"/>
                <w:lang w:eastAsia="en-IN"/>
              </w:rPr>
              <w:t>2022</w:t>
            </w:r>
          </w:p>
        </w:tc>
        <w:tc>
          <w:tcPr>
            <w:tcW w:w="96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r>
              <w:rPr>
                <w:rFonts w:ascii="Calibri" w:eastAsia="Times New Roman" w:hAnsi="Calibri" w:cs="Times New Roman"/>
                <w:b/>
                <w:bCs/>
                <w:color w:val="000000"/>
                <w:szCs w:val="22"/>
                <w:lang w:eastAsia="en-IN"/>
              </w:rPr>
              <w:t>2023</w:t>
            </w:r>
          </w:p>
        </w:tc>
        <w:tc>
          <w:tcPr>
            <w:tcW w:w="96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r>
              <w:rPr>
                <w:rFonts w:ascii="Calibri" w:eastAsia="Times New Roman" w:hAnsi="Calibri" w:cs="Times New Roman"/>
                <w:b/>
                <w:bCs/>
                <w:color w:val="000000"/>
                <w:szCs w:val="22"/>
                <w:lang w:eastAsia="en-IN"/>
              </w:rPr>
              <w:t>2024</w:t>
            </w:r>
          </w:p>
        </w:tc>
        <w:tc>
          <w:tcPr>
            <w:tcW w:w="96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r>
              <w:rPr>
                <w:rFonts w:ascii="Calibri" w:eastAsia="Times New Roman" w:hAnsi="Calibri" w:cs="Times New Roman"/>
                <w:b/>
                <w:bCs/>
                <w:color w:val="000000"/>
                <w:szCs w:val="22"/>
                <w:lang w:eastAsia="en-IN"/>
              </w:rPr>
              <w:t>2025</w:t>
            </w:r>
          </w:p>
        </w:tc>
        <w:tc>
          <w:tcPr>
            <w:tcW w:w="96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r>
              <w:rPr>
                <w:rFonts w:ascii="Calibri" w:eastAsia="Times New Roman" w:hAnsi="Calibri" w:cs="Times New Roman"/>
                <w:b/>
                <w:bCs/>
                <w:color w:val="000000"/>
                <w:szCs w:val="22"/>
                <w:lang w:eastAsia="en-IN"/>
              </w:rPr>
              <w:t>2026</w:t>
            </w:r>
          </w:p>
        </w:tc>
      </w:tr>
      <w:tr w:rsidR="007B0013" w:rsidRPr="007B0013" w:rsidTr="007B0013">
        <w:trPr>
          <w:trHeight w:val="300"/>
          <w:jc w:val="center"/>
        </w:trPr>
        <w:tc>
          <w:tcPr>
            <w:tcW w:w="1940" w:type="dxa"/>
            <w:shd w:val="clear" w:color="auto" w:fill="auto"/>
            <w:noWrap/>
            <w:vAlign w:val="bottom"/>
            <w:hideMark/>
          </w:tcPr>
          <w:p w:rsidR="007B0013" w:rsidRPr="007B0013" w:rsidRDefault="007B0013" w:rsidP="007B0013">
            <w:pPr>
              <w:spacing w:after="0" w:line="240" w:lineRule="auto"/>
              <w:rPr>
                <w:rFonts w:ascii="Calibri" w:eastAsia="Times New Roman" w:hAnsi="Calibri" w:cs="Times New Roman"/>
                <w:b/>
                <w:bCs/>
                <w:color w:val="000000"/>
                <w:szCs w:val="22"/>
                <w:lang w:eastAsia="en-IN"/>
              </w:rPr>
            </w:pPr>
            <w:r w:rsidRPr="007B0013">
              <w:rPr>
                <w:rFonts w:ascii="Calibri" w:eastAsia="Times New Roman" w:hAnsi="Calibri" w:cs="Times New Roman"/>
                <w:b/>
                <w:bCs/>
                <w:color w:val="000000"/>
                <w:szCs w:val="22"/>
                <w:lang w:eastAsia="en-IN"/>
              </w:rPr>
              <w:t>FCF</w:t>
            </w:r>
          </w:p>
        </w:tc>
        <w:tc>
          <w:tcPr>
            <w:tcW w:w="960" w:type="dxa"/>
            <w:shd w:val="clear" w:color="auto" w:fill="auto"/>
            <w:noWrap/>
            <w:vAlign w:val="bottom"/>
            <w:hideMark/>
          </w:tcPr>
          <w:p w:rsidR="007B0013" w:rsidRPr="007B0013" w:rsidRDefault="007B0013" w:rsidP="007B0013">
            <w:pPr>
              <w:spacing w:after="0" w:line="240" w:lineRule="auto"/>
              <w:jc w:val="right"/>
              <w:rPr>
                <w:rFonts w:ascii="Calibri" w:eastAsia="Times New Roman" w:hAnsi="Calibri" w:cs="Times New Roman"/>
                <w:color w:val="000000"/>
                <w:szCs w:val="22"/>
                <w:lang w:eastAsia="en-IN"/>
              </w:rPr>
            </w:pPr>
            <w:r w:rsidRPr="007B0013">
              <w:rPr>
                <w:rFonts w:ascii="Calibri" w:eastAsia="Times New Roman" w:hAnsi="Calibri" w:cs="Times New Roman"/>
                <w:color w:val="000000"/>
                <w:szCs w:val="22"/>
                <w:lang w:eastAsia="en-IN"/>
              </w:rPr>
              <w:t>16890.98</w:t>
            </w:r>
          </w:p>
        </w:tc>
        <w:tc>
          <w:tcPr>
            <w:tcW w:w="960" w:type="dxa"/>
            <w:shd w:val="clear" w:color="auto" w:fill="auto"/>
            <w:noWrap/>
            <w:vAlign w:val="bottom"/>
            <w:hideMark/>
          </w:tcPr>
          <w:p w:rsidR="007B0013" w:rsidRPr="007B0013" w:rsidRDefault="007B0013" w:rsidP="007B0013">
            <w:pPr>
              <w:spacing w:after="0" w:line="240" w:lineRule="auto"/>
              <w:jc w:val="right"/>
              <w:rPr>
                <w:rFonts w:ascii="Calibri" w:eastAsia="Times New Roman" w:hAnsi="Calibri" w:cs="Times New Roman"/>
                <w:color w:val="000000"/>
                <w:szCs w:val="22"/>
                <w:lang w:eastAsia="en-IN"/>
              </w:rPr>
            </w:pPr>
            <w:r w:rsidRPr="007B0013">
              <w:rPr>
                <w:rFonts w:ascii="Calibri" w:eastAsia="Times New Roman" w:hAnsi="Calibri" w:cs="Times New Roman"/>
                <w:color w:val="000000"/>
                <w:szCs w:val="22"/>
                <w:lang w:eastAsia="en-IN"/>
              </w:rPr>
              <w:t>18283.04</w:t>
            </w:r>
          </w:p>
        </w:tc>
        <w:tc>
          <w:tcPr>
            <w:tcW w:w="1260" w:type="dxa"/>
            <w:shd w:val="clear" w:color="auto" w:fill="auto"/>
            <w:noWrap/>
            <w:vAlign w:val="bottom"/>
            <w:hideMark/>
          </w:tcPr>
          <w:p w:rsidR="007B0013" w:rsidRPr="007B0013" w:rsidRDefault="007B0013" w:rsidP="007B0013">
            <w:pPr>
              <w:spacing w:after="0" w:line="240" w:lineRule="auto"/>
              <w:jc w:val="right"/>
              <w:rPr>
                <w:rFonts w:ascii="Calibri" w:eastAsia="Times New Roman" w:hAnsi="Calibri" w:cs="Times New Roman"/>
                <w:color w:val="000000"/>
                <w:szCs w:val="22"/>
                <w:lang w:eastAsia="en-IN"/>
              </w:rPr>
            </w:pPr>
            <w:r w:rsidRPr="007B0013">
              <w:rPr>
                <w:rFonts w:ascii="Calibri" w:eastAsia="Times New Roman" w:hAnsi="Calibri" w:cs="Times New Roman"/>
                <w:color w:val="000000"/>
                <w:szCs w:val="22"/>
                <w:lang w:eastAsia="en-IN"/>
              </w:rPr>
              <w:t>12749.7049</w:t>
            </w:r>
          </w:p>
        </w:tc>
        <w:tc>
          <w:tcPr>
            <w:tcW w:w="960" w:type="dxa"/>
            <w:shd w:val="clear" w:color="auto" w:fill="auto"/>
            <w:noWrap/>
            <w:vAlign w:val="bottom"/>
            <w:hideMark/>
          </w:tcPr>
          <w:p w:rsidR="007B0013" w:rsidRPr="007B0013" w:rsidRDefault="007B0013" w:rsidP="007B0013">
            <w:pPr>
              <w:spacing w:after="0" w:line="240" w:lineRule="auto"/>
              <w:jc w:val="right"/>
              <w:rPr>
                <w:rFonts w:ascii="Calibri" w:eastAsia="Times New Roman" w:hAnsi="Calibri" w:cs="Times New Roman"/>
                <w:color w:val="000000"/>
                <w:szCs w:val="22"/>
                <w:lang w:eastAsia="en-IN"/>
              </w:rPr>
            </w:pPr>
            <w:r w:rsidRPr="007B0013">
              <w:rPr>
                <w:rFonts w:ascii="Calibri" w:eastAsia="Times New Roman" w:hAnsi="Calibri" w:cs="Times New Roman"/>
                <w:color w:val="000000"/>
                <w:szCs w:val="22"/>
                <w:lang w:eastAsia="en-IN"/>
              </w:rPr>
              <w:t>12035.82</w:t>
            </w:r>
          </w:p>
        </w:tc>
        <w:tc>
          <w:tcPr>
            <w:tcW w:w="960" w:type="dxa"/>
            <w:shd w:val="clear" w:color="auto" w:fill="auto"/>
            <w:noWrap/>
            <w:vAlign w:val="bottom"/>
            <w:hideMark/>
          </w:tcPr>
          <w:p w:rsidR="007B0013" w:rsidRPr="007B0013" w:rsidRDefault="007B0013" w:rsidP="007B0013">
            <w:pPr>
              <w:spacing w:after="0" w:line="240" w:lineRule="auto"/>
              <w:jc w:val="right"/>
              <w:rPr>
                <w:rFonts w:ascii="Calibri" w:eastAsia="Times New Roman" w:hAnsi="Calibri" w:cs="Times New Roman"/>
                <w:color w:val="000000"/>
                <w:szCs w:val="22"/>
                <w:lang w:eastAsia="en-IN"/>
              </w:rPr>
            </w:pPr>
            <w:r w:rsidRPr="007B0013">
              <w:rPr>
                <w:rFonts w:ascii="Calibri" w:eastAsia="Times New Roman" w:hAnsi="Calibri" w:cs="Times New Roman"/>
                <w:color w:val="000000"/>
                <w:szCs w:val="22"/>
                <w:lang w:eastAsia="en-IN"/>
              </w:rPr>
              <w:t>12992.91</w:t>
            </w:r>
          </w:p>
        </w:tc>
        <w:tc>
          <w:tcPr>
            <w:tcW w:w="960" w:type="dxa"/>
            <w:shd w:val="clear" w:color="auto" w:fill="auto"/>
            <w:noWrap/>
            <w:vAlign w:val="bottom"/>
            <w:hideMark/>
          </w:tcPr>
          <w:p w:rsidR="007B0013" w:rsidRPr="007B0013" w:rsidRDefault="007B0013" w:rsidP="007B0013">
            <w:pPr>
              <w:spacing w:after="0" w:line="240" w:lineRule="auto"/>
              <w:jc w:val="right"/>
              <w:rPr>
                <w:rFonts w:ascii="Calibri" w:eastAsia="Times New Roman" w:hAnsi="Calibri" w:cs="Times New Roman"/>
                <w:color w:val="000000"/>
                <w:szCs w:val="22"/>
                <w:lang w:eastAsia="en-IN"/>
              </w:rPr>
            </w:pPr>
            <w:r w:rsidRPr="007B0013">
              <w:rPr>
                <w:rFonts w:ascii="Calibri" w:eastAsia="Times New Roman" w:hAnsi="Calibri" w:cs="Times New Roman"/>
                <w:color w:val="000000"/>
                <w:szCs w:val="22"/>
                <w:lang w:eastAsia="en-IN"/>
              </w:rPr>
              <w:t>14051.45</w:t>
            </w:r>
          </w:p>
        </w:tc>
        <w:tc>
          <w:tcPr>
            <w:tcW w:w="960" w:type="dxa"/>
            <w:shd w:val="clear" w:color="auto" w:fill="auto"/>
            <w:noWrap/>
            <w:vAlign w:val="bottom"/>
            <w:hideMark/>
          </w:tcPr>
          <w:p w:rsidR="007B0013" w:rsidRPr="007B0013" w:rsidRDefault="007B0013" w:rsidP="007B0013">
            <w:pPr>
              <w:spacing w:after="0" w:line="240" w:lineRule="auto"/>
              <w:jc w:val="right"/>
              <w:rPr>
                <w:rFonts w:ascii="Calibri" w:eastAsia="Times New Roman" w:hAnsi="Calibri" w:cs="Times New Roman"/>
                <w:color w:val="000000"/>
                <w:szCs w:val="22"/>
                <w:lang w:eastAsia="en-IN"/>
              </w:rPr>
            </w:pPr>
            <w:r w:rsidRPr="007B0013">
              <w:rPr>
                <w:rFonts w:ascii="Calibri" w:eastAsia="Times New Roman" w:hAnsi="Calibri" w:cs="Times New Roman"/>
                <w:color w:val="000000"/>
                <w:szCs w:val="22"/>
                <w:lang w:eastAsia="en-IN"/>
              </w:rPr>
              <w:t>15222.2</w:t>
            </w:r>
          </w:p>
        </w:tc>
        <w:tc>
          <w:tcPr>
            <w:tcW w:w="960" w:type="dxa"/>
            <w:shd w:val="clear" w:color="auto" w:fill="auto"/>
            <w:noWrap/>
            <w:vAlign w:val="bottom"/>
            <w:hideMark/>
          </w:tcPr>
          <w:p w:rsidR="007B0013" w:rsidRPr="007B0013" w:rsidRDefault="007B0013" w:rsidP="007B0013">
            <w:pPr>
              <w:spacing w:after="0" w:line="240" w:lineRule="auto"/>
              <w:jc w:val="right"/>
              <w:rPr>
                <w:rFonts w:ascii="Calibri" w:eastAsia="Times New Roman" w:hAnsi="Calibri" w:cs="Times New Roman"/>
                <w:color w:val="000000"/>
                <w:szCs w:val="22"/>
                <w:lang w:eastAsia="en-IN"/>
              </w:rPr>
            </w:pPr>
            <w:r w:rsidRPr="007B0013">
              <w:rPr>
                <w:rFonts w:ascii="Calibri" w:eastAsia="Times New Roman" w:hAnsi="Calibri" w:cs="Times New Roman"/>
                <w:color w:val="000000"/>
                <w:szCs w:val="22"/>
                <w:lang w:eastAsia="en-IN"/>
              </w:rPr>
              <w:t>16517.05</w:t>
            </w:r>
          </w:p>
        </w:tc>
      </w:tr>
    </w:tbl>
    <w:p w:rsidR="007B0013" w:rsidRPr="00FB1569" w:rsidRDefault="007B0013" w:rsidP="00FB1569">
      <w:pPr>
        <w:pStyle w:val="ListParagraph"/>
      </w:pPr>
    </w:p>
    <w:p w:rsidR="002F46C7" w:rsidRDefault="007B0013" w:rsidP="002F46C7">
      <w:pPr>
        <w:pStyle w:val="ListParagraph"/>
        <w:rPr>
          <w:sz w:val="24"/>
          <w:szCs w:val="24"/>
        </w:rPr>
      </w:pPr>
      <w:r>
        <w:rPr>
          <w:sz w:val="24"/>
          <w:szCs w:val="24"/>
        </w:rPr>
        <w:t>Free cash flow was calculated using the formula</w:t>
      </w:r>
    </w:p>
    <w:p w:rsidR="007B0013" w:rsidRDefault="007B0013" w:rsidP="002F46C7">
      <w:pPr>
        <w:pStyle w:val="ListParagraph"/>
        <w:rPr>
          <w:sz w:val="24"/>
          <w:szCs w:val="24"/>
        </w:rPr>
      </w:pPr>
      <w:r>
        <w:rPr>
          <w:sz w:val="24"/>
          <w:szCs w:val="24"/>
        </w:rPr>
        <w:t xml:space="preserve">FCF = PAT + Depreciation – Change in Working Capital </w:t>
      </w:r>
      <w:r w:rsidR="00440460">
        <w:rPr>
          <w:sz w:val="24"/>
          <w:szCs w:val="24"/>
        </w:rPr>
        <w:t>–</w:t>
      </w:r>
      <w:r>
        <w:rPr>
          <w:sz w:val="24"/>
          <w:szCs w:val="24"/>
        </w:rPr>
        <w:t xml:space="preserve"> Capex</w:t>
      </w:r>
    </w:p>
    <w:p w:rsidR="00440460" w:rsidRDefault="00440460" w:rsidP="002F46C7">
      <w:pPr>
        <w:pStyle w:val="ListParagraph"/>
        <w:rPr>
          <w:sz w:val="24"/>
          <w:szCs w:val="24"/>
        </w:rPr>
      </w:pPr>
    </w:p>
    <w:p w:rsidR="00440460" w:rsidRDefault="00440460" w:rsidP="002F46C7">
      <w:pPr>
        <w:pStyle w:val="ListParagraph"/>
        <w:rPr>
          <w:sz w:val="24"/>
          <w:szCs w:val="24"/>
        </w:rPr>
      </w:pPr>
    </w:p>
    <w:p w:rsidR="00440460" w:rsidRDefault="00440460" w:rsidP="002F46C7">
      <w:pPr>
        <w:pStyle w:val="ListParagraph"/>
        <w:rPr>
          <w:sz w:val="24"/>
          <w:szCs w:val="24"/>
        </w:rPr>
      </w:pPr>
    </w:p>
    <w:p w:rsidR="00440460" w:rsidRDefault="00440460" w:rsidP="00440460">
      <w:pPr>
        <w:rPr>
          <w:b/>
          <w:bCs/>
          <w:sz w:val="32"/>
          <w:szCs w:val="32"/>
          <w:u w:val="single"/>
        </w:rPr>
      </w:pPr>
      <w:r w:rsidRPr="00440460">
        <w:rPr>
          <w:b/>
          <w:bCs/>
          <w:sz w:val="32"/>
          <w:szCs w:val="32"/>
          <w:u w:val="single"/>
        </w:rPr>
        <w:t>Weighted Average Cost of Capital</w:t>
      </w:r>
    </w:p>
    <w:p w:rsidR="00DD13C0" w:rsidRDefault="00DD13C0" w:rsidP="00DD13C0">
      <w:pPr>
        <w:pStyle w:val="ListParagraph"/>
        <w:numPr>
          <w:ilvl w:val="0"/>
          <w:numId w:val="5"/>
        </w:numPr>
        <w:rPr>
          <w:b/>
          <w:bCs/>
          <w:sz w:val="24"/>
          <w:szCs w:val="24"/>
        </w:rPr>
      </w:pPr>
      <w:r>
        <w:rPr>
          <w:b/>
          <w:bCs/>
          <w:sz w:val="24"/>
          <w:szCs w:val="24"/>
        </w:rPr>
        <w:t>Cost of Equity</w:t>
      </w:r>
    </w:p>
    <w:p w:rsidR="00DD13C0" w:rsidRDefault="00DD13C0" w:rsidP="00DD13C0">
      <w:pPr>
        <w:rPr>
          <w:sz w:val="24"/>
          <w:szCs w:val="24"/>
        </w:rPr>
      </w:pPr>
      <w:r>
        <w:rPr>
          <w:sz w:val="24"/>
          <w:szCs w:val="24"/>
        </w:rPr>
        <w:t xml:space="preserve">Cost of Equity was calculated using CAPM Model. </w:t>
      </w:r>
    </w:p>
    <w:p w:rsidR="00DD13C0" w:rsidRDefault="00DD13C0" w:rsidP="00DD13C0">
      <w:pPr>
        <w:rPr>
          <w:sz w:val="24"/>
          <w:szCs w:val="24"/>
        </w:rPr>
      </w:pPr>
      <w:proofErr w:type="spellStart"/>
      <w:r>
        <w:rPr>
          <w:sz w:val="24"/>
          <w:szCs w:val="24"/>
        </w:rPr>
        <w:t>Ke</w:t>
      </w:r>
      <w:proofErr w:type="spellEnd"/>
      <w:r>
        <w:rPr>
          <w:sz w:val="24"/>
          <w:szCs w:val="24"/>
        </w:rPr>
        <w:t xml:space="preserve"> = </w:t>
      </w:r>
      <w:proofErr w:type="spellStart"/>
      <w:r>
        <w:rPr>
          <w:sz w:val="24"/>
          <w:szCs w:val="24"/>
        </w:rPr>
        <w:t>Rf</w:t>
      </w:r>
      <w:proofErr w:type="spellEnd"/>
      <w:r>
        <w:rPr>
          <w:sz w:val="24"/>
          <w:szCs w:val="24"/>
        </w:rPr>
        <w:t xml:space="preserve"> + </w:t>
      </w:r>
      <w:proofErr w:type="gramStart"/>
      <w:r>
        <w:rPr>
          <w:sz w:val="24"/>
          <w:szCs w:val="24"/>
        </w:rPr>
        <w:t>B(</w:t>
      </w:r>
      <w:proofErr w:type="spellStart"/>
      <w:proofErr w:type="gramEnd"/>
      <w:r>
        <w:rPr>
          <w:sz w:val="24"/>
          <w:szCs w:val="24"/>
        </w:rPr>
        <w:t>Rf</w:t>
      </w:r>
      <w:proofErr w:type="spellEnd"/>
      <w:r>
        <w:rPr>
          <w:sz w:val="24"/>
          <w:szCs w:val="24"/>
        </w:rPr>
        <w:t>-Rm)</w:t>
      </w:r>
    </w:p>
    <w:p w:rsidR="00DD13C0" w:rsidRDefault="00DD13C0" w:rsidP="00DD13C0">
      <w:pPr>
        <w:rPr>
          <w:sz w:val="24"/>
          <w:szCs w:val="24"/>
        </w:rPr>
      </w:pPr>
      <w:proofErr w:type="spellStart"/>
      <w:r>
        <w:rPr>
          <w:sz w:val="24"/>
          <w:szCs w:val="24"/>
        </w:rPr>
        <w:t>Ke</w:t>
      </w:r>
      <w:proofErr w:type="spellEnd"/>
      <w:r>
        <w:rPr>
          <w:sz w:val="24"/>
          <w:szCs w:val="24"/>
        </w:rPr>
        <w:t xml:space="preserve"> = Cost of Equity</w:t>
      </w:r>
    </w:p>
    <w:p w:rsidR="00DD13C0" w:rsidRDefault="00DD13C0" w:rsidP="00DD13C0">
      <w:pPr>
        <w:rPr>
          <w:sz w:val="24"/>
          <w:szCs w:val="24"/>
        </w:rPr>
      </w:pPr>
      <w:proofErr w:type="spellStart"/>
      <w:proofErr w:type="gramStart"/>
      <w:r>
        <w:rPr>
          <w:sz w:val="24"/>
          <w:szCs w:val="24"/>
        </w:rPr>
        <w:t>Rf</w:t>
      </w:r>
      <w:proofErr w:type="spellEnd"/>
      <w:proofErr w:type="gramEnd"/>
      <w:r>
        <w:rPr>
          <w:sz w:val="24"/>
          <w:szCs w:val="24"/>
        </w:rPr>
        <w:t xml:space="preserve"> = Risk free rate</w:t>
      </w:r>
    </w:p>
    <w:p w:rsidR="00DD13C0" w:rsidRDefault="00DD13C0" w:rsidP="00DD13C0">
      <w:pPr>
        <w:rPr>
          <w:sz w:val="24"/>
          <w:szCs w:val="24"/>
        </w:rPr>
      </w:pPr>
      <w:r>
        <w:rPr>
          <w:sz w:val="24"/>
          <w:szCs w:val="24"/>
        </w:rPr>
        <w:t>Rm = Market Return</w:t>
      </w:r>
    </w:p>
    <w:p w:rsidR="00DD13C0" w:rsidRDefault="00DD13C0" w:rsidP="00DD13C0">
      <w:pPr>
        <w:rPr>
          <w:sz w:val="24"/>
          <w:szCs w:val="24"/>
        </w:rPr>
      </w:pPr>
      <w:r>
        <w:rPr>
          <w:sz w:val="24"/>
          <w:szCs w:val="24"/>
        </w:rPr>
        <w:t>B = beta</w:t>
      </w:r>
    </w:p>
    <w:p w:rsidR="00DD13C0" w:rsidRDefault="00DD13C0" w:rsidP="00DD13C0">
      <w:pPr>
        <w:rPr>
          <w:sz w:val="24"/>
          <w:szCs w:val="24"/>
        </w:rPr>
      </w:pPr>
    </w:p>
    <w:p w:rsidR="00DD13C0" w:rsidRDefault="00DD13C0" w:rsidP="00DD13C0">
      <w:pPr>
        <w:rPr>
          <w:sz w:val="24"/>
          <w:szCs w:val="24"/>
        </w:rPr>
      </w:pPr>
      <w:proofErr w:type="spellStart"/>
      <w:proofErr w:type="gramStart"/>
      <w:r>
        <w:rPr>
          <w:sz w:val="24"/>
          <w:szCs w:val="24"/>
        </w:rPr>
        <w:t>Rf</w:t>
      </w:r>
      <w:proofErr w:type="spellEnd"/>
      <w:proofErr w:type="gramEnd"/>
      <w:r>
        <w:rPr>
          <w:sz w:val="24"/>
          <w:szCs w:val="24"/>
        </w:rPr>
        <w:t xml:space="preserve"> was taken as </w:t>
      </w:r>
      <w:r w:rsidRPr="00405E56">
        <w:rPr>
          <w:b/>
          <w:bCs/>
          <w:sz w:val="24"/>
          <w:szCs w:val="24"/>
        </w:rPr>
        <w:t>6.57%</w:t>
      </w:r>
      <w:r>
        <w:rPr>
          <w:sz w:val="24"/>
          <w:szCs w:val="24"/>
        </w:rPr>
        <w:t xml:space="preserve"> which is the bond rate of 10 year Indian Government bond.</w:t>
      </w:r>
    </w:p>
    <w:p w:rsidR="00DD13C0" w:rsidRDefault="00DD13C0" w:rsidP="00DD13C0">
      <w:pPr>
        <w:rPr>
          <w:sz w:val="24"/>
          <w:szCs w:val="24"/>
        </w:rPr>
      </w:pPr>
      <w:r>
        <w:rPr>
          <w:sz w:val="24"/>
          <w:szCs w:val="24"/>
        </w:rPr>
        <w:t xml:space="preserve">B was calculated using weekly returns from 2009-2018 of Nestle and SENSEX. The formula used was </w:t>
      </w:r>
      <w:proofErr w:type="gramStart"/>
      <w:r>
        <w:rPr>
          <w:sz w:val="24"/>
          <w:szCs w:val="24"/>
        </w:rPr>
        <w:t>Covariance(</w:t>
      </w:r>
      <w:proofErr w:type="gramEnd"/>
      <w:r>
        <w:rPr>
          <w:sz w:val="24"/>
          <w:szCs w:val="24"/>
        </w:rPr>
        <w:t>Nestle, SENSEX)/Variance(SENSEX)</w:t>
      </w:r>
      <w:r w:rsidR="00405E56">
        <w:rPr>
          <w:sz w:val="24"/>
          <w:szCs w:val="24"/>
        </w:rPr>
        <w:t xml:space="preserve">. </w:t>
      </w:r>
      <w:proofErr w:type="gramStart"/>
      <w:r w:rsidR="00405E56">
        <w:rPr>
          <w:sz w:val="24"/>
          <w:szCs w:val="24"/>
        </w:rPr>
        <w:t xml:space="preserve">Which came out to be </w:t>
      </w:r>
      <w:r w:rsidR="00405E56" w:rsidRPr="00405E56">
        <w:rPr>
          <w:b/>
          <w:bCs/>
          <w:sz w:val="24"/>
          <w:szCs w:val="24"/>
        </w:rPr>
        <w:t>0.65</w:t>
      </w:r>
      <w:proofErr w:type="gramEnd"/>
    </w:p>
    <w:p w:rsidR="00DD13C0" w:rsidRDefault="00DD13C0" w:rsidP="00DD13C0">
      <w:pPr>
        <w:rPr>
          <w:sz w:val="24"/>
          <w:szCs w:val="24"/>
        </w:rPr>
      </w:pPr>
      <w:r>
        <w:rPr>
          <w:sz w:val="24"/>
          <w:szCs w:val="24"/>
        </w:rPr>
        <w:lastRenderedPageBreak/>
        <w:t>Rm was calculated using SENSEX as benchmark index and the formula</w:t>
      </w:r>
    </w:p>
    <w:p w:rsidR="00405E56" w:rsidRDefault="00DD13C0" w:rsidP="00DD13C0">
      <w:pPr>
        <w:rPr>
          <w:sz w:val="24"/>
          <w:szCs w:val="24"/>
        </w:rPr>
      </w:pPr>
      <w:proofErr w:type="spellStart"/>
      <w:r>
        <w:rPr>
          <w:sz w:val="24"/>
          <w:szCs w:val="24"/>
        </w:rPr>
        <w:t>Rf</w:t>
      </w:r>
      <w:proofErr w:type="spellEnd"/>
      <w:r>
        <w:rPr>
          <w:sz w:val="24"/>
          <w:szCs w:val="24"/>
        </w:rPr>
        <w:t xml:space="preserve">= </w:t>
      </w:r>
      <w:proofErr w:type="gramStart"/>
      <w:r>
        <w:rPr>
          <w:sz w:val="24"/>
          <w:szCs w:val="24"/>
        </w:rPr>
        <w:t>[ Index</w:t>
      </w:r>
      <w:proofErr w:type="gramEnd"/>
      <w:r>
        <w:rPr>
          <w:sz w:val="24"/>
          <w:szCs w:val="24"/>
        </w:rPr>
        <w:t xml:space="preserve">(2018)/Index(2009) ]^(1/9) -1     </w:t>
      </w:r>
    </w:p>
    <w:p w:rsidR="00DD13C0" w:rsidRPr="00405E56" w:rsidRDefault="00405E56" w:rsidP="00DD13C0">
      <w:pPr>
        <w:rPr>
          <w:sz w:val="24"/>
          <w:szCs w:val="24"/>
        </w:rPr>
      </w:pPr>
      <w:proofErr w:type="spellStart"/>
      <w:proofErr w:type="gramStart"/>
      <w:r w:rsidRPr="00405E56">
        <w:rPr>
          <w:sz w:val="24"/>
          <w:szCs w:val="24"/>
        </w:rPr>
        <w:t>Rf</w:t>
      </w:r>
      <w:proofErr w:type="spellEnd"/>
      <w:proofErr w:type="gramEnd"/>
      <w:r w:rsidRPr="00405E56">
        <w:rPr>
          <w:sz w:val="24"/>
          <w:szCs w:val="24"/>
        </w:rPr>
        <w:t>= 14.4%</w:t>
      </w:r>
      <w:r w:rsidR="00DD13C0" w:rsidRPr="00405E56">
        <w:rPr>
          <w:sz w:val="24"/>
          <w:szCs w:val="24"/>
        </w:rPr>
        <w:t xml:space="preserve">        </w:t>
      </w:r>
    </w:p>
    <w:p w:rsidR="00405E56" w:rsidRDefault="00405E56" w:rsidP="00DD13C0">
      <w:pPr>
        <w:rPr>
          <w:b/>
          <w:bCs/>
          <w:sz w:val="24"/>
          <w:szCs w:val="24"/>
        </w:rPr>
      </w:pPr>
      <w:proofErr w:type="spellStart"/>
      <w:r>
        <w:rPr>
          <w:b/>
          <w:bCs/>
          <w:sz w:val="24"/>
          <w:szCs w:val="24"/>
        </w:rPr>
        <w:t>Ke</w:t>
      </w:r>
      <w:proofErr w:type="spellEnd"/>
      <w:r>
        <w:rPr>
          <w:b/>
          <w:bCs/>
          <w:sz w:val="24"/>
          <w:szCs w:val="24"/>
        </w:rPr>
        <w:t xml:space="preserve"> = 14.4 + 0.65*(14.4-6</w:t>
      </w:r>
      <w:proofErr w:type="gramStart"/>
      <w:r>
        <w:rPr>
          <w:b/>
          <w:bCs/>
          <w:sz w:val="24"/>
          <w:szCs w:val="24"/>
        </w:rPr>
        <w:t>,5</w:t>
      </w:r>
      <w:proofErr w:type="gramEnd"/>
      <w:r>
        <w:rPr>
          <w:b/>
          <w:bCs/>
          <w:sz w:val="24"/>
          <w:szCs w:val="24"/>
        </w:rPr>
        <w:t>)</w:t>
      </w:r>
    </w:p>
    <w:p w:rsidR="00405E56" w:rsidRDefault="00405E56" w:rsidP="00DD13C0">
      <w:pPr>
        <w:rPr>
          <w:b/>
          <w:bCs/>
          <w:sz w:val="24"/>
          <w:szCs w:val="24"/>
        </w:rPr>
      </w:pPr>
      <w:proofErr w:type="spellStart"/>
      <w:r>
        <w:rPr>
          <w:b/>
          <w:bCs/>
          <w:sz w:val="24"/>
          <w:szCs w:val="24"/>
        </w:rPr>
        <w:t>Ke</w:t>
      </w:r>
      <w:proofErr w:type="spellEnd"/>
      <w:r>
        <w:rPr>
          <w:b/>
          <w:bCs/>
          <w:sz w:val="24"/>
          <w:szCs w:val="24"/>
        </w:rPr>
        <w:t xml:space="preserve"> = 11.6%</w:t>
      </w:r>
    </w:p>
    <w:p w:rsidR="00405E56" w:rsidRDefault="00405E56" w:rsidP="00DD13C0">
      <w:pPr>
        <w:rPr>
          <w:b/>
          <w:bCs/>
          <w:sz w:val="24"/>
          <w:szCs w:val="24"/>
        </w:rPr>
      </w:pPr>
    </w:p>
    <w:p w:rsidR="00405E56" w:rsidRDefault="00405E56" w:rsidP="00405E56">
      <w:pPr>
        <w:pStyle w:val="ListParagraph"/>
        <w:numPr>
          <w:ilvl w:val="0"/>
          <w:numId w:val="5"/>
        </w:numPr>
        <w:rPr>
          <w:b/>
          <w:bCs/>
          <w:sz w:val="24"/>
          <w:szCs w:val="24"/>
        </w:rPr>
      </w:pPr>
      <w:r>
        <w:rPr>
          <w:b/>
          <w:bCs/>
          <w:sz w:val="24"/>
          <w:szCs w:val="24"/>
        </w:rPr>
        <w:t>Cost of Debt</w:t>
      </w:r>
    </w:p>
    <w:p w:rsidR="00405E56" w:rsidRPr="00405E56" w:rsidRDefault="00405E56" w:rsidP="00405E56">
      <w:pPr>
        <w:rPr>
          <w:sz w:val="24"/>
          <w:szCs w:val="24"/>
        </w:rPr>
      </w:pPr>
      <w:proofErr w:type="spellStart"/>
      <w:proofErr w:type="gramStart"/>
      <w:r w:rsidRPr="00405E56">
        <w:rPr>
          <w:sz w:val="24"/>
          <w:szCs w:val="24"/>
        </w:rPr>
        <w:t>Kd</w:t>
      </w:r>
      <w:proofErr w:type="spellEnd"/>
      <w:proofErr w:type="gramEnd"/>
      <w:r w:rsidRPr="00405E56">
        <w:rPr>
          <w:sz w:val="24"/>
          <w:szCs w:val="24"/>
        </w:rPr>
        <w:t xml:space="preserve"> = Interest Paid/ Long-term debt</w:t>
      </w:r>
    </w:p>
    <w:p w:rsidR="00405E56" w:rsidRPr="00405E56" w:rsidRDefault="00405E56" w:rsidP="00405E56">
      <w:pPr>
        <w:rPr>
          <w:b/>
          <w:bCs/>
          <w:sz w:val="24"/>
          <w:szCs w:val="24"/>
        </w:rPr>
      </w:pPr>
      <w:r>
        <w:rPr>
          <w:b/>
          <w:bCs/>
          <w:sz w:val="24"/>
          <w:szCs w:val="24"/>
        </w:rPr>
        <w:tab/>
      </w:r>
      <w:proofErr w:type="spellStart"/>
      <w:proofErr w:type="gramStart"/>
      <w:r>
        <w:rPr>
          <w:b/>
          <w:bCs/>
          <w:sz w:val="24"/>
          <w:szCs w:val="24"/>
        </w:rPr>
        <w:t>Kd</w:t>
      </w:r>
      <w:proofErr w:type="spellEnd"/>
      <w:proofErr w:type="gramEnd"/>
      <w:r>
        <w:rPr>
          <w:b/>
          <w:bCs/>
          <w:sz w:val="24"/>
          <w:szCs w:val="24"/>
        </w:rPr>
        <w:t xml:space="preserve"> </w:t>
      </w:r>
      <w:r w:rsidR="00B373D9">
        <w:rPr>
          <w:b/>
          <w:bCs/>
          <w:sz w:val="24"/>
          <w:szCs w:val="24"/>
        </w:rPr>
        <w:t>= 3.3</w:t>
      </w:r>
    </w:p>
    <w:p w:rsidR="00405E56" w:rsidRDefault="00DD13C0" w:rsidP="00DD13C0">
      <w:pPr>
        <w:rPr>
          <w:sz w:val="24"/>
          <w:szCs w:val="24"/>
        </w:rPr>
      </w:pPr>
      <w:r>
        <w:rPr>
          <w:sz w:val="24"/>
          <w:szCs w:val="24"/>
        </w:rPr>
        <w:tab/>
      </w:r>
    </w:p>
    <w:p w:rsidR="00405E56" w:rsidRDefault="00405E56" w:rsidP="00405E56">
      <w:pPr>
        <w:rPr>
          <w:b/>
          <w:bCs/>
          <w:sz w:val="24"/>
          <w:szCs w:val="24"/>
        </w:rPr>
      </w:pPr>
      <w:r w:rsidRPr="00405E56">
        <w:rPr>
          <w:b/>
          <w:bCs/>
          <w:sz w:val="24"/>
          <w:szCs w:val="24"/>
        </w:rPr>
        <w:t>WACC</w:t>
      </w:r>
      <w:r>
        <w:rPr>
          <w:b/>
          <w:bCs/>
          <w:sz w:val="24"/>
          <w:szCs w:val="24"/>
        </w:rPr>
        <w:tab/>
        <w:t xml:space="preserve">= </w:t>
      </w:r>
      <w:proofErr w:type="spellStart"/>
      <w:r>
        <w:rPr>
          <w:b/>
          <w:bCs/>
          <w:sz w:val="24"/>
          <w:szCs w:val="24"/>
        </w:rPr>
        <w:t>kd</w:t>
      </w:r>
      <w:proofErr w:type="spellEnd"/>
      <w:r>
        <w:rPr>
          <w:b/>
          <w:bCs/>
          <w:sz w:val="24"/>
          <w:szCs w:val="24"/>
        </w:rPr>
        <w:t xml:space="preserve">*(Debt/Total Capital) + </w:t>
      </w:r>
      <w:proofErr w:type="spellStart"/>
      <w:r>
        <w:rPr>
          <w:b/>
          <w:bCs/>
          <w:sz w:val="24"/>
          <w:szCs w:val="24"/>
        </w:rPr>
        <w:t>ke</w:t>
      </w:r>
      <w:proofErr w:type="spellEnd"/>
      <w:r>
        <w:rPr>
          <w:b/>
          <w:bCs/>
          <w:sz w:val="24"/>
          <w:szCs w:val="24"/>
        </w:rPr>
        <w:t>*</w:t>
      </w:r>
      <w:proofErr w:type="gramStart"/>
      <w:r>
        <w:rPr>
          <w:b/>
          <w:bCs/>
          <w:sz w:val="24"/>
          <w:szCs w:val="24"/>
        </w:rPr>
        <w:t>( Equity</w:t>
      </w:r>
      <w:proofErr w:type="gramEnd"/>
      <w:r>
        <w:rPr>
          <w:b/>
          <w:bCs/>
          <w:sz w:val="24"/>
          <w:szCs w:val="24"/>
        </w:rPr>
        <w:t>/Total Capital)</w:t>
      </w:r>
    </w:p>
    <w:p w:rsidR="00A84585" w:rsidRDefault="00405E56" w:rsidP="00405E56">
      <w:pPr>
        <w:rPr>
          <w:sz w:val="24"/>
          <w:szCs w:val="24"/>
        </w:rPr>
      </w:pPr>
      <w:r>
        <w:rPr>
          <w:b/>
          <w:bCs/>
          <w:sz w:val="24"/>
          <w:szCs w:val="24"/>
        </w:rPr>
        <w:t>WACC = 11.7%</w:t>
      </w:r>
      <w:r w:rsidR="00DD13C0" w:rsidRPr="00405E56">
        <w:rPr>
          <w:sz w:val="24"/>
          <w:szCs w:val="24"/>
        </w:rPr>
        <w:t xml:space="preserve">     </w:t>
      </w:r>
    </w:p>
    <w:p w:rsidR="00A84585" w:rsidRDefault="00A84585" w:rsidP="00405E56">
      <w:pPr>
        <w:rPr>
          <w:sz w:val="24"/>
          <w:szCs w:val="24"/>
        </w:rPr>
      </w:pPr>
    </w:p>
    <w:p w:rsidR="00A84585" w:rsidRDefault="009D6332" w:rsidP="00405E56">
      <w:pPr>
        <w:rPr>
          <w:b/>
          <w:bCs/>
          <w:sz w:val="32"/>
          <w:szCs w:val="32"/>
          <w:u w:val="single"/>
        </w:rPr>
      </w:pPr>
      <w:r w:rsidRPr="00A84585">
        <w:rPr>
          <w:b/>
          <w:bCs/>
          <w:sz w:val="32"/>
          <w:szCs w:val="32"/>
          <w:u w:val="single"/>
        </w:rPr>
        <w:t xml:space="preserve">Present Value </w:t>
      </w:r>
      <w:proofErr w:type="gramStart"/>
      <w:r w:rsidRPr="00A84585">
        <w:rPr>
          <w:b/>
          <w:bCs/>
          <w:sz w:val="32"/>
          <w:szCs w:val="32"/>
          <w:u w:val="single"/>
        </w:rPr>
        <w:t>Of</w:t>
      </w:r>
      <w:proofErr w:type="gramEnd"/>
      <w:r w:rsidRPr="00A84585">
        <w:rPr>
          <w:b/>
          <w:bCs/>
          <w:sz w:val="32"/>
          <w:szCs w:val="32"/>
          <w:u w:val="single"/>
        </w:rPr>
        <w:t xml:space="preserve"> Free Cash Flow   </w:t>
      </w:r>
    </w:p>
    <w:tbl>
      <w:tblPr>
        <w:tblW w:w="10674" w:type="dxa"/>
        <w:jc w:val="center"/>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1053"/>
        <w:gridCol w:w="1053"/>
        <w:gridCol w:w="1387"/>
        <w:gridCol w:w="1053"/>
        <w:gridCol w:w="1053"/>
        <w:gridCol w:w="1053"/>
        <w:gridCol w:w="1053"/>
        <w:gridCol w:w="1053"/>
      </w:tblGrid>
      <w:tr w:rsidR="00A84585" w:rsidRPr="00A84585" w:rsidTr="00195911">
        <w:trPr>
          <w:trHeight w:val="300"/>
          <w:jc w:val="center"/>
        </w:trPr>
        <w:tc>
          <w:tcPr>
            <w:tcW w:w="191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FCF</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16890.98</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18283.04</w:t>
            </w:r>
          </w:p>
        </w:tc>
        <w:tc>
          <w:tcPr>
            <w:tcW w:w="1387"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12749.7049</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12035.82</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12992.91</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14051.45</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15222.2</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16517.05</w:t>
            </w:r>
          </w:p>
        </w:tc>
      </w:tr>
      <w:tr w:rsidR="00A84585" w:rsidRPr="00A84585" w:rsidTr="00195911">
        <w:trPr>
          <w:trHeight w:val="300"/>
          <w:jc w:val="center"/>
        </w:trPr>
        <w:tc>
          <w:tcPr>
            <w:tcW w:w="191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WACC</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11.70%</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11.70%</w:t>
            </w:r>
          </w:p>
        </w:tc>
        <w:tc>
          <w:tcPr>
            <w:tcW w:w="1387"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11.70%</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11.70%</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11.70%</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11.70%</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11.70%</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11.70%</w:t>
            </w:r>
          </w:p>
        </w:tc>
      </w:tr>
      <w:tr w:rsidR="00A84585" w:rsidRPr="00A84585" w:rsidTr="00195911">
        <w:trPr>
          <w:trHeight w:val="300"/>
          <w:jc w:val="center"/>
        </w:trPr>
        <w:tc>
          <w:tcPr>
            <w:tcW w:w="191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1.117</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1.247689</w:t>
            </w:r>
          </w:p>
        </w:tc>
        <w:tc>
          <w:tcPr>
            <w:tcW w:w="1387"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1.393668613</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1.556728</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1.738865</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1.942312</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2.169563</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2.423402</w:t>
            </w:r>
          </w:p>
        </w:tc>
      </w:tr>
      <w:tr w:rsidR="00A84585" w:rsidRPr="00A84585" w:rsidTr="00195911">
        <w:trPr>
          <w:trHeight w:val="300"/>
          <w:jc w:val="center"/>
        </w:trPr>
        <w:tc>
          <w:tcPr>
            <w:tcW w:w="191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Disc factor</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0.895255</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0.801482</w:t>
            </w:r>
          </w:p>
        </w:tc>
        <w:tc>
          <w:tcPr>
            <w:tcW w:w="1387"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0.717530689</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0.642373</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0.575088</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0.51485</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0.460922</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0.412643</w:t>
            </w:r>
          </w:p>
        </w:tc>
      </w:tr>
      <w:tr w:rsidR="00A84585" w:rsidRPr="00A84585" w:rsidTr="00195911">
        <w:trPr>
          <w:trHeight w:val="300"/>
          <w:jc w:val="center"/>
        </w:trPr>
        <w:tc>
          <w:tcPr>
            <w:tcW w:w="191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FCF (post disc)</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15121.74</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14653.52</w:t>
            </w:r>
          </w:p>
        </w:tc>
        <w:tc>
          <w:tcPr>
            <w:tcW w:w="1387"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9148.304543</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7731.487</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7472.064</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7234.394</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7016.252</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6815.645</w:t>
            </w:r>
          </w:p>
        </w:tc>
      </w:tr>
    </w:tbl>
    <w:p w:rsidR="00A84585" w:rsidRDefault="00DD13C0" w:rsidP="00405E56">
      <w:pPr>
        <w:rPr>
          <w:b/>
          <w:bCs/>
          <w:sz w:val="32"/>
          <w:szCs w:val="32"/>
          <w:u w:val="single"/>
        </w:rPr>
      </w:pPr>
      <w:r w:rsidRPr="00A84585">
        <w:rPr>
          <w:b/>
          <w:bCs/>
          <w:sz w:val="32"/>
          <w:szCs w:val="32"/>
          <w:u w:val="single"/>
        </w:rPr>
        <w:t xml:space="preserve">     </w:t>
      </w:r>
    </w:p>
    <w:tbl>
      <w:tblPr>
        <w:tblW w:w="497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6"/>
        <w:gridCol w:w="1053"/>
        <w:gridCol w:w="1778"/>
      </w:tblGrid>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Sum of PV of FCF</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75193.41</w:t>
            </w: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 xml:space="preserve">(in million </w:t>
            </w:r>
            <w:proofErr w:type="spellStart"/>
            <w:r>
              <w:rPr>
                <w:rFonts w:ascii="Calibri" w:eastAsia="Times New Roman" w:hAnsi="Calibri" w:cs="Times New Roman"/>
                <w:color w:val="000000"/>
                <w:szCs w:val="22"/>
                <w:lang w:eastAsia="en-IN"/>
              </w:rPr>
              <w:t>Rs</w:t>
            </w:r>
            <w:proofErr w:type="spellEnd"/>
            <w:r>
              <w:rPr>
                <w:rFonts w:ascii="Calibri" w:eastAsia="Times New Roman" w:hAnsi="Calibri" w:cs="Times New Roman"/>
                <w:color w:val="000000"/>
                <w:szCs w:val="22"/>
                <w:lang w:eastAsia="en-IN"/>
              </w:rPr>
              <w:t>)</w:t>
            </w: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Terminal Value</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1660714</w:t>
            </w: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 xml:space="preserve">(in million </w:t>
            </w:r>
            <w:proofErr w:type="spellStart"/>
            <w:r>
              <w:rPr>
                <w:rFonts w:ascii="Calibri" w:eastAsia="Times New Roman" w:hAnsi="Calibri" w:cs="Times New Roman"/>
                <w:color w:val="000000"/>
                <w:szCs w:val="22"/>
                <w:lang w:eastAsia="en-IN"/>
              </w:rPr>
              <w:t>Rs</w:t>
            </w:r>
            <w:proofErr w:type="spellEnd"/>
            <w:r>
              <w:rPr>
                <w:rFonts w:ascii="Calibri" w:eastAsia="Times New Roman" w:hAnsi="Calibri" w:cs="Times New Roman"/>
                <w:color w:val="000000"/>
                <w:szCs w:val="22"/>
                <w:lang w:eastAsia="en-IN"/>
              </w:rPr>
              <w:t>)</w:t>
            </w: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PV of Terminal Value</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685282.1</w:t>
            </w: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 xml:space="preserve">(in million </w:t>
            </w:r>
            <w:proofErr w:type="spellStart"/>
            <w:r>
              <w:rPr>
                <w:rFonts w:ascii="Calibri" w:eastAsia="Times New Roman" w:hAnsi="Calibri" w:cs="Times New Roman"/>
                <w:color w:val="000000"/>
                <w:szCs w:val="22"/>
                <w:lang w:eastAsia="en-IN"/>
              </w:rPr>
              <w:t>Rs</w:t>
            </w:r>
            <w:proofErr w:type="spellEnd"/>
            <w:r>
              <w:rPr>
                <w:rFonts w:ascii="Calibri" w:eastAsia="Times New Roman" w:hAnsi="Calibri" w:cs="Times New Roman"/>
                <w:color w:val="000000"/>
                <w:szCs w:val="22"/>
                <w:lang w:eastAsia="en-IN"/>
              </w:rPr>
              <w:t>)</w:t>
            </w: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p>
        </w:tc>
        <w:tc>
          <w:tcPr>
            <w:tcW w:w="1053"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color w:val="000000"/>
                <w:szCs w:val="22"/>
                <w:lang w:eastAsia="en-IN"/>
              </w:rPr>
            </w:pP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Enterprise Value</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7,60,476</w:t>
            </w: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 xml:space="preserve">(in million </w:t>
            </w:r>
            <w:proofErr w:type="spellStart"/>
            <w:r>
              <w:rPr>
                <w:rFonts w:ascii="Calibri" w:eastAsia="Times New Roman" w:hAnsi="Calibri" w:cs="Times New Roman"/>
                <w:color w:val="000000"/>
                <w:szCs w:val="22"/>
                <w:lang w:eastAsia="en-IN"/>
              </w:rPr>
              <w:t>Rs</w:t>
            </w:r>
            <w:proofErr w:type="spellEnd"/>
            <w:r>
              <w:rPr>
                <w:rFonts w:ascii="Calibri" w:eastAsia="Times New Roman" w:hAnsi="Calibri" w:cs="Times New Roman"/>
                <w:color w:val="000000"/>
                <w:szCs w:val="22"/>
                <w:lang w:eastAsia="en-IN"/>
              </w:rPr>
              <w:t>)</w:t>
            </w: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Debt</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351.4</w:t>
            </w: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 xml:space="preserve">(in million </w:t>
            </w:r>
            <w:proofErr w:type="spellStart"/>
            <w:r>
              <w:rPr>
                <w:rFonts w:ascii="Calibri" w:eastAsia="Times New Roman" w:hAnsi="Calibri" w:cs="Times New Roman"/>
                <w:color w:val="000000"/>
                <w:szCs w:val="22"/>
                <w:lang w:eastAsia="en-IN"/>
              </w:rPr>
              <w:t>Rs</w:t>
            </w:r>
            <w:proofErr w:type="spellEnd"/>
            <w:r>
              <w:rPr>
                <w:rFonts w:ascii="Calibri" w:eastAsia="Times New Roman" w:hAnsi="Calibri" w:cs="Times New Roman"/>
                <w:color w:val="000000"/>
                <w:szCs w:val="22"/>
                <w:lang w:eastAsia="en-IN"/>
              </w:rPr>
              <w:t>)</w:t>
            </w: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 xml:space="preserve">Value to Equity </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7,60,124</w:t>
            </w: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 xml:space="preserve">(in million </w:t>
            </w:r>
            <w:proofErr w:type="spellStart"/>
            <w:r>
              <w:rPr>
                <w:rFonts w:ascii="Calibri" w:eastAsia="Times New Roman" w:hAnsi="Calibri" w:cs="Times New Roman"/>
                <w:color w:val="000000"/>
                <w:szCs w:val="22"/>
                <w:lang w:eastAsia="en-IN"/>
              </w:rPr>
              <w:t>Rs</w:t>
            </w:r>
            <w:proofErr w:type="spellEnd"/>
            <w:r>
              <w:rPr>
                <w:rFonts w:ascii="Calibri" w:eastAsia="Times New Roman" w:hAnsi="Calibri" w:cs="Times New Roman"/>
                <w:color w:val="000000"/>
                <w:szCs w:val="22"/>
                <w:lang w:eastAsia="en-IN"/>
              </w:rPr>
              <w:t>)</w:t>
            </w: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p>
        </w:tc>
        <w:tc>
          <w:tcPr>
            <w:tcW w:w="1053"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color w:val="000000"/>
                <w:szCs w:val="22"/>
                <w:lang w:eastAsia="en-IN"/>
              </w:rPr>
            </w:pP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No. of Shares</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96.42</w:t>
            </w: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(in million )</w:t>
            </w: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p>
        </w:tc>
        <w:tc>
          <w:tcPr>
            <w:tcW w:w="1053"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color w:val="000000"/>
                <w:szCs w:val="22"/>
                <w:lang w:eastAsia="en-IN"/>
              </w:rPr>
            </w:pP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Intrinsic Value of Share</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7883.47</w:t>
            </w: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 xml:space="preserve">(in </w:t>
            </w:r>
            <w:proofErr w:type="spellStart"/>
            <w:r>
              <w:rPr>
                <w:rFonts w:ascii="Calibri" w:eastAsia="Times New Roman" w:hAnsi="Calibri" w:cs="Times New Roman"/>
                <w:color w:val="000000"/>
                <w:szCs w:val="22"/>
                <w:lang w:eastAsia="en-IN"/>
              </w:rPr>
              <w:t>Rs</w:t>
            </w:r>
            <w:proofErr w:type="spellEnd"/>
            <w:r>
              <w:rPr>
                <w:rFonts w:ascii="Calibri" w:eastAsia="Times New Roman" w:hAnsi="Calibri" w:cs="Times New Roman"/>
                <w:color w:val="000000"/>
                <w:szCs w:val="22"/>
                <w:lang w:eastAsia="en-IN"/>
              </w:rPr>
              <w:t>)</w:t>
            </w:r>
          </w:p>
        </w:tc>
      </w:tr>
      <w:tr w:rsidR="00A84585" w:rsidRPr="00A84585" w:rsidTr="00A84585">
        <w:trPr>
          <w:trHeight w:val="300"/>
        </w:trPr>
        <w:tc>
          <w:tcPr>
            <w:tcW w:w="2146" w:type="dxa"/>
            <w:shd w:val="clear" w:color="auto" w:fill="auto"/>
            <w:noWrap/>
            <w:vAlign w:val="bottom"/>
            <w:hideMark/>
          </w:tcPr>
          <w:p w:rsidR="00A84585" w:rsidRPr="00A84585" w:rsidRDefault="00A84585" w:rsidP="00A84585">
            <w:pPr>
              <w:spacing w:after="0" w:line="240" w:lineRule="auto"/>
              <w:rPr>
                <w:rFonts w:ascii="Calibri" w:eastAsia="Times New Roman" w:hAnsi="Calibri" w:cs="Times New Roman"/>
                <w:b/>
                <w:bCs/>
                <w:color w:val="000000"/>
                <w:szCs w:val="22"/>
                <w:lang w:eastAsia="en-IN"/>
              </w:rPr>
            </w:pPr>
            <w:r w:rsidRPr="00A84585">
              <w:rPr>
                <w:rFonts w:ascii="Calibri" w:eastAsia="Times New Roman" w:hAnsi="Calibri" w:cs="Times New Roman"/>
                <w:b/>
                <w:bCs/>
                <w:color w:val="000000"/>
                <w:szCs w:val="22"/>
                <w:lang w:eastAsia="en-IN"/>
              </w:rPr>
              <w:t>Value in march 2019</w:t>
            </w:r>
          </w:p>
        </w:tc>
        <w:tc>
          <w:tcPr>
            <w:tcW w:w="1053" w:type="dxa"/>
            <w:shd w:val="clear" w:color="auto" w:fill="auto"/>
            <w:noWrap/>
            <w:vAlign w:val="bottom"/>
            <w:hideMark/>
          </w:tcPr>
          <w:p w:rsidR="00A84585" w:rsidRPr="00A84585" w:rsidRDefault="00A84585" w:rsidP="00A84585">
            <w:pPr>
              <w:spacing w:after="0" w:line="240" w:lineRule="auto"/>
              <w:jc w:val="right"/>
              <w:rPr>
                <w:rFonts w:ascii="Calibri" w:eastAsia="Times New Roman" w:hAnsi="Calibri" w:cs="Times New Roman"/>
                <w:color w:val="000000"/>
                <w:szCs w:val="22"/>
                <w:lang w:eastAsia="en-IN"/>
              </w:rPr>
            </w:pPr>
            <w:r w:rsidRPr="00A84585">
              <w:rPr>
                <w:rFonts w:ascii="Calibri" w:eastAsia="Times New Roman" w:hAnsi="Calibri" w:cs="Times New Roman"/>
                <w:color w:val="000000"/>
                <w:szCs w:val="22"/>
                <w:lang w:eastAsia="en-IN"/>
              </w:rPr>
              <w:t>10029</w:t>
            </w:r>
          </w:p>
        </w:tc>
        <w:tc>
          <w:tcPr>
            <w:tcW w:w="1778" w:type="dxa"/>
          </w:tcPr>
          <w:p w:rsidR="00A84585" w:rsidRPr="00A84585" w:rsidRDefault="00A84585" w:rsidP="00A84585">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 xml:space="preserve">(in </w:t>
            </w:r>
            <w:proofErr w:type="spellStart"/>
            <w:r>
              <w:rPr>
                <w:rFonts w:ascii="Calibri" w:eastAsia="Times New Roman" w:hAnsi="Calibri" w:cs="Times New Roman"/>
                <w:color w:val="000000"/>
                <w:szCs w:val="22"/>
                <w:lang w:eastAsia="en-IN"/>
              </w:rPr>
              <w:t>Rs</w:t>
            </w:r>
            <w:proofErr w:type="spellEnd"/>
            <w:r>
              <w:rPr>
                <w:rFonts w:ascii="Calibri" w:eastAsia="Times New Roman" w:hAnsi="Calibri" w:cs="Times New Roman"/>
                <w:color w:val="000000"/>
                <w:szCs w:val="22"/>
                <w:lang w:eastAsia="en-IN"/>
              </w:rPr>
              <w:t>)</w:t>
            </w:r>
          </w:p>
        </w:tc>
      </w:tr>
    </w:tbl>
    <w:p w:rsidR="00766FF2" w:rsidRPr="00766FF2" w:rsidRDefault="00766FF2" w:rsidP="00766FF2">
      <w:pPr>
        <w:pStyle w:val="Body"/>
        <w:rPr>
          <w:rFonts w:asciiTheme="minorHAnsi" w:hAnsiTheme="minorHAnsi"/>
          <w:b/>
          <w:bCs/>
          <w:caps/>
          <w:sz w:val="40"/>
          <w:szCs w:val="40"/>
        </w:rPr>
      </w:pPr>
      <w:r w:rsidRPr="00766FF2">
        <w:rPr>
          <w:rFonts w:asciiTheme="minorHAnsi" w:hAnsiTheme="minorHAnsi"/>
          <w:b/>
          <w:bCs/>
          <w:caps/>
          <w:sz w:val="40"/>
          <w:szCs w:val="40"/>
        </w:rPr>
        <w:lastRenderedPageBreak/>
        <w:t>Q2 Ratio Analysis</w:t>
      </w:r>
    </w:p>
    <w:p w:rsidR="00766FF2" w:rsidRPr="00766FF2" w:rsidRDefault="00766FF2" w:rsidP="00766FF2">
      <w:pPr>
        <w:pStyle w:val="Body"/>
        <w:rPr>
          <w:rFonts w:asciiTheme="minorHAnsi" w:hAnsiTheme="minorHAnsi"/>
          <w:b/>
          <w:bCs/>
          <w:sz w:val="26"/>
          <w:szCs w:val="26"/>
        </w:rPr>
      </w:pPr>
    </w:p>
    <w:p w:rsidR="00766FF2" w:rsidRPr="00766FF2" w:rsidRDefault="00766FF2" w:rsidP="00766FF2">
      <w:pPr>
        <w:pStyle w:val="Body"/>
        <w:rPr>
          <w:rFonts w:asciiTheme="minorHAnsi" w:hAnsiTheme="minorHAnsi"/>
          <w:sz w:val="26"/>
          <w:szCs w:val="26"/>
        </w:rPr>
      </w:pPr>
      <w:r w:rsidRPr="00766FF2">
        <w:rPr>
          <w:rFonts w:asciiTheme="minorHAnsi" w:hAnsiTheme="minorHAnsi"/>
          <w:sz w:val="26"/>
          <w:szCs w:val="26"/>
        </w:rPr>
        <w:t xml:space="preserve">The following ratios are calculated in order to </w:t>
      </w:r>
      <w:r w:rsidR="009D15F8" w:rsidRPr="00766FF2">
        <w:rPr>
          <w:rFonts w:asciiTheme="minorHAnsi" w:hAnsiTheme="minorHAnsi"/>
          <w:sz w:val="26"/>
          <w:szCs w:val="26"/>
        </w:rPr>
        <w:t>analyze</w:t>
      </w:r>
      <w:r w:rsidRPr="00766FF2">
        <w:rPr>
          <w:rFonts w:asciiTheme="minorHAnsi" w:hAnsiTheme="minorHAnsi"/>
          <w:sz w:val="26"/>
          <w:szCs w:val="26"/>
        </w:rPr>
        <w:t xml:space="preserve"> Nestle India’s performance and also to compare it with the rest of the companies in the industry.</w:t>
      </w:r>
    </w:p>
    <w:p w:rsidR="00766FF2" w:rsidRPr="00766FF2" w:rsidRDefault="00766FF2" w:rsidP="00766FF2">
      <w:pPr>
        <w:pStyle w:val="Body"/>
        <w:rPr>
          <w:rFonts w:asciiTheme="minorHAnsi" w:hAnsiTheme="minorHAnsi"/>
          <w:sz w:val="26"/>
          <w:szCs w:val="26"/>
        </w:rPr>
      </w:pPr>
      <w:r w:rsidRPr="00766FF2">
        <w:rPr>
          <w:rFonts w:asciiTheme="minorHAnsi" w:hAnsiTheme="minorHAnsi"/>
          <w:sz w:val="26"/>
          <w:szCs w:val="26"/>
        </w:rPr>
        <w:t>The industry average was calculated by taking an average of top 6 companies namely Nestle India, Britannia, Varun Beverages, KRBL, Tasty Bite Eatables and Heritage foods under the food industry.</w:t>
      </w:r>
    </w:p>
    <w:p w:rsidR="00766FF2" w:rsidRPr="00766FF2" w:rsidRDefault="00766FF2" w:rsidP="00766FF2">
      <w:pPr>
        <w:pStyle w:val="Body"/>
        <w:rPr>
          <w:rFonts w:asciiTheme="minorHAnsi" w:hAnsiTheme="minorHAnsi"/>
          <w:sz w:val="26"/>
          <w:szCs w:val="26"/>
        </w:rPr>
      </w:pPr>
    </w:p>
    <w:p w:rsidR="00766FF2" w:rsidRPr="00766FF2" w:rsidRDefault="00766FF2" w:rsidP="00766FF2">
      <w:pPr>
        <w:pStyle w:val="Body"/>
        <w:rPr>
          <w:rFonts w:asciiTheme="minorHAnsi" w:hAnsiTheme="minorHAnsi"/>
          <w:b/>
          <w:bCs/>
          <w:sz w:val="26"/>
          <w:szCs w:val="26"/>
        </w:rPr>
      </w:pPr>
    </w:p>
    <w:p w:rsidR="00766FF2" w:rsidRPr="00766FF2" w:rsidRDefault="00766FF2" w:rsidP="00766FF2">
      <w:pPr>
        <w:pStyle w:val="Body"/>
        <w:rPr>
          <w:rFonts w:asciiTheme="minorHAnsi" w:hAnsiTheme="minorHAnsi"/>
          <w:b/>
          <w:bCs/>
          <w:sz w:val="26"/>
          <w:szCs w:val="26"/>
        </w:rPr>
      </w:pPr>
      <w:r w:rsidRPr="00766FF2">
        <w:rPr>
          <w:rFonts w:asciiTheme="minorHAnsi" w:hAnsiTheme="minorHAnsi"/>
          <w:b/>
          <w:bCs/>
          <w:sz w:val="26"/>
          <w:szCs w:val="26"/>
        </w:rPr>
        <w:t>Current Ratio:</w:t>
      </w:r>
    </w:p>
    <w:p w:rsidR="00766FF2" w:rsidRPr="00766FF2" w:rsidRDefault="00766FF2" w:rsidP="00766FF2">
      <w:pPr>
        <w:pStyle w:val="Body"/>
        <w:rPr>
          <w:rFonts w:asciiTheme="minorHAnsi" w:hAnsiTheme="minorHAnsi"/>
          <w:sz w:val="26"/>
          <w:szCs w:val="26"/>
        </w:rPr>
      </w:pPr>
    </w:p>
    <w:p w:rsidR="00766FF2" w:rsidRPr="00766FF2" w:rsidRDefault="00766FF2" w:rsidP="00766FF2">
      <w:pPr>
        <w:pStyle w:val="Body"/>
        <w:rPr>
          <w:rFonts w:asciiTheme="minorHAnsi" w:hAnsiTheme="minorHAnsi"/>
          <w:sz w:val="26"/>
          <w:szCs w:val="26"/>
          <w:u w:val="single"/>
        </w:rPr>
      </w:pPr>
      <w:r w:rsidRPr="00766FF2">
        <w:rPr>
          <w:rFonts w:asciiTheme="minorHAnsi" w:hAnsiTheme="minorHAnsi"/>
          <w:sz w:val="26"/>
          <w:szCs w:val="26"/>
        </w:rPr>
        <w:t xml:space="preserve">Current Ratio =   </w:t>
      </w:r>
      <w:r w:rsidRPr="00766FF2">
        <w:rPr>
          <w:rFonts w:asciiTheme="minorHAnsi" w:hAnsiTheme="minorHAnsi"/>
          <w:sz w:val="26"/>
          <w:szCs w:val="26"/>
          <w:u w:val="single"/>
        </w:rPr>
        <w:t xml:space="preserve">Current Assets   </w:t>
      </w:r>
    </w:p>
    <w:p w:rsidR="00766FF2" w:rsidRPr="00766FF2" w:rsidRDefault="00766FF2" w:rsidP="00766FF2">
      <w:pPr>
        <w:pStyle w:val="Body"/>
        <w:rPr>
          <w:rFonts w:asciiTheme="minorHAnsi" w:hAnsiTheme="minorHAnsi"/>
          <w:sz w:val="26"/>
          <w:szCs w:val="26"/>
        </w:rPr>
      </w:pPr>
      <w:r w:rsidRPr="00766FF2">
        <w:rPr>
          <w:rFonts w:asciiTheme="minorHAnsi" w:hAnsiTheme="minorHAnsi"/>
          <w:sz w:val="26"/>
          <w:szCs w:val="26"/>
        </w:rPr>
        <w:t xml:space="preserve"> </w:t>
      </w:r>
      <w:r w:rsidRPr="00766FF2">
        <w:rPr>
          <w:rFonts w:asciiTheme="minorHAnsi" w:hAnsiTheme="minorHAnsi"/>
          <w:sz w:val="26"/>
          <w:szCs w:val="26"/>
        </w:rPr>
        <w:tab/>
      </w:r>
      <w:r w:rsidRPr="00766FF2">
        <w:rPr>
          <w:rFonts w:asciiTheme="minorHAnsi" w:hAnsiTheme="minorHAnsi"/>
          <w:sz w:val="26"/>
          <w:szCs w:val="26"/>
        </w:rPr>
        <w:tab/>
        <w:t xml:space="preserve">      Current Liabilities</w:t>
      </w:r>
    </w:p>
    <w:p w:rsidR="00766FF2" w:rsidRPr="00766FF2" w:rsidRDefault="00766FF2" w:rsidP="00766FF2">
      <w:pPr>
        <w:pStyle w:val="Body"/>
        <w:rPr>
          <w:rFonts w:asciiTheme="minorHAnsi" w:hAnsiTheme="minorHAnsi"/>
          <w:sz w:val="26"/>
          <w:szCs w:val="26"/>
        </w:rPr>
      </w:pPr>
    </w:p>
    <w:p w:rsidR="00766FF2" w:rsidRPr="00766FF2" w:rsidRDefault="00766FF2" w:rsidP="00766FF2">
      <w:pPr>
        <w:pStyle w:val="Body"/>
        <w:rPr>
          <w:rFonts w:asciiTheme="minorHAnsi" w:hAnsiTheme="minorHAnsi"/>
          <w:sz w:val="26"/>
          <w:szCs w:val="26"/>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This ratio reflects the number of times short-term assets cover short-term liabilities and is a fairly accurate indication of a company's ability to service its current obligations. A higher number is preferred because it indicates a strong ability to service short-term obligations. The composition of current assets is a key factor in the evaluation of this ratio. Depending on the type of business or industry, current assets may include slow-moving inventories that could potentially affect analysis of a company's liquidity.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The current ratio for Nestle India was 2.554, 2.637 and 2.402 for the years 2018, 2017 and 2016 respectively; which shows that the current ratio has been falling for the past three years. Also the current ratio was way below the industry average of 1.702, 1.669 and 1.51 for the years 2018, 2017 and 2016 respectively, </w:t>
      </w:r>
      <w:r w:rsidRPr="00766FF2">
        <w:rPr>
          <w:rFonts w:asciiTheme="minorHAnsi" w:hAnsiTheme="minorHAnsi"/>
          <w:sz w:val="26"/>
          <w:szCs w:val="26"/>
          <w:shd w:val="clear" w:color="auto" w:fill="FFFFFF"/>
          <w:lang w:val="pt-PT"/>
        </w:rPr>
        <w:t>indica</w:t>
      </w:r>
      <w:r w:rsidRPr="00766FF2">
        <w:rPr>
          <w:rFonts w:asciiTheme="minorHAnsi" w:hAnsiTheme="minorHAnsi"/>
          <w:sz w:val="26"/>
          <w:szCs w:val="26"/>
          <w:shd w:val="clear" w:color="auto" w:fill="FFFFFF"/>
        </w:rPr>
        <w:t>ting that the company's ability to service short-term obligations is satisfactory.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b/>
          <w:bCs/>
          <w:sz w:val="26"/>
          <w:szCs w:val="26"/>
          <w:shd w:val="clear" w:color="auto" w:fill="FFFFFF"/>
        </w:rPr>
      </w:pPr>
      <w:r w:rsidRPr="00766FF2">
        <w:rPr>
          <w:rFonts w:asciiTheme="minorHAnsi" w:hAnsiTheme="minorHAnsi"/>
          <w:b/>
          <w:bCs/>
          <w:sz w:val="26"/>
          <w:szCs w:val="26"/>
          <w:shd w:val="clear" w:color="auto" w:fill="FFFFFF"/>
        </w:rPr>
        <w:t>Quick Ratio:</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u w:val="single"/>
          <w:shd w:val="clear" w:color="auto" w:fill="FFFFFF"/>
        </w:rPr>
      </w:pPr>
      <w:r w:rsidRPr="00766FF2">
        <w:rPr>
          <w:rFonts w:asciiTheme="minorHAnsi" w:hAnsiTheme="minorHAnsi"/>
          <w:sz w:val="26"/>
          <w:szCs w:val="26"/>
          <w:shd w:val="clear" w:color="auto" w:fill="FFFFFF"/>
        </w:rPr>
        <w:t xml:space="preserve">Quick ratio </w:t>
      </w:r>
      <w:proofErr w:type="gramStart"/>
      <w:r w:rsidRPr="00766FF2">
        <w:rPr>
          <w:rFonts w:asciiTheme="minorHAnsi" w:hAnsiTheme="minorHAnsi"/>
          <w:sz w:val="26"/>
          <w:szCs w:val="26"/>
          <w:shd w:val="clear" w:color="auto" w:fill="FFFFFF"/>
        </w:rPr>
        <w:t xml:space="preserve">=  </w:t>
      </w:r>
      <w:r w:rsidRPr="00766FF2">
        <w:rPr>
          <w:rFonts w:asciiTheme="minorHAnsi" w:hAnsiTheme="minorHAnsi"/>
          <w:sz w:val="26"/>
          <w:szCs w:val="26"/>
          <w:u w:val="single"/>
          <w:shd w:val="clear" w:color="auto" w:fill="FFFFFF"/>
        </w:rPr>
        <w:t>Cash</w:t>
      </w:r>
      <w:proofErr w:type="gramEnd"/>
      <w:r w:rsidRPr="00766FF2">
        <w:rPr>
          <w:rFonts w:asciiTheme="minorHAnsi" w:hAnsiTheme="minorHAnsi"/>
          <w:sz w:val="26"/>
          <w:szCs w:val="26"/>
          <w:u w:val="single"/>
          <w:shd w:val="clear" w:color="auto" w:fill="FFFFFF"/>
        </w:rPr>
        <w:t xml:space="preserve"> + Marketable Securities + Accounts Receivable</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Current Liabilities</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This ratio, also known as the acid test ratio, measures immediate liquidity - the number of times cash, accounts receivable, and marketable securities cover short-term obligations. A higher number is preferred because it suggests a company has a strong ability to service short-term obligations. This ratio is a more reliable variation of the Current ratio because inventory, prepaid expenses, and other less liquid current assets are removed from the calculation. </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lastRenderedPageBreak/>
        <w:t xml:space="preserve">The quick ratio for Nestle India was 2.0331, 2.0331 and 2.402 for the years 2018, 2017 and 2016 respectively; which shows that the quick ratio has been increasing for the past three years. Also the quick ratio was way below the industry average of 0.967, 0.967 and 0.884 for the years 2018, 2017 and 2016 respectively, </w:t>
      </w:r>
      <w:r w:rsidRPr="00766FF2">
        <w:rPr>
          <w:rFonts w:asciiTheme="minorHAnsi" w:hAnsiTheme="minorHAnsi"/>
          <w:sz w:val="26"/>
          <w:szCs w:val="26"/>
          <w:shd w:val="clear" w:color="auto" w:fill="FFFFFF"/>
          <w:lang w:val="pt-PT"/>
        </w:rPr>
        <w:t>indica</w:t>
      </w:r>
      <w:r w:rsidRPr="00766FF2">
        <w:rPr>
          <w:rFonts w:asciiTheme="minorHAnsi" w:hAnsiTheme="minorHAnsi"/>
          <w:sz w:val="26"/>
          <w:szCs w:val="26"/>
          <w:shd w:val="clear" w:color="auto" w:fill="FFFFFF"/>
        </w:rPr>
        <w:t>ting that the company's ability to service short-term obligations is above satisfactory.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b/>
          <w:bCs/>
          <w:sz w:val="26"/>
          <w:szCs w:val="26"/>
          <w:shd w:val="clear" w:color="auto" w:fill="FFFFFF"/>
        </w:rPr>
      </w:pPr>
      <w:r w:rsidRPr="00766FF2">
        <w:rPr>
          <w:rFonts w:asciiTheme="minorHAnsi" w:hAnsiTheme="minorHAnsi"/>
          <w:b/>
          <w:bCs/>
          <w:sz w:val="26"/>
          <w:szCs w:val="26"/>
          <w:shd w:val="clear" w:color="auto" w:fill="FFFFFF"/>
        </w:rPr>
        <w:t>Asset Turnover Ratio:</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u w:val="single"/>
          <w:shd w:val="clear" w:color="auto" w:fill="FFFFFF"/>
        </w:rPr>
      </w:pPr>
      <w:r w:rsidRPr="00766FF2">
        <w:rPr>
          <w:rFonts w:asciiTheme="minorHAnsi" w:hAnsiTheme="minorHAnsi"/>
          <w:sz w:val="26"/>
          <w:szCs w:val="26"/>
          <w:shd w:val="clear" w:color="auto" w:fill="FFFFFF"/>
        </w:rPr>
        <w:t xml:space="preserve">Asset Turnover Ratio =  </w:t>
      </w:r>
      <w:r w:rsidRPr="00766FF2">
        <w:rPr>
          <w:rFonts w:asciiTheme="minorHAnsi" w:hAnsiTheme="minorHAnsi"/>
          <w:sz w:val="26"/>
          <w:szCs w:val="26"/>
          <w:u w:val="single"/>
          <w:shd w:val="clear" w:color="auto" w:fill="FFFFFF"/>
        </w:rPr>
        <w:t xml:space="preserve">        Sales        </w:t>
      </w:r>
      <w:r w:rsidRPr="00766FF2">
        <w:rPr>
          <w:rFonts w:asciiTheme="minorHAnsi" w:hAnsiTheme="minorHAnsi"/>
          <w:color w:val="FFFFFF"/>
          <w:sz w:val="26"/>
          <w:szCs w:val="26"/>
          <w:u w:val="single"/>
          <w:shd w:val="clear" w:color="auto" w:fill="FFFFFF"/>
        </w:rPr>
        <w:t>.</w:t>
      </w:r>
      <w:r w:rsidRPr="00766FF2">
        <w:rPr>
          <w:rFonts w:asciiTheme="minorHAnsi" w:hAnsiTheme="minorHAnsi"/>
          <w:sz w:val="26"/>
          <w:szCs w:val="26"/>
          <w:u w:val="single"/>
          <w:shd w:val="clear" w:color="auto" w:fill="FFFFFF"/>
        </w:rPr>
        <w:t xml:space="preserve">    </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 xml:space="preserve">         Average Assets</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after="240"/>
        <w:rPr>
          <w:rFonts w:asciiTheme="minorHAnsi" w:hAnsiTheme="minorHAnsi"/>
          <w:sz w:val="26"/>
          <w:szCs w:val="26"/>
          <w:shd w:val="clear" w:color="auto" w:fill="FFFFFF"/>
        </w:rPr>
      </w:pPr>
      <w:r w:rsidRPr="00766FF2">
        <w:rPr>
          <w:rFonts w:asciiTheme="minorHAnsi" w:hAnsiTheme="minorHAnsi"/>
          <w:sz w:val="26"/>
          <w:szCs w:val="26"/>
          <w:shd w:val="clear" w:color="auto" w:fill="FFFFFF"/>
        </w:rPr>
        <w:t>This ratio measures a company's ability to produce sales in relation to average assets to determine the effectiveness of the company's asset base in producing sales. A higher number is preferred, indicating that a company is using its assets to successfully generate sales.</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Asset Turnover Ratio for Nestle India is 1.462, 1.439 and 1.4692 for the years 2018, 2017 and 2016 respectively which compared to the industry average of  1.419, 1.469 and 1.651 indicates the company's performance in this area is above par and the management is effectively using its assets.</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b/>
          <w:bCs/>
          <w:sz w:val="26"/>
          <w:szCs w:val="26"/>
          <w:shd w:val="clear" w:color="auto" w:fill="FFFFFF"/>
        </w:rPr>
      </w:pPr>
      <w:r w:rsidRPr="00766FF2">
        <w:rPr>
          <w:rFonts w:asciiTheme="minorHAnsi" w:hAnsiTheme="minorHAnsi"/>
          <w:b/>
          <w:bCs/>
          <w:sz w:val="26"/>
          <w:szCs w:val="26"/>
          <w:shd w:val="clear" w:color="auto" w:fill="FFFFFF"/>
        </w:rPr>
        <w:t>Return on Equity: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Return on </w:t>
      </w:r>
      <w:proofErr w:type="gramStart"/>
      <w:r w:rsidRPr="00766FF2">
        <w:rPr>
          <w:rFonts w:asciiTheme="minorHAnsi" w:hAnsiTheme="minorHAnsi"/>
          <w:sz w:val="26"/>
          <w:szCs w:val="26"/>
          <w:shd w:val="clear" w:color="auto" w:fill="FFFFFF"/>
          <w:lang w:val="pt-PT"/>
        </w:rPr>
        <w:t>Equity</w:t>
      </w:r>
      <w:r w:rsidRPr="00766FF2">
        <w:rPr>
          <w:rFonts w:asciiTheme="minorHAnsi" w:hAnsiTheme="minorHAnsi"/>
          <w:sz w:val="26"/>
          <w:szCs w:val="26"/>
          <w:shd w:val="clear" w:color="auto" w:fill="FFFFFF"/>
        </w:rPr>
        <w:t xml:space="preserve">  =</w:t>
      </w:r>
      <w:proofErr w:type="gramEnd"/>
      <w:r w:rsidRPr="00766FF2">
        <w:rPr>
          <w:rFonts w:asciiTheme="minorHAnsi" w:hAnsiTheme="minorHAnsi"/>
          <w:sz w:val="26"/>
          <w:szCs w:val="26"/>
          <w:shd w:val="clear" w:color="auto" w:fill="FFFFFF"/>
        </w:rPr>
        <w:t xml:space="preserve">   </w:t>
      </w:r>
      <w:r w:rsidR="009D15F8" w:rsidRPr="00766FF2">
        <w:rPr>
          <w:rFonts w:asciiTheme="minorHAnsi" w:hAnsiTheme="minorHAnsi"/>
          <w:sz w:val="26"/>
          <w:szCs w:val="26"/>
          <w:u w:val="single"/>
          <w:shd w:val="clear" w:color="auto" w:fill="FFFFFF"/>
        </w:rPr>
        <w:t>Earnings</w:t>
      </w:r>
      <w:r w:rsidRPr="00766FF2">
        <w:rPr>
          <w:rFonts w:asciiTheme="minorHAnsi" w:hAnsiTheme="minorHAnsi"/>
          <w:sz w:val="26"/>
          <w:szCs w:val="26"/>
          <w:u w:val="single"/>
          <w:shd w:val="clear" w:color="auto" w:fill="FFFFFF"/>
        </w:rPr>
        <w:t xml:space="preserve"> Before Taxes</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 xml:space="preserve"> Total </w:t>
      </w:r>
      <w:r w:rsidRPr="00766FF2">
        <w:rPr>
          <w:rFonts w:asciiTheme="minorHAnsi" w:hAnsiTheme="minorHAnsi"/>
          <w:sz w:val="26"/>
          <w:szCs w:val="26"/>
          <w:shd w:val="clear" w:color="auto" w:fill="FFFFFF"/>
          <w:lang w:val="pt-PT"/>
        </w:rPr>
        <w:t>Equity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This ratio measures how effectively a company's Equity are being used to generate profits. It is one of the most important ratios when evaluating the success of a business. A higher number reflects a </w:t>
      </w:r>
      <w:r w:rsidR="009D15F8" w:rsidRPr="00766FF2">
        <w:rPr>
          <w:rFonts w:asciiTheme="minorHAnsi" w:hAnsiTheme="minorHAnsi"/>
          <w:sz w:val="26"/>
          <w:szCs w:val="26"/>
          <w:shd w:val="clear" w:color="auto" w:fill="FFFFFF"/>
        </w:rPr>
        <w:t>well-managed</w:t>
      </w:r>
      <w:r w:rsidRPr="00766FF2">
        <w:rPr>
          <w:rFonts w:asciiTheme="minorHAnsi" w:hAnsiTheme="minorHAnsi"/>
          <w:sz w:val="26"/>
          <w:szCs w:val="26"/>
          <w:shd w:val="clear" w:color="auto" w:fill="FFFFFF"/>
        </w:rPr>
        <w:t xml:space="preserve"> company with a healthy return on Equity.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Return on Equity for Nestle India i</w:t>
      </w:r>
      <w:r w:rsidR="002110F1">
        <w:rPr>
          <w:rFonts w:asciiTheme="minorHAnsi" w:hAnsiTheme="minorHAnsi"/>
          <w:sz w:val="26"/>
          <w:szCs w:val="26"/>
          <w:shd w:val="clear" w:color="auto" w:fill="FFFFFF"/>
        </w:rPr>
        <w:t>s 43.741, 35.818 and 33</w:t>
      </w:r>
      <w:r w:rsidRPr="00766FF2">
        <w:rPr>
          <w:rFonts w:asciiTheme="minorHAnsi" w:hAnsiTheme="minorHAnsi"/>
          <w:sz w:val="26"/>
          <w:szCs w:val="26"/>
          <w:shd w:val="clear" w:color="auto" w:fill="FFFFFF"/>
        </w:rPr>
        <w:t>.</w:t>
      </w:r>
      <w:r w:rsidR="002110F1">
        <w:rPr>
          <w:rFonts w:asciiTheme="minorHAnsi" w:hAnsiTheme="minorHAnsi"/>
          <w:sz w:val="26"/>
          <w:szCs w:val="26"/>
          <w:shd w:val="clear" w:color="auto" w:fill="FFFFFF"/>
        </w:rPr>
        <w:t>227</w:t>
      </w:r>
      <w:r w:rsidRPr="00766FF2">
        <w:rPr>
          <w:rFonts w:asciiTheme="minorHAnsi" w:hAnsiTheme="minorHAnsi"/>
          <w:sz w:val="26"/>
          <w:szCs w:val="26"/>
          <w:shd w:val="clear" w:color="auto" w:fill="FFFFFF"/>
        </w:rPr>
        <w:t xml:space="preserve"> for the years 2018, 2017 and 2016 respectively which compared to the industry average of 24.75, 24.189 and 33.896 indicates the company's performance in this area is above par and the management is effectively using its Equity, also the effectiveness has been increasing every year which indicates in either an decrease in </w:t>
      </w:r>
      <w:r w:rsidRPr="00766FF2">
        <w:rPr>
          <w:rFonts w:asciiTheme="minorHAnsi" w:hAnsiTheme="minorHAnsi"/>
          <w:sz w:val="26"/>
          <w:szCs w:val="26"/>
          <w:shd w:val="clear" w:color="auto" w:fill="FFFFFF"/>
          <w:lang w:val="pt-PT"/>
        </w:rPr>
        <w:t>Equity</w:t>
      </w:r>
      <w:r w:rsidRPr="00766FF2">
        <w:rPr>
          <w:rFonts w:asciiTheme="minorHAnsi" w:hAnsiTheme="minorHAnsi"/>
          <w:sz w:val="26"/>
          <w:szCs w:val="26"/>
          <w:shd w:val="clear" w:color="auto" w:fill="FFFFFF"/>
        </w:rPr>
        <w:t xml:space="preserve"> or increase in sales over the past three years.</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b/>
          <w:bCs/>
          <w:sz w:val="26"/>
          <w:szCs w:val="26"/>
          <w:shd w:val="clear" w:color="auto" w:fill="FFFFFF"/>
        </w:rPr>
      </w:pPr>
      <w:r w:rsidRPr="00766FF2">
        <w:rPr>
          <w:rFonts w:asciiTheme="minorHAnsi" w:hAnsiTheme="minorHAnsi"/>
          <w:b/>
          <w:bCs/>
          <w:sz w:val="26"/>
          <w:szCs w:val="26"/>
          <w:shd w:val="clear" w:color="auto" w:fill="FFFFFF"/>
        </w:rPr>
        <w:t>Total Debt to Equity (Gearing Ratio):</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Debt to </w:t>
      </w:r>
      <w:proofErr w:type="gramStart"/>
      <w:r w:rsidRPr="00766FF2">
        <w:rPr>
          <w:rFonts w:asciiTheme="minorHAnsi" w:hAnsiTheme="minorHAnsi"/>
          <w:sz w:val="26"/>
          <w:szCs w:val="26"/>
          <w:shd w:val="clear" w:color="auto" w:fill="FFFFFF"/>
        </w:rPr>
        <w:t>Equity  =</w:t>
      </w:r>
      <w:proofErr w:type="gramEnd"/>
      <w:r w:rsidRPr="00766FF2">
        <w:rPr>
          <w:rFonts w:asciiTheme="minorHAnsi" w:hAnsiTheme="minorHAnsi"/>
          <w:sz w:val="26"/>
          <w:szCs w:val="26"/>
          <w:shd w:val="clear" w:color="auto" w:fill="FFFFFF"/>
        </w:rPr>
        <w:t xml:space="preserve">   </w:t>
      </w:r>
      <w:r w:rsidRPr="00766FF2">
        <w:rPr>
          <w:rFonts w:asciiTheme="minorHAnsi" w:hAnsiTheme="minorHAnsi"/>
          <w:sz w:val="26"/>
          <w:szCs w:val="26"/>
          <w:u w:val="single"/>
          <w:shd w:val="clear" w:color="auto" w:fill="FFFFFF"/>
        </w:rPr>
        <w:t xml:space="preserve"> Total Debt </w:t>
      </w:r>
      <w:r w:rsidRPr="00766FF2">
        <w:rPr>
          <w:rFonts w:asciiTheme="minorHAnsi" w:hAnsiTheme="minorHAnsi"/>
          <w:color w:val="FFFFFF"/>
          <w:sz w:val="26"/>
          <w:szCs w:val="26"/>
          <w:u w:val="single"/>
          <w:shd w:val="clear" w:color="auto" w:fill="FFFFFF"/>
        </w:rPr>
        <w:t>t</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Total Equity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lastRenderedPageBreak/>
        <w:t>This ratio measures the financial leverage of a company by indicating what proportion of debt and equity a company is using to finance its assets. A lower number suggests there is both a lower risk involved for creditors and strong, long-term, financial security for a company.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Debt to Equity ratio for Nestle India is 0.01, 0.01 and 0.01 for the years 2018, 2017 and 2016 respectively which compared to the industry average of 0.378, 0.468 and 0.542 indicates the company's performance in this area is outstanding the company is running mostly on equity capital making it almost debt free when compared to the industry.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b/>
          <w:bCs/>
          <w:sz w:val="26"/>
          <w:szCs w:val="26"/>
          <w:shd w:val="clear" w:color="auto" w:fill="FFFFFF"/>
        </w:rPr>
      </w:pPr>
      <w:r w:rsidRPr="00766FF2">
        <w:rPr>
          <w:rFonts w:asciiTheme="minorHAnsi" w:hAnsiTheme="minorHAnsi"/>
          <w:b/>
          <w:bCs/>
          <w:sz w:val="26"/>
          <w:szCs w:val="26"/>
          <w:shd w:val="clear" w:color="auto" w:fill="FFFFFF"/>
        </w:rPr>
        <w:t>Net Profit Margin:</w:t>
      </w:r>
    </w:p>
    <w:p w:rsidR="00766FF2" w:rsidRPr="00766FF2" w:rsidRDefault="00766FF2" w:rsidP="00766FF2">
      <w:pPr>
        <w:pStyle w:val="Default"/>
        <w:spacing w:before="0"/>
        <w:rPr>
          <w:rFonts w:asciiTheme="minorHAnsi" w:hAnsiTheme="minorHAnsi"/>
          <w:b/>
          <w:bCs/>
          <w:sz w:val="26"/>
          <w:szCs w:val="26"/>
          <w:shd w:val="clear" w:color="auto" w:fill="FFFFFF"/>
        </w:rPr>
      </w:pPr>
    </w:p>
    <w:p w:rsidR="00766FF2" w:rsidRPr="00766FF2" w:rsidRDefault="00766FF2" w:rsidP="00766FF2">
      <w:pPr>
        <w:pStyle w:val="Default"/>
        <w:spacing w:before="0"/>
        <w:rPr>
          <w:rFonts w:asciiTheme="minorHAnsi" w:hAnsiTheme="minorHAnsi"/>
          <w:sz w:val="26"/>
          <w:szCs w:val="26"/>
          <w:u w:val="single"/>
          <w:shd w:val="clear" w:color="auto" w:fill="FFFFFF"/>
        </w:rPr>
      </w:pPr>
      <w:r w:rsidRPr="00766FF2">
        <w:rPr>
          <w:rFonts w:asciiTheme="minorHAnsi" w:hAnsiTheme="minorHAnsi"/>
          <w:sz w:val="26"/>
          <w:szCs w:val="26"/>
          <w:shd w:val="clear" w:color="auto" w:fill="FFFFFF"/>
        </w:rPr>
        <w:t xml:space="preserve">Net Profit </w:t>
      </w:r>
      <w:proofErr w:type="gramStart"/>
      <w:r w:rsidRPr="00766FF2">
        <w:rPr>
          <w:rFonts w:asciiTheme="minorHAnsi" w:hAnsiTheme="minorHAnsi"/>
          <w:sz w:val="26"/>
          <w:szCs w:val="26"/>
          <w:shd w:val="clear" w:color="auto" w:fill="FFFFFF"/>
        </w:rPr>
        <w:t>Margin  =</w:t>
      </w:r>
      <w:proofErr w:type="gramEnd"/>
      <w:r w:rsidRPr="00766FF2">
        <w:rPr>
          <w:rFonts w:asciiTheme="minorHAnsi" w:hAnsiTheme="minorHAnsi"/>
          <w:sz w:val="26"/>
          <w:szCs w:val="26"/>
          <w:shd w:val="clear" w:color="auto" w:fill="FFFFFF"/>
        </w:rPr>
        <w:t xml:space="preserve">  </w:t>
      </w:r>
      <w:r w:rsidRPr="00766FF2">
        <w:rPr>
          <w:rFonts w:asciiTheme="minorHAnsi" w:hAnsiTheme="minorHAnsi"/>
          <w:sz w:val="26"/>
          <w:szCs w:val="26"/>
          <w:u w:val="single"/>
          <w:shd w:val="clear" w:color="auto" w:fill="FFFFFF"/>
        </w:rPr>
        <w:t>Net Income</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 xml:space="preserve">      Revenue</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Net profit margin is one of the most important indicators of a company's financial health. By tracking increases and decreases in its net profit margin, a company can assess whether current practices are working and forecast profits based on revenues.</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Net Profit Margin for Nestle India is 14.23, 12.021 and 10.569 for the years 2018, 2017 and 2016 respectively which compared to the industry average of 9.263, 8.783 and 10.129 indicates the company's performance in this area is above par with a continuous increase in net profit margin despite a continuous decrease in that of the industry.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b/>
          <w:bCs/>
          <w:sz w:val="26"/>
          <w:szCs w:val="26"/>
          <w:shd w:val="clear" w:color="auto" w:fill="FFFFFF"/>
        </w:rPr>
      </w:pPr>
      <w:r w:rsidRPr="00766FF2">
        <w:rPr>
          <w:rFonts w:asciiTheme="minorHAnsi" w:hAnsiTheme="minorHAnsi"/>
          <w:b/>
          <w:bCs/>
          <w:sz w:val="26"/>
          <w:szCs w:val="26"/>
          <w:shd w:val="clear" w:color="auto" w:fill="FFFFFF"/>
        </w:rPr>
        <w:t>Interest Coverage Ratio:</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u w:val="single"/>
          <w:shd w:val="clear" w:color="auto" w:fill="FFFFFF"/>
        </w:rPr>
      </w:pPr>
      <w:r w:rsidRPr="00766FF2">
        <w:rPr>
          <w:rFonts w:asciiTheme="minorHAnsi" w:hAnsiTheme="minorHAnsi"/>
          <w:sz w:val="26"/>
          <w:szCs w:val="26"/>
          <w:shd w:val="clear" w:color="auto" w:fill="FFFFFF"/>
        </w:rPr>
        <w:t xml:space="preserve">Interest Coverage </w:t>
      </w:r>
      <w:proofErr w:type="gramStart"/>
      <w:r w:rsidRPr="00766FF2">
        <w:rPr>
          <w:rFonts w:asciiTheme="minorHAnsi" w:hAnsiTheme="minorHAnsi"/>
          <w:sz w:val="26"/>
          <w:szCs w:val="26"/>
          <w:shd w:val="clear" w:color="auto" w:fill="FFFFFF"/>
        </w:rPr>
        <w:t>Ratio  =</w:t>
      </w:r>
      <w:proofErr w:type="gramEnd"/>
      <w:r w:rsidRPr="00766FF2">
        <w:rPr>
          <w:rFonts w:asciiTheme="minorHAnsi" w:hAnsiTheme="minorHAnsi"/>
          <w:sz w:val="26"/>
          <w:szCs w:val="26"/>
          <w:shd w:val="clear" w:color="auto" w:fill="FFFFFF"/>
        </w:rPr>
        <w:t xml:space="preserve"> </w:t>
      </w:r>
      <w:r w:rsidRPr="00766FF2">
        <w:rPr>
          <w:rFonts w:asciiTheme="minorHAnsi" w:hAnsiTheme="minorHAnsi"/>
          <w:sz w:val="26"/>
          <w:szCs w:val="26"/>
          <w:u w:val="single"/>
          <w:shd w:val="clear" w:color="auto" w:fill="FFFFFF"/>
        </w:rPr>
        <w:t xml:space="preserve">          EBIT         </w:t>
      </w:r>
      <w:r w:rsidRPr="00766FF2">
        <w:rPr>
          <w:rFonts w:asciiTheme="minorHAnsi" w:hAnsiTheme="minorHAnsi"/>
          <w:color w:val="FFFFFF"/>
          <w:sz w:val="26"/>
          <w:szCs w:val="26"/>
          <w:u w:val="single"/>
          <w:shd w:val="clear" w:color="auto" w:fill="FFFFFF"/>
        </w:rPr>
        <w:t>.</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 xml:space="preserve">   Interest Expense</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The interest coverage ratio measures how many times a company can cover its current interest payment with its available earnings. In other words, it measures the margin of safety a company has for paying interest on its debt during a given period.</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Interest Coverage Ratio for Nestle India is 22.724, 21.012 and 18.001 for the years 2018, 2017 and 2016 respectively which compared to the industry average of 41.959, 43.262 and 52.56 indicates the company's performance in this area is not satisfactory as the ability of the company to pay its interest is less than that of the industry.</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But the high industry average is due to exceptionally good Interest coverage ratio of Britannia. If it is not considered, Nestle India’s Interest coverage ratio is above par.</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b/>
          <w:bCs/>
          <w:sz w:val="26"/>
          <w:szCs w:val="26"/>
          <w:shd w:val="clear" w:color="auto" w:fill="FFFFFF"/>
        </w:rPr>
        <w:lastRenderedPageBreak/>
        <w:t>Inventory Turnover Ratio:</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 </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Inventory Turnover </w:t>
      </w:r>
      <w:r w:rsidR="009D15F8" w:rsidRPr="00766FF2">
        <w:rPr>
          <w:rFonts w:asciiTheme="minorHAnsi" w:hAnsiTheme="minorHAnsi"/>
          <w:sz w:val="26"/>
          <w:szCs w:val="26"/>
          <w:shd w:val="clear" w:color="auto" w:fill="FFFFFF"/>
        </w:rPr>
        <w:t>Ratio =</w:t>
      </w:r>
      <w:r w:rsidRPr="00766FF2">
        <w:rPr>
          <w:rFonts w:asciiTheme="minorHAnsi" w:hAnsiTheme="minorHAnsi"/>
          <w:sz w:val="26"/>
          <w:szCs w:val="26"/>
          <w:shd w:val="clear" w:color="auto" w:fill="FFFFFF"/>
        </w:rPr>
        <w:t xml:space="preserve">   </w:t>
      </w:r>
      <w:r w:rsidRPr="00766FF2">
        <w:rPr>
          <w:rFonts w:asciiTheme="minorHAnsi" w:hAnsiTheme="minorHAnsi"/>
          <w:sz w:val="26"/>
          <w:szCs w:val="26"/>
          <w:u w:val="single"/>
          <w:shd w:val="clear" w:color="auto" w:fill="FFFFFF"/>
        </w:rPr>
        <w:t xml:space="preserve">           Sales          </w:t>
      </w:r>
      <w:r w:rsidRPr="00766FF2">
        <w:rPr>
          <w:rFonts w:asciiTheme="minorHAnsi" w:hAnsiTheme="minorHAnsi"/>
          <w:color w:val="FFFFFF"/>
          <w:sz w:val="26"/>
          <w:szCs w:val="26"/>
          <w:u w:val="single"/>
          <w:shd w:val="clear" w:color="auto" w:fill="FFFFFF"/>
        </w:rPr>
        <w:t>.</w:t>
      </w:r>
      <w:r w:rsidRPr="00766FF2">
        <w:rPr>
          <w:rFonts w:asciiTheme="minorHAnsi" w:hAnsiTheme="minorHAnsi"/>
          <w:sz w:val="26"/>
          <w:szCs w:val="26"/>
          <w:shd w:val="clear" w:color="auto" w:fill="FFFFFF"/>
        </w:rPr>
        <w:t xml:space="preserve">    </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 xml:space="preserve">       Average Inventory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Inventory turnover measures how fast a company sells inventory and how analysts compare it to industry averages. A low turnover implies weak sales and possibly excess inventory, also known as overstocking. It may indicate a problem with the goods being offered for sale or be a result of too little marketing. </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 high ratio implies either strong sales or insufficient inventory. The former is desirable while the latter could lead to lost business. Sometimes a low inventory turnover rate is a good thing, such as when prices are expected to rise (inventory pre-positioned to meet fast-rising demand) or when shortages are anticipated.</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Inventory Coverage Ratio for Nestle India is 12.09, 11.063 and 10.761 for the years 2018, 2017 and 2016 respectively which compared to the industry average of 10.7033, 10.795 and 10.686 indicates the company's performance in this area is on par as the company’s inventory turnover ratio is near to that of the industry.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b/>
          <w:bCs/>
          <w:sz w:val="26"/>
          <w:szCs w:val="26"/>
          <w:shd w:val="clear" w:color="auto" w:fill="FFFFFF"/>
        </w:rPr>
      </w:pPr>
      <w:r w:rsidRPr="00766FF2">
        <w:rPr>
          <w:rFonts w:asciiTheme="minorHAnsi" w:hAnsiTheme="minorHAnsi"/>
          <w:b/>
          <w:bCs/>
          <w:sz w:val="26"/>
          <w:szCs w:val="26"/>
          <w:shd w:val="clear" w:color="auto" w:fill="FFFFFF"/>
        </w:rPr>
        <w:t>Inventory Days</w:t>
      </w:r>
    </w:p>
    <w:p w:rsidR="00766FF2" w:rsidRPr="00766FF2" w:rsidRDefault="00766FF2" w:rsidP="00766FF2">
      <w:pPr>
        <w:pStyle w:val="Default"/>
        <w:spacing w:before="0"/>
        <w:rPr>
          <w:rFonts w:asciiTheme="minorHAnsi" w:hAnsiTheme="minorHAnsi"/>
          <w:b/>
          <w:bCs/>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Inventory Days =  </w:t>
      </w:r>
      <w:r w:rsidRPr="00766FF2">
        <w:rPr>
          <w:rFonts w:asciiTheme="minorHAnsi" w:hAnsiTheme="minorHAnsi"/>
          <w:sz w:val="26"/>
          <w:szCs w:val="26"/>
          <w:u w:val="single"/>
          <w:shd w:val="clear" w:color="auto" w:fill="FFFFFF"/>
        </w:rPr>
        <w:t xml:space="preserve"> </w:t>
      </w:r>
      <w:r w:rsidRPr="00766FF2">
        <w:rPr>
          <w:rFonts w:asciiTheme="minorHAnsi" w:hAnsiTheme="minorHAnsi"/>
          <w:i/>
          <w:iCs/>
          <w:sz w:val="26"/>
          <w:szCs w:val="26"/>
          <w:u w:val="single"/>
          <w:shd w:val="clear" w:color="auto" w:fill="FFFFFF"/>
        </w:rPr>
        <w:t xml:space="preserve">                 </w:t>
      </w:r>
      <w:r w:rsidRPr="00766FF2">
        <w:rPr>
          <w:rFonts w:asciiTheme="minorHAnsi" w:hAnsiTheme="minorHAnsi"/>
          <w:sz w:val="26"/>
          <w:szCs w:val="26"/>
          <w:u w:val="single"/>
          <w:shd w:val="clear" w:color="auto" w:fill="FFFFFF"/>
        </w:rPr>
        <w:t xml:space="preserve">365                .                  </w:t>
      </w:r>
      <w:r w:rsidRPr="00766FF2">
        <w:rPr>
          <w:rFonts w:asciiTheme="minorHAnsi" w:hAnsiTheme="minorHAnsi"/>
          <w:i/>
          <w:iCs/>
          <w:sz w:val="26"/>
          <w:szCs w:val="26"/>
          <w:u w:val="single"/>
          <w:shd w:val="clear" w:color="auto" w:fill="FFFFFF"/>
        </w:rPr>
        <w:t xml:space="preserve"> </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Inventory Turnover Ratio</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Inventory </w:t>
      </w:r>
      <w:proofErr w:type="gramStart"/>
      <w:r w:rsidRPr="00766FF2">
        <w:rPr>
          <w:rFonts w:asciiTheme="minorHAnsi" w:hAnsiTheme="minorHAnsi"/>
          <w:sz w:val="26"/>
          <w:szCs w:val="26"/>
          <w:shd w:val="clear" w:color="auto" w:fill="FFFFFF"/>
        </w:rPr>
        <w:t>days</w:t>
      </w:r>
      <w:proofErr w:type="gramEnd"/>
      <w:r w:rsidRPr="00766FF2">
        <w:rPr>
          <w:rFonts w:asciiTheme="minorHAnsi" w:hAnsiTheme="minorHAnsi"/>
          <w:sz w:val="26"/>
          <w:szCs w:val="26"/>
          <w:shd w:val="clear" w:color="auto" w:fill="FFFFFF"/>
        </w:rPr>
        <w:t xml:space="preserve"> shows for how long on average the finished goods are kept at the warehouses. The lower the inventory days implies the lesser working capital is stuck in inventory.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Inventory days for Nestle India is 30.19, 32.992 and 33.918 for the years 2018, 2017 and 2016 respectively which compared to the industry average of 67.39, 67.267 and 62.254 indicates the company's performance in this area is above par as the company’s inventory days is way less than that of the industry.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b/>
          <w:bCs/>
          <w:sz w:val="26"/>
          <w:szCs w:val="26"/>
          <w:shd w:val="clear" w:color="auto" w:fill="FFFFFF"/>
        </w:rPr>
      </w:pPr>
      <w:r w:rsidRPr="00766FF2">
        <w:rPr>
          <w:rFonts w:asciiTheme="minorHAnsi" w:hAnsiTheme="minorHAnsi"/>
          <w:b/>
          <w:bCs/>
          <w:sz w:val="26"/>
          <w:szCs w:val="26"/>
          <w:shd w:val="clear" w:color="auto" w:fill="FFFFFF"/>
        </w:rPr>
        <w:t>Working Capital Turnover Ratio</w:t>
      </w:r>
    </w:p>
    <w:p w:rsidR="00766FF2" w:rsidRPr="00766FF2" w:rsidRDefault="00766FF2" w:rsidP="00766FF2">
      <w:pPr>
        <w:pStyle w:val="Default"/>
        <w:spacing w:before="0"/>
        <w:rPr>
          <w:rFonts w:asciiTheme="minorHAnsi" w:hAnsiTheme="minorHAnsi"/>
          <w:b/>
          <w:bCs/>
          <w:sz w:val="26"/>
          <w:szCs w:val="26"/>
          <w:shd w:val="clear" w:color="auto" w:fill="FFFFFF"/>
        </w:rPr>
      </w:pPr>
    </w:p>
    <w:p w:rsidR="00766FF2" w:rsidRPr="00766FF2" w:rsidRDefault="00766FF2" w:rsidP="00766FF2">
      <w:pPr>
        <w:pStyle w:val="Default"/>
        <w:spacing w:before="0"/>
        <w:rPr>
          <w:rFonts w:asciiTheme="minorHAnsi" w:hAnsiTheme="minorHAnsi"/>
          <w:sz w:val="26"/>
          <w:szCs w:val="26"/>
          <w:u w:val="single"/>
          <w:shd w:val="clear" w:color="auto" w:fill="FFFFFF"/>
        </w:rPr>
      </w:pPr>
      <w:r w:rsidRPr="00766FF2">
        <w:rPr>
          <w:rFonts w:asciiTheme="minorHAnsi" w:hAnsiTheme="minorHAnsi"/>
          <w:sz w:val="26"/>
          <w:szCs w:val="26"/>
          <w:shd w:val="clear" w:color="auto" w:fill="FFFFFF"/>
        </w:rPr>
        <w:t xml:space="preserve">Working Capital Turnover Ratio = </w:t>
      </w:r>
      <w:r w:rsidRPr="00766FF2">
        <w:rPr>
          <w:rFonts w:asciiTheme="minorHAnsi" w:hAnsiTheme="minorHAnsi"/>
          <w:sz w:val="26"/>
          <w:szCs w:val="26"/>
          <w:u w:val="single"/>
          <w:shd w:val="clear" w:color="auto" w:fill="FFFFFF"/>
        </w:rPr>
        <w:t xml:space="preserve">            Sales           </w:t>
      </w:r>
      <w:r w:rsidRPr="00766FF2">
        <w:rPr>
          <w:rFonts w:asciiTheme="minorHAnsi" w:hAnsiTheme="minorHAnsi"/>
          <w:color w:val="FFFFFF"/>
          <w:sz w:val="26"/>
          <w:szCs w:val="26"/>
          <w:u w:val="single"/>
          <w:shd w:val="clear" w:color="auto" w:fill="FFFFFF"/>
        </w:rPr>
        <w:t>.</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 xml:space="preserve">    Net Working Capital</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Working capital turnover is a ratio that measures how efficiently a company is using its working capital to support a given level of sales.</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lastRenderedPageBreak/>
        <w:t xml:space="preserve">Working Capital Turnover Ratio for Nestle India is 3.92, 4.17 and 4.94 for the years 2018, 2017 and 2016 respectively which compared to the industry average of 0.973, 1.999 and 3.384 indicates the company's performance in this area is above par as the company’s Working Capital Turnover Ratio is more than that of the industry implying a better use of working capital. </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b/>
          <w:bCs/>
          <w:sz w:val="26"/>
          <w:szCs w:val="26"/>
          <w:shd w:val="clear" w:color="auto" w:fill="FFFFFF"/>
        </w:rPr>
        <w:t>Earnings per share (EPS)</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 xml:space="preserve">Earnings per share (EPS) = </w:t>
      </w:r>
      <w:r w:rsidRPr="00766FF2">
        <w:rPr>
          <w:rFonts w:asciiTheme="minorHAnsi" w:hAnsiTheme="minorHAnsi"/>
          <w:sz w:val="26"/>
          <w:szCs w:val="26"/>
          <w:u w:val="single"/>
          <w:shd w:val="clear" w:color="auto" w:fill="FFFFFF"/>
        </w:rPr>
        <w:t xml:space="preserve">               Net Profit            .                     </w:t>
      </w:r>
    </w:p>
    <w:p w:rsidR="00766FF2" w:rsidRPr="00766FF2" w:rsidRDefault="00766FF2"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r>
      <w:r w:rsidRPr="00766FF2">
        <w:rPr>
          <w:rFonts w:asciiTheme="minorHAnsi" w:hAnsiTheme="minorHAnsi"/>
          <w:sz w:val="26"/>
          <w:szCs w:val="26"/>
          <w:shd w:val="clear" w:color="auto" w:fill="FFFFFF"/>
        </w:rPr>
        <w:tab/>
        <w:t xml:space="preserve">    No. of Outstanding Shares</w:t>
      </w:r>
      <w:r w:rsidRPr="00766FF2">
        <w:rPr>
          <w:rFonts w:asciiTheme="minorHAnsi" w:hAnsiTheme="minorHAnsi"/>
          <w:sz w:val="26"/>
          <w:szCs w:val="26"/>
          <w:shd w:val="clear" w:color="auto" w:fill="FFFFFF"/>
        </w:rPr>
        <w:tab/>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9D15F8" w:rsidP="00766FF2">
      <w:pPr>
        <w:pStyle w:val="Default"/>
        <w:spacing w:before="0"/>
        <w:rPr>
          <w:rFonts w:asciiTheme="minorHAnsi" w:hAnsiTheme="minorHAnsi"/>
          <w:sz w:val="26"/>
          <w:szCs w:val="26"/>
          <w:shd w:val="clear" w:color="auto" w:fill="FFFFFF"/>
        </w:rPr>
      </w:pPr>
      <w:r w:rsidRPr="00766FF2">
        <w:rPr>
          <w:rFonts w:asciiTheme="minorHAnsi" w:hAnsiTheme="minorHAnsi"/>
          <w:sz w:val="26"/>
          <w:szCs w:val="26"/>
          <w:shd w:val="clear" w:color="auto" w:fill="FFFFFF"/>
        </w:rPr>
        <w:t>Earnings per share (EPS) are</w:t>
      </w:r>
      <w:r w:rsidR="00766FF2" w:rsidRPr="00766FF2">
        <w:rPr>
          <w:rFonts w:asciiTheme="minorHAnsi" w:hAnsiTheme="minorHAnsi"/>
          <w:sz w:val="26"/>
          <w:szCs w:val="26"/>
          <w:shd w:val="clear" w:color="auto" w:fill="FFFFFF"/>
        </w:rPr>
        <w:t xml:space="preserve"> calculated as a company's profit divided by the outstanding shares of its common stock. The resulting number serves as an indicator of a company's profitability.</w:t>
      </w:r>
    </w:p>
    <w:p w:rsidR="00766FF2" w:rsidRPr="00766FF2" w:rsidRDefault="00766FF2" w:rsidP="00766FF2">
      <w:pPr>
        <w:pStyle w:val="Default"/>
        <w:spacing w:before="0"/>
        <w:rPr>
          <w:rFonts w:asciiTheme="minorHAnsi" w:hAnsiTheme="minorHAnsi"/>
          <w:sz w:val="26"/>
          <w:szCs w:val="26"/>
          <w:shd w:val="clear" w:color="auto" w:fill="FFFFFF"/>
        </w:rPr>
      </w:pPr>
    </w:p>
    <w:p w:rsidR="00766FF2" w:rsidRPr="00766FF2" w:rsidRDefault="00766FF2" w:rsidP="00766FF2">
      <w:pPr>
        <w:pStyle w:val="Default"/>
        <w:spacing w:before="0"/>
        <w:rPr>
          <w:rFonts w:asciiTheme="minorHAnsi" w:hAnsiTheme="minorHAnsi"/>
        </w:rPr>
      </w:pPr>
      <w:r w:rsidRPr="00766FF2">
        <w:rPr>
          <w:rFonts w:asciiTheme="minorHAnsi" w:hAnsiTheme="minorHAnsi"/>
          <w:sz w:val="26"/>
          <w:szCs w:val="26"/>
          <w:shd w:val="clear" w:color="auto" w:fill="FFFFFF"/>
        </w:rPr>
        <w:t>EPS for Nestle India is 166.66, 127.073 and 96.098 for the years 2018, 2017 and 2016 respectively which compared to the industry average of 64.53, 52.44 and 50.431 indicates the company's performance in this area is above par as the company’s EPS is way more than that of the industry.</w:t>
      </w:r>
    </w:p>
    <w:p w:rsidR="00766FF2" w:rsidRPr="00766FF2" w:rsidRDefault="00766FF2" w:rsidP="00405E56">
      <w:pPr>
        <w:rPr>
          <w:b/>
          <w:bCs/>
          <w:sz w:val="40"/>
          <w:szCs w:val="40"/>
        </w:rPr>
      </w:pPr>
    </w:p>
    <w:tbl>
      <w:tblPr>
        <w:tblW w:w="6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116"/>
        <w:gridCol w:w="1116"/>
        <w:gridCol w:w="1116"/>
      </w:tblGrid>
      <w:tr w:rsidR="001F454A" w:rsidRPr="001F454A" w:rsidTr="001F454A">
        <w:trPr>
          <w:trHeight w:val="315"/>
        </w:trPr>
        <w:tc>
          <w:tcPr>
            <w:tcW w:w="2941" w:type="dxa"/>
            <w:shd w:val="clear" w:color="auto" w:fill="auto"/>
            <w:noWrap/>
            <w:vAlign w:val="bottom"/>
            <w:hideMark/>
          </w:tcPr>
          <w:p w:rsidR="001F454A" w:rsidRPr="001F454A" w:rsidRDefault="00F447CD" w:rsidP="001F454A">
            <w:pPr>
              <w:spacing w:after="0" w:line="240" w:lineRule="auto"/>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 xml:space="preserve">(in million </w:t>
            </w:r>
            <w:proofErr w:type="spellStart"/>
            <w:r>
              <w:rPr>
                <w:rFonts w:ascii="Calibri" w:eastAsia="Times New Roman" w:hAnsi="Calibri" w:cs="Times New Roman"/>
                <w:b/>
                <w:bCs/>
                <w:color w:val="000000"/>
                <w:sz w:val="24"/>
                <w:szCs w:val="24"/>
                <w:lang w:eastAsia="en-IN"/>
              </w:rPr>
              <w:t>Rs</w:t>
            </w:r>
            <w:proofErr w:type="spellEnd"/>
            <w:r>
              <w:rPr>
                <w:rFonts w:ascii="Calibri" w:eastAsia="Times New Roman" w:hAnsi="Calibri" w:cs="Times New Roman"/>
                <w:b/>
                <w:bCs/>
                <w:color w:val="000000"/>
                <w:sz w:val="24"/>
                <w:szCs w:val="24"/>
                <w:lang w:eastAsia="en-IN"/>
              </w:rPr>
              <w:t>)</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2018</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2017</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2016</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Current Assets</w:t>
            </w: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Inventories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9655.5</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9024.7</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9431.8</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Financial Assets</w:t>
            </w: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Investments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19251.3</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13935.9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12750.4</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Trade Receivable</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1245.9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889.7</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979.3</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Cash and Equivalents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15987.7</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14476.9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8800</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Unpaid dividend Accounts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112.9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97.3</w:t>
            </w: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Loans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178.9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288</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570.2</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Other Financial Assets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524.9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427.9</w:t>
            </w: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Current Tax Assets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188.5</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63.9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other Current Assets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223.9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169.6</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258.2</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Total</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47369.5</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39373.9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32789.9</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Current Liabilities</w:t>
            </w: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Trade Payable</w:t>
            </w: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c>
          <w:tcPr>
            <w:tcW w:w="1116"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 xml:space="preserve">In micro and small enterprises </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107.7</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52.5</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48.8</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Other payables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12296</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9793.9</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7942.8</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Provisions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1572.6</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874.6</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3207</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other Liabilities</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4573.2</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4206.1</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t>5128.4</w:t>
            </w:r>
          </w:p>
        </w:tc>
      </w:tr>
      <w:tr w:rsidR="001F454A" w:rsidRPr="001F454A" w:rsidTr="001F454A">
        <w:trPr>
          <w:trHeight w:val="315"/>
        </w:trPr>
        <w:tc>
          <w:tcPr>
            <w:tcW w:w="2941" w:type="dxa"/>
            <w:shd w:val="clear" w:color="auto" w:fill="auto"/>
            <w:noWrap/>
            <w:vAlign w:val="bottom"/>
            <w:hideMark/>
          </w:tcPr>
          <w:p w:rsidR="001F454A" w:rsidRPr="001F454A" w:rsidRDefault="001F454A" w:rsidP="001F454A">
            <w:pPr>
              <w:spacing w:after="0" w:line="240" w:lineRule="auto"/>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Total</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18549.5</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14927.1</w:t>
            </w:r>
          </w:p>
        </w:tc>
        <w:tc>
          <w:tcPr>
            <w:tcW w:w="1116" w:type="dxa"/>
            <w:shd w:val="clear" w:color="auto" w:fill="auto"/>
            <w:noWrap/>
            <w:vAlign w:val="bottom"/>
            <w:hideMark/>
          </w:tcPr>
          <w:p w:rsidR="001F454A" w:rsidRPr="001F454A" w:rsidRDefault="001F454A" w:rsidP="001F454A">
            <w:pPr>
              <w:spacing w:after="0" w:line="240" w:lineRule="auto"/>
              <w:jc w:val="right"/>
              <w:rPr>
                <w:rFonts w:ascii="Calibri" w:eastAsia="Times New Roman" w:hAnsi="Calibri" w:cs="Times New Roman"/>
                <w:b/>
                <w:bCs/>
                <w:color w:val="000000"/>
                <w:sz w:val="24"/>
                <w:szCs w:val="24"/>
                <w:lang w:eastAsia="en-IN"/>
              </w:rPr>
            </w:pPr>
            <w:r w:rsidRPr="001F454A">
              <w:rPr>
                <w:rFonts w:ascii="Calibri" w:eastAsia="Times New Roman" w:hAnsi="Calibri" w:cs="Times New Roman"/>
                <w:b/>
                <w:bCs/>
                <w:color w:val="000000"/>
                <w:sz w:val="24"/>
                <w:szCs w:val="24"/>
                <w:lang w:eastAsia="en-IN"/>
              </w:rPr>
              <w:t>16327</w:t>
            </w:r>
          </w:p>
        </w:tc>
      </w:tr>
    </w:tbl>
    <w:p w:rsidR="001F454A" w:rsidRDefault="001F454A" w:rsidP="001F454A">
      <w:pPr>
        <w:spacing w:after="0" w:line="240" w:lineRule="auto"/>
        <w:rPr>
          <w:rFonts w:ascii="Calibri" w:eastAsia="Times New Roman" w:hAnsi="Calibri" w:cs="Times New Roman"/>
          <w:color w:val="000000"/>
          <w:sz w:val="24"/>
          <w:szCs w:val="24"/>
          <w:lang w:eastAsia="en-IN"/>
        </w:rPr>
      </w:pPr>
      <w:r w:rsidRPr="001F454A">
        <w:rPr>
          <w:rFonts w:ascii="Calibri" w:eastAsia="Times New Roman" w:hAnsi="Calibri" w:cs="Times New Roman"/>
          <w:color w:val="000000"/>
          <w:sz w:val="24"/>
          <w:szCs w:val="24"/>
          <w:lang w:eastAsia="en-IN"/>
        </w:rPr>
        <w:lastRenderedPageBreak/>
        <w:t xml:space="preserve">The reason for drop in inventories in 2017 was lesser raw material pile up which indicates that nestle sold more than expected </w:t>
      </w:r>
      <w:r>
        <w:rPr>
          <w:rFonts w:ascii="Calibri" w:eastAsia="Times New Roman" w:hAnsi="Calibri" w:cs="Times New Roman"/>
          <w:color w:val="000000"/>
          <w:sz w:val="24"/>
          <w:szCs w:val="24"/>
          <w:lang w:eastAsia="en-IN"/>
        </w:rPr>
        <w:t>hence the Cash Equivalents went up also the trade receivables decrease which further added to Cash Equivalents.</w:t>
      </w:r>
      <w:r w:rsidRPr="001F454A">
        <w:rPr>
          <w:rFonts w:ascii="Calibri" w:eastAsia="Times New Roman" w:hAnsi="Calibri" w:cs="Times New Roman"/>
          <w:color w:val="000000"/>
          <w:sz w:val="24"/>
          <w:szCs w:val="24"/>
          <w:lang w:eastAsia="en-IN"/>
        </w:rPr>
        <w:t xml:space="preserve"> The sudden increase in Investm</w:t>
      </w:r>
      <w:r>
        <w:rPr>
          <w:rFonts w:ascii="Calibri" w:eastAsia="Times New Roman" w:hAnsi="Calibri" w:cs="Times New Roman"/>
          <w:color w:val="000000"/>
          <w:sz w:val="24"/>
          <w:szCs w:val="24"/>
          <w:lang w:eastAsia="en-IN"/>
        </w:rPr>
        <w:t>ents was due to purchase of</w:t>
      </w:r>
      <w:r w:rsidRPr="001F454A">
        <w:rPr>
          <w:rFonts w:ascii="Calibri" w:eastAsia="Times New Roman" w:hAnsi="Calibri" w:cs="Times New Roman"/>
          <w:color w:val="000000"/>
          <w:sz w:val="24"/>
          <w:szCs w:val="24"/>
          <w:lang w:eastAsia="en-IN"/>
        </w:rPr>
        <w:t xml:space="preserve"> gov</w:t>
      </w:r>
      <w:r>
        <w:rPr>
          <w:rFonts w:ascii="Calibri" w:eastAsia="Times New Roman" w:hAnsi="Calibri" w:cs="Times New Roman"/>
          <w:color w:val="000000"/>
          <w:sz w:val="24"/>
          <w:szCs w:val="24"/>
          <w:lang w:eastAsia="en-IN"/>
        </w:rPr>
        <w:t>ernmen</w:t>
      </w:r>
      <w:r w:rsidRPr="001F454A">
        <w:rPr>
          <w:rFonts w:ascii="Calibri" w:eastAsia="Times New Roman" w:hAnsi="Calibri" w:cs="Times New Roman"/>
          <w:color w:val="000000"/>
          <w:sz w:val="24"/>
          <w:szCs w:val="24"/>
          <w:lang w:eastAsia="en-IN"/>
        </w:rPr>
        <w:t>t securities (11668,</w:t>
      </w:r>
      <w:r>
        <w:rPr>
          <w:rFonts w:ascii="Calibri" w:eastAsia="Times New Roman" w:hAnsi="Calibri" w:cs="Times New Roman"/>
          <w:color w:val="000000"/>
          <w:sz w:val="24"/>
          <w:szCs w:val="24"/>
          <w:lang w:eastAsia="en-IN"/>
        </w:rPr>
        <w:t xml:space="preserve"> </w:t>
      </w:r>
      <w:r w:rsidRPr="001F454A">
        <w:rPr>
          <w:rFonts w:ascii="Calibri" w:eastAsia="Times New Roman" w:hAnsi="Calibri" w:cs="Times New Roman"/>
          <w:color w:val="000000"/>
          <w:sz w:val="24"/>
          <w:szCs w:val="24"/>
          <w:lang w:eastAsia="en-IN"/>
        </w:rPr>
        <w:t>5958.8,</w:t>
      </w:r>
      <w:r>
        <w:rPr>
          <w:rFonts w:ascii="Calibri" w:eastAsia="Times New Roman" w:hAnsi="Calibri" w:cs="Times New Roman"/>
          <w:color w:val="000000"/>
          <w:sz w:val="24"/>
          <w:szCs w:val="24"/>
          <w:lang w:eastAsia="en-IN"/>
        </w:rPr>
        <w:t xml:space="preserve"> </w:t>
      </w:r>
      <w:r w:rsidR="009D15F8" w:rsidRPr="001F454A">
        <w:rPr>
          <w:rFonts w:ascii="Calibri" w:eastAsia="Times New Roman" w:hAnsi="Calibri" w:cs="Times New Roman"/>
          <w:color w:val="000000"/>
          <w:sz w:val="24"/>
          <w:szCs w:val="24"/>
          <w:lang w:eastAsia="en-IN"/>
        </w:rPr>
        <w:t>and 3950.8</w:t>
      </w:r>
      <w:r>
        <w:rPr>
          <w:rFonts w:ascii="Calibri" w:eastAsia="Times New Roman" w:hAnsi="Calibri" w:cs="Times New Roman"/>
          <w:color w:val="000000"/>
          <w:sz w:val="24"/>
          <w:szCs w:val="24"/>
          <w:lang w:eastAsia="en-IN"/>
        </w:rPr>
        <w:t xml:space="preserve"> for 2018</w:t>
      </w:r>
      <w:r w:rsidR="009D15F8">
        <w:rPr>
          <w:rFonts w:ascii="Calibri" w:eastAsia="Times New Roman" w:hAnsi="Calibri" w:cs="Times New Roman"/>
          <w:color w:val="000000"/>
          <w:sz w:val="24"/>
          <w:szCs w:val="24"/>
          <w:lang w:eastAsia="en-IN"/>
        </w:rPr>
        <w:t>, 2017, and 2016</w:t>
      </w:r>
      <w:r>
        <w:rPr>
          <w:rFonts w:ascii="Calibri" w:eastAsia="Times New Roman" w:hAnsi="Calibri" w:cs="Times New Roman"/>
          <w:color w:val="000000"/>
          <w:sz w:val="24"/>
          <w:szCs w:val="24"/>
          <w:lang w:eastAsia="en-IN"/>
        </w:rPr>
        <w:t xml:space="preserve"> respectively</w:t>
      </w:r>
      <w:r w:rsidRPr="001F454A">
        <w:rPr>
          <w:rFonts w:ascii="Calibri" w:eastAsia="Times New Roman" w:hAnsi="Calibri" w:cs="Times New Roman"/>
          <w:color w:val="000000"/>
          <w:sz w:val="24"/>
          <w:szCs w:val="24"/>
          <w:lang w:eastAsia="en-IN"/>
        </w:rPr>
        <w:t>) because of excessive cash accumulation in 2017</w:t>
      </w:r>
      <w:r>
        <w:rPr>
          <w:rFonts w:ascii="Calibri" w:eastAsia="Times New Roman" w:hAnsi="Calibri" w:cs="Times New Roman"/>
          <w:color w:val="000000"/>
          <w:sz w:val="24"/>
          <w:szCs w:val="24"/>
          <w:lang w:eastAsia="en-IN"/>
        </w:rPr>
        <w:t>.</w:t>
      </w:r>
    </w:p>
    <w:p w:rsidR="001F454A" w:rsidRDefault="001F454A" w:rsidP="001F454A">
      <w:pPr>
        <w:spacing w:after="0" w:line="240" w:lineRule="auto"/>
        <w:rPr>
          <w:rFonts w:ascii="Calibri" w:eastAsia="Times New Roman" w:hAnsi="Calibri" w:cs="Times New Roman"/>
          <w:color w:val="000000"/>
          <w:sz w:val="24"/>
          <w:szCs w:val="24"/>
          <w:lang w:eastAsia="en-IN"/>
        </w:rPr>
      </w:pPr>
    </w:p>
    <w:p w:rsidR="001F454A" w:rsidRPr="001F454A" w:rsidRDefault="001F454A" w:rsidP="001F454A">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 xml:space="preserve">Due to their good Working Capital Management, Current Assets have increased significantly as compare to Current Liabilities. However too much increase in Cash and Equivalents suggest that the </w:t>
      </w:r>
      <w:r w:rsidR="007530B7">
        <w:rPr>
          <w:rFonts w:ascii="Calibri" w:eastAsia="Times New Roman" w:hAnsi="Calibri" w:cs="Times New Roman"/>
          <w:color w:val="000000"/>
          <w:sz w:val="24"/>
          <w:szCs w:val="24"/>
          <w:lang w:eastAsia="en-IN"/>
        </w:rPr>
        <w:t xml:space="preserve">further </w:t>
      </w:r>
      <w:r>
        <w:rPr>
          <w:rFonts w:ascii="Calibri" w:eastAsia="Times New Roman" w:hAnsi="Calibri" w:cs="Times New Roman"/>
          <w:color w:val="000000"/>
          <w:sz w:val="24"/>
          <w:szCs w:val="24"/>
          <w:lang w:eastAsia="en-IN"/>
        </w:rPr>
        <w:t>reinvestment of profits</w:t>
      </w:r>
      <w:r w:rsidR="007530B7">
        <w:rPr>
          <w:rFonts w:ascii="Calibri" w:eastAsia="Times New Roman" w:hAnsi="Calibri" w:cs="Times New Roman"/>
          <w:color w:val="000000"/>
          <w:sz w:val="24"/>
          <w:szCs w:val="24"/>
          <w:lang w:eastAsia="en-IN"/>
        </w:rPr>
        <w:t xml:space="preserve"> can be under taken.</w:t>
      </w:r>
    </w:p>
    <w:p w:rsidR="00766FF2" w:rsidRPr="005A4B0D" w:rsidRDefault="00766FF2" w:rsidP="00405E56">
      <w:pPr>
        <w:rPr>
          <w:sz w:val="24"/>
          <w:szCs w:val="24"/>
        </w:rPr>
      </w:pPr>
    </w:p>
    <w:p w:rsidR="00766FF2" w:rsidRDefault="00F447CD" w:rsidP="00405E56">
      <w:pPr>
        <w:rPr>
          <w:b/>
          <w:bCs/>
          <w:sz w:val="32"/>
          <w:szCs w:val="32"/>
        </w:rPr>
      </w:pPr>
      <w:r>
        <w:rPr>
          <w:b/>
          <w:bCs/>
          <w:sz w:val="32"/>
          <w:szCs w:val="32"/>
        </w:rPr>
        <w:t>DuPont Analysis</w:t>
      </w:r>
    </w:p>
    <w:tbl>
      <w:tblPr>
        <w:tblW w:w="6080" w:type="dxa"/>
        <w:tblInd w:w="103" w:type="dxa"/>
        <w:tblLook w:val="04A0" w:firstRow="1" w:lastRow="0" w:firstColumn="1" w:lastColumn="0" w:noHBand="0" w:noVBand="1"/>
      </w:tblPr>
      <w:tblGrid>
        <w:gridCol w:w="2180"/>
        <w:gridCol w:w="1300"/>
        <w:gridCol w:w="1300"/>
        <w:gridCol w:w="1300"/>
      </w:tblGrid>
      <w:tr w:rsidR="00F447CD" w:rsidRPr="00F447CD" w:rsidTr="00F447CD">
        <w:trPr>
          <w:trHeight w:val="315"/>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rPr>
                <w:rFonts w:ascii="Calibri" w:eastAsia="Times New Roman" w:hAnsi="Calibri" w:cs="Times New Roman"/>
                <w:b/>
                <w:bCs/>
                <w:color w:val="000000"/>
                <w:sz w:val="24"/>
                <w:szCs w:val="24"/>
                <w:lang w:eastAsia="en-IN"/>
              </w:rPr>
            </w:pPr>
            <w:r w:rsidRPr="00F447CD">
              <w:rPr>
                <w:rFonts w:ascii="Calibri" w:eastAsia="Times New Roman" w:hAnsi="Calibri" w:cs="Times New Roman"/>
                <w:b/>
                <w:bCs/>
                <w:color w:val="000000"/>
                <w:sz w:val="24"/>
                <w:szCs w:val="24"/>
                <w:lang w:eastAsia="en-IN"/>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b/>
                <w:bCs/>
                <w:color w:val="000000"/>
                <w:sz w:val="24"/>
                <w:szCs w:val="24"/>
                <w:lang w:eastAsia="en-IN"/>
              </w:rPr>
            </w:pPr>
            <w:r w:rsidRPr="00F447CD">
              <w:rPr>
                <w:rFonts w:ascii="Calibri" w:eastAsia="Times New Roman" w:hAnsi="Calibri" w:cs="Times New Roman"/>
                <w:b/>
                <w:bCs/>
                <w:color w:val="000000"/>
                <w:sz w:val="24"/>
                <w:szCs w:val="24"/>
                <w:lang w:eastAsia="en-IN"/>
              </w:rPr>
              <w:t>2018</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b/>
                <w:bCs/>
                <w:color w:val="000000"/>
                <w:sz w:val="24"/>
                <w:szCs w:val="24"/>
                <w:lang w:eastAsia="en-IN"/>
              </w:rPr>
            </w:pPr>
            <w:r w:rsidRPr="00F447CD">
              <w:rPr>
                <w:rFonts w:ascii="Calibri" w:eastAsia="Times New Roman" w:hAnsi="Calibri" w:cs="Times New Roman"/>
                <w:b/>
                <w:bCs/>
                <w:color w:val="000000"/>
                <w:sz w:val="24"/>
                <w:szCs w:val="24"/>
                <w:lang w:eastAsia="en-IN"/>
              </w:rPr>
              <w:t>2017</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b/>
                <w:bCs/>
                <w:color w:val="000000"/>
                <w:sz w:val="24"/>
                <w:szCs w:val="24"/>
                <w:lang w:eastAsia="en-IN"/>
              </w:rPr>
            </w:pPr>
            <w:r w:rsidRPr="00F447CD">
              <w:rPr>
                <w:rFonts w:ascii="Calibri" w:eastAsia="Times New Roman" w:hAnsi="Calibri" w:cs="Times New Roman"/>
                <w:b/>
                <w:bCs/>
                <w:color w:val="000000"/>
                <w:sz w:val="24"/>
                <w:szCs w:val="24"/>
                <w:lang w:eastAsia="en-IN"/>
              </w:rPr>
              <w:t>2016</w:t>
            </w:r>
          </w:p>
        </w:tc>
      </w:tr>
      <w:tr w:rsidR="00F447CD" w:rsidRPr="00F447CD" w:rsidTr="00F447CD">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rPr>
                <w:rFonts w:ascii="Calibri" w:eastAsia="Times New Roman" w:hAnsi="Calibri" w:cs="Times New Roman"/>
                <w:b/>
                <w:bCs/>
                <w:color w:val="000000"/>
                <w:sz w:val="24"/>
                <w:szCs w:val="24"/>
                <w:lang w:eastAsia="en-IN"/>
              </w:rPr>
            </w:pPr>
            <w:r w:rsidRPr="00F447CD">
              <w:rPr>
                <w:rFonts w:ascii="Calibri" w:eastAsia="Times New Roman" w:hAnsi="Calibri" w:cs="Times New Roman"/>
                <w:b/>
                <w:bCs/>
                <w:color w:val="000000"/>
                <w:sz w:val="24"/>
                <w:szCs w:val="24"/>
                <w:lang w:eastAsia="en-IN"/>
              </w:rPr>
              <w:t>Net Profit Margin</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14.23%</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12.02%</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10.57%</w:t>
            </w:r>
          </w:p>
        </w:tc>
      </w:tr>
      <w:tr w:rsidR="00F447CD" w:rsidRPr="00F447CD" w:rsidTr="00F447CD">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rPr>
                <w:rFonts w:ascii="Calibri" w:eastAsia="Times New Roman" w:hAnsi="Calibri" w:cs="Times New Roman"/>
                <w:b/>
                <w:bCs/>
                <w:color w:val="000000"/>
                <w:sz w:val="24"/>
                <w:szCs w:val="24"/>
                <w:lang w:eastAsia="en-IN"/>
              </w:rPr>
            </w:pPr>
            <w:r w:rsidRPr="00F447CD">
              <w:rPr>
                <w:rFonts w:ascii="Calibri" w:eastAsia="Times New Roman" w:hAnsi="Calibri" w:cs="Times New Roman"/>
                <w:b/>
                <w:bCs/>
                <w:color w:val="000000"/>
                <w:sz w:val="24"/>
                <w:szCs w:val="24"/>
                <w:lang w:eastAsia="en-IN"/>
              </w:rPr>
              <w:t>Asset Turnover Ratio</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146.17%</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143.87%</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146.92%</w:t>
            </w:r>
          </w:p>
        </w:tc>
      </w:tr>
      <w:tr w:rsidR="00F447CD" w:rsidRPr="00F447CD" w:rsidTr="00F447CD">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rPr>
                <w:rFonts w:ascii="Calibri" w:eastAsia="Times New Roman" w:hAnsi="Calibri" w:cs="Times New Roman"/>
                <w:b/>
                <w:bCs/>
                <w:color w:val="000000"/>
                <w:sz w:val="24"/>
                <w:szCs w:val="24"/>
                <w:lang w:eastAsia="en-IN"/>
              </w:rPr>
            </w:pPr>
            <w:r w:rsidRPr="00F447CD">
              <w:rPr>
                <w:rFonts w:ascii="Calibri" w:eastAsia="Times New Roman" w:hAnsi="Calibri" w:cs="Times New Roman"/>
                <w:b/>
                <w:bCs/>
                <w:color w:val="000000"/>
                <w:sz w:val="24"/>
                <w:szCs w:val="24"/>
                <w:lang w:eastAsia="en-IN"/>
              </w:rPr>
              <w:t>Financial Leverage</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210.29%</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207.11%</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213.90%</w:t>
            </w:r>
          </w:p>
        </w:tc>
      </w:tr>
      <w:tr w:rsidR="00F447CD" w:rsidRPr="00F447CD" w:rsidTr="00F447CD">
        <w:trPr>
          <w:trHeight w:val="31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rPr>
                <w:rFonts w:ascii="Calibri" w:eastAsia="Times New Roman" w:hAnsi="Calibri" w:cs="Times New Roman"/>
                <w:b/>
                <w:bCs/>
                <w:color w:val="000000"/>
                <w:sz w:val="24"/>
                <w:szCs w:val="24"/>
                <w:lang w:eastAsia="en-IN"/>
              </w:rPr>
            </w:pPr>
            <w:r w:rsidRPr="00F447CD">
              <w:rPr>
                <w:rFonts w:ascii="Calibri" w:eastAsia="Times New Roman" w:hAnsi="Calibri" w:cs="Times New Roman"/>
                <w:b/>
                <w:bCs/>
                <w:color w:val="000000"/>
                <w:sz w:val="24"/>
                <w:szCs w:val="24"/>
                <w:lang w:eastAsia="en-IN"/>
              </w:rPr>
              <w:t>ROE</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43.74%</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35.82%</w:t>
            </w:r>
          </w:p>
        </w:tc>
        <w:tc>
          <w:tcPr>
            <w:tcW w:w="1300" w:type="dxa"/>
            <w:tcBorders>
              <w:top w:val="nil"/>
              <w:left w:val="nil"/>
              <w:bottom w:val="single" w:sz="4" w:space="0" w:color="auto"/>
              <w:right w:val="single" w:sz="4" w:space="0" w:color="auto"/>
            </w:tcBorders>
            <w:shd w:val="clear" w:color="auto" w:fill="auto"/>
            <w:noWrap/>
            <w:vAlign w:val="center"/>
            <w:hideMark/>
          </w:tcPr>
          <w:p w:rsidR="00F447CD" w:rsidRPr="00F447CD" w:rsidRDefault="00F447CD" w:rsidP="00F447CD">
            <w:pPr>
              <w:spacing w:after="0" w:line="240" w:lineRule="auto"/>
              <w:jc w:val="right"/>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33.22%</w:t>
            </w:r>
          </w:p>
        </w:tc>
      </w:tr>
    </w:tbl>
    <w:p w:rsidR="00F447CD" w:rsidRPr="00F447CD" w:rsidRDefault="00F447CD" w:rsidP="00405E56">
      <w:pPr>
        <w:rPr>
          <w:b/>
          <w:bCs/>
          <w:sz w:val="32"/>
          <w:szCs w:val="32"/>
        </w:rPr>
      </w:pPr>
    </w:p>
    <w:p w:rsidR="00F447CD" w:rsidRPr="00F447CD" w:rsidRDefault="00F447CD" w:rsidP="00F447CD">
      <w:pPr>
        <w:spacing w:after="0" w:line="240" w:lineRule="auto"/>
        <w:rPr>
          <w:rFonts w:ascii="Calibri" w:eastAsia="Times New Roman" w:hAnsi="Calibri" w:cs="Times New Roman"/>
          <w:color w:val="000000"/>
          <w:sz w:val="24"/>
          <w:szCs w:val="24"/>
          <w:lang w:eastAsia="en-IN"/>
        </w:rPr>
      </w:pPr>
      <w:r w:rsidRPr="00F447CD">
        <w:rPr>
          <w:rFonts w:ascii="Calibri" w:eastAsia="Times New Roman" w:hAnsi="Calibri" w:cs="Times New Roman"/>
          <w:color w:val="000000"/>
          <w:sz w:val="24"/>
          <w:szCs w:val="24"/>
          <w:lang w:eastAsia="en-IN"/>
        </w:rPr>
        <w:t xml:space="preserve">The company exhibited a decent ROE of 43.75% as of 2018, which was a significant increase from the ROE of previous years. A 3 part </w:t>
      </w:r>
      <w:proofErr w:type="spellStart"/>
      <w:r w:rsidRPr="00F447CD">
        <w:rPr>
          <w:rFonts w:ascii="Calibri" w:eastAsia="Times New Roman" w:hAnsi="Calibri" w:cs="Times New Roman"/>
          <w:color w:val="000000"/>
          <w:sz w:val="24"/>
          <w:szCs w:val="24"/>
          <w:lang w:eastAsia="en-IN"/>
        </w:rPr>
        <w:t>du</w:t>
      </w:r>
      <w:r w:rsidR="009D15F8">
        <w:rPr>
          <w:rFonts w:ascii="Calibri" w:eastAsia="Times New Roman" w:hAnsi="Calibri" w:cs="Times New Roman"/>
          <w:color w:val="000000"/>
          <w:sz w:val="24"/>
          <w:szCs w:val="24"/>
          <w:lang w:eastAsia="en-IN"/>
        </w:rPr>
        <w:t>P</w:t>
      </w:r>
      <w:r w:rsidRPr="00F447CD">
        <w:rPr>
          <w:rFonts w:ascii="Calibri" w:eastAsia="Times New Roman" w:hAnsi="Calibri" w:cs="Times New Roman"/>
          <w:color w:val="000000"/>
          <w:sz w:val="24"/>
          <w:szCs w:val="24"/>
          <w:lang w:eastAsia="en-IN"/>
        </w:rPr>
        <w:t>ont</w:t>
      </w:r>
      <w:proofErr w:type="spellEnd"/>
      <w:r w:rsidRPr="00F447CD">
        <w:rPr>
          <w:rFonts w:ascii="Calibri" w:eastAsia="Times New Roman" w:hAnsi="Calibri" w:cs="Times New Roman"/>
          <w:color w:val="000000"/>
          <w:sz w:val="24"/>
          <w:szCs w:val="24"/>
          <w:lang w:eastAsia="en-IN"/>
        </w:rPr>
        <w:t xml:space="preserve"> analysis has been done to analyse this increase in ROE. Over the 3 years, it is observed that the equity multiple i.e. the financial leverage has been at a stable level, although it rose in 2018, it is lesser than the leverage used in 2016. The asset turnover ratio too has remained comparatively stable throughout the years, falling in 2017 and rising back up in 2018. The company is able to efficiently churn its assets nearly 1.5 times consistently over the past 3 years, which is a good sign. Lastly, the net profit margin is notable as it is seen to be consistently rising over the past 3 years, from 10.57% in 2016, 12.02% in 2017 and 14.23% in 2018. This is again another very positive </w:t>
      </w:r>
      <w:proofErr w:type="gramStart"/>
      <w:r w:rsidRPr="00F447CD">
        <w:rPr>
          <w:rFonts w:ascii="Calibri" w:eastAsia="Times New Roman" w:hAnsi="Calibri" w:cs="Times New Roman"/>
          <w:color w:val="000000"/>
          <w:sz w:val="24"/>
          <w:szCs w:val="24"/>
          <w:lang w:eastAsia="en-IN"/>
        </w:rPr>
        <w:t>sign ,</w:t>
      </w:r>
      <w:proofErr w:type="gramEnd"/>
      <w:r w:rsidRPr="00F447CD">
        <w:rPr>
          <w:rFonts w:ascii="Calibri" w:eastAsia="Times New Roman" w:hAnsi="Calibri" w:cs="Times New Roman"/>
          <w:color w:val="000000"/>
          <w:sz w:val="24"/>
          <w:szCs w:val="24"/>
          <w:lang w:eastAsia="en-IN"/>
        </w:rPr>
        <w:t xml:space="preserve"> because it shows the company is able to effectively grow its profits. The increase in ROE in 2018 is most notably due to the increase in net profit margin and asset turnover while the financial leverage remains in consistent levels. Overall, this indicates the company has strong fundamentals and is able to manage itself well.</w:t>
      </w:r>
    </w:p>
    <w:p w:rsidR="00766FF2" w:rsidRDefault="00766FF2" w:rsidP="00405E56">
      <w:pPr>
        <w:rPr>
          <w:b/>
          <w:bCs/>
          <w:sz w:val="40"/>
          <w:szCs w:val="40"/>
        </w:rPr>
      </w:pPr>
    </w:p>
    <w:p w:rsidR="00766FF2" w:rsidRDefault="00766FF2" w:rsidP="00405E56">
      <w:pPr>
        <w:rPr>
          <w:b/>
          <w:bCs/>
          <w:sz w:val="40"/>
          <w:szCs w:val="40"/>
        </w:rPr>
      </w:pPr>
    </w:p>
    <w:p w:rsidR="00766FF2" w:rsidRDefault="00766FF2" w:rsidP="00405E56">
      <w:pPr>
        <w:rPr>
          <w:b/>
          <w:bCs/>
          <w:sz w:val="40"/>
          <w:szCs w:val="40"/>
        </w:rPr>
      </w:pPr>
    </w:p>
    <w:p w:rsidR="00766FF2" w:rsidRDefault="00766FF2" w:rsidP="00405E56">
      <w:pPr>
        <w:rPr>
          <w:b/>
          <w:bCs/>
          <w:sz w:val="40"/>
          <w:szCs w:val="40"/>
        </w:rPr>
      </w:pPr>
    </w:p>
    <w:p w:rsidR="00766FF2" w:rsidRDefault="00766FF2" w:rsidP="00405E56">
      <w:pPr>
        <w:rPr>
          <w:b/>
          <w:bCs/>
          <w:sz w:val="40"/>
          <w:szCs w:val="40"/>
        </w:rPr>
      </w:pPr>
    </w:p>
    <w:p w:rsidR="00485AF3" w:rsidRDefault="00485AF3" w:rsidP="00405E56">
      <w:pPr>
        <w:rPr>
          <w:b/>
          <w:bCs/>
          <w:sz w:val="40"/>
          <w:szCs w:val="40"/>
        </w:rPr>
      </w:pPr>
      <w:r>
        <w:rPr>
          <w:b/>
          <w:bCs/>
          <w:sz w:val="40"/>
          <w:szCs w:val="40"/>
        </w:rPr>
        <w:lastRenderedPageBreak/>
        <w:t xml:space="preserve">Q3 </w:t>
      </w:r>
      <w:r w:rsidR="009D15F8">
        <w:rPr>
          <w:b/>
          <w:bCs/>
          <w:sz w:val="40"/>
          <w:szCs w:val="40"/>
        </w:rPr>
        <w:t>ANALYSING CASH</w:t>
      </w:r>
      <w:r>
        <w:rPr>
          <w:b/>
          <w:bCs/>
          <w:sz w:val="40"/>
          <w:szCs w:val="40"/>
        </w:rPr>
        <w:t xml:space="preserve"> FLOW PATTERN</w:t>
      </w:r>
    </w:p>
    <w:p w:rsidR="00485AF3" w:rsidRPr="00485AF3" w:rsidRDefault="00485AF3" w:rsidP="00485AF3">
      <w:pPr>
        <w:spacing w:after="0" w:line="240" w:lineRule="auto"/>
        <w:rPr>
          <w:rFonts w:eastAsia="Times New Roman" w:cs="Times New Roman"/>
          <w:b/>
          <w:bCs/>
          <w:sz w:val="32"/>
          <w:szCs w:val="32"/>
          <w:lang w:eastAsia="en-IN"/>
        </w:rPr>
      </w:pPr>
      <w:r w:rsidRPr="00485AF3">
        <w:rPr>
          <w:rFonts w:eastAsia="Times New Roman" w:cs="Arial"/>
          <w:b/>
          <w:bCs/>
          <w:color w:val="000000"/>
          <w:sz w:val="32"/>
          <w:szCs w:val="32"/>
          <w:lang w:eastAsia="en-IN"/>
        </w:rPr>
        <w:t xml:space="preserve">Cash flow from </w:t>
      </w:r>
      <w:r w:rsidR="009D15F8">
        <w:rPr>
          <w:rFonts w:eastAsia="Times New Roman" w:cs="Arial"/>
          <w:b/>
          <w:bCs/>
          <w:color w:val="000000"/>
          <w:sz w:val="32"/>
          <w:szCs w:val="32"/>
          <w:lang w:eastAsia="en-IN"/>
        </w:rPr>
        <w:t>operating</w:t>
      </w:r>
      <w:r w:rsidRPr="00485AF3">
        <w:rPr>
          <w:rFonts w:eastAsia="Times New Roman" w:cs="Arial"/>
          <w:b/>
          <w:bCs/>
          <w:color w:val="000000"/>
          <w:sz w:val="32"/>
          <w:szCs w:val="32"/>
          <w:lang w:eastAsia="en-IN"/>
        </w:rPr>
        <w:t xml:space="preserve"> activities:</w:t>
      </w: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 xml:space="preserve">For the years ending December 2016, 2017 and 2018, the cash flow from operating activities were 14,659.1, 18,177.9, 20,524.5 (Rupees in million) respectively. We observe that there has been a steady increase in cash flow generated from the operating activities. The main reason for this is the increase in profits generated before tax year on year. This indicates the amount of money Nestle is bringing in from its ongoing, regular business </w:t>
      </w:r>
      <w:r w:rsidRPr="00485AF3">
        <w:rPr>
          <w:rFonts w:eastAsia="Times New Roman" w:cs="Arial"/>
          <w:b/>
          <w:bCs/>
          <w:color w:val="000000"/>
          <w:sz w:val="24"/>
          <w:szCs w:val="24"/>
          <w:lang w:eastAsia="en-IN"/>
        </w:rPr>
        <w:t>activities</w:t>
      </w:r>
      <w:r w:rsidRPr="00485AF3">
        <w:rPr>
          <w:rFonts w:eastAsia="Times New Roman" w:cs="Arial"/>
          <w:color w:val="000000"/>
          <w:sz w:val="24"/>
          <w:szCs w:val="24"/>
          <w:lang w:eastAsia="en-IN"/>
        </w:rPr>
        <w:t>, such as manufacturing and selling goods has been rising which is a good sign for investors as it means that the company is able to sufficiently capitalize on its core business activities. While in 2016 and 2017, the profit from operations is quite close to the cash flow from operations, we can infer that the company is able to sufficiently turn its profit into cash meaning it may not face too many problems in the face of short-term liquidity. Coming to 2018, there is a larger disparity between the profit and actual cash generated from operations. This is due to a comparatively large increase in inventories and trade receivables as compared to the previous year’s decrease in the same. The increase in inventories signifies that the company has acquired more goods than it has been able to sell. An increase in receivables again implies a drain on its cash reserves with the added risk of defaulting from the debtors. Overall, the company has significant positive cash coming in from operations which is an indication that the company can handle its day to day business adequately while also being able to cover core payments such as tax and interest payments without taking on additional debt. However, the increase in inventories and receivables is worth noting.</w:t>
      </w:r>
    </w:p>
    <w:p w:rsidR="00485AF3" w:rsidRPr="00485AF3" w:rsidRDefault="00485AF3" w:rsidP="00485AF3">
      <w:pPr>
        <w:spacing w:after="0" w:line="240" w:lineRule="auto"/>
        <w:rPr>
          <w:rFonts w:eastAsia="Times New Roman" w:cs="Times New Roman"/>
          <w:sz w:val="24"/>
          <w:szCs w:val="24"/>
          <w:lang w:eastAsia="en-IN"/>
        </w:rPr>
      </w:pPr>
    </w:p>
    <w:p w:rsidR="00485AF3" w:rsidRPr="00485AF3" w:rsidRDefault="00485AF3" w:rsidP="00485AF3">
      <w:pPr>
        <w:spacing w:after="0" w:line="240" w:lineRule="auto"/>
        <w:rPr>
          <w:rFonts w:eastAsia="Times New Roman" w:cs="Times New Roman"/>
          <w:b/>
          <w:bCs/>
          <w:sz w:val="32"/>
          <w:szCs w:val="32"/>
          <w:lang w:eastAsia="en-IN"/>
        </w:rPr>
      </w:pPr>
      <w:r w:rsidRPr="00485AF3">
        <w:rPr>
          <w:rFonts w:eastAsia="Times New Roman" w:cs="Arial"/>
          <w:b/>
          <w:bCs/>
          <w:color w:val="000000"/>
          <w:sz w:val="32"/>
          <w:szCs w:val="32"/>
          <w:lang w:eastAsia="en-IN"/>
        </w:rPr>
        <w:t xml:space="preserve">Cash flow from </w:t>
      </w:r>
      <w:r w:rsidR="009D15F8" w:rsidRPr="00485AF3">
        <w:rPr>
          <w:rFonts w:eastAsia="Times New Roman" w:cs="Arial"/>
          <w:b/>
          <w:bCs/>
          <w:color w:val="000000"/>
          <w:sz w:val="32"/>
          <w:szCs w:val="32"/>
          <w:lang w:eastAsia="en-IN"/>
        </w:rPr>
        <w:t>investing</w:t>
      </w:r>
      <w:r w:rsidRPr="00485AF3">
        <w:rPr>
          <w:rFonts w:eastAsia="Times New Roman" w:cs="Arial"/>
          <w:b/>
          <w:bCs/>
          <w:color w:val="000000"/>
          <w:sz w:val="32"/>
          <w:szCs w:val="32"/>
          <w:lang w:eastAsia="en-IN"/>
        </w:rPr>
        <w:t xml:space="preserve"> activities:</w:t>
      </w: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 xml:space="preserve">For the years ending December 2016, 2017 and 2018, the cash flow used in investing activities were 1,274.1, 1,305.6, 524.1 (Rupees in million) respectively. 2017 saw a slight increase in cash flow used in investing but there were no abnormal investing activities that led to a significant difference in the cash flow from 2016. However, in 2018, there was a substantial decline in cash used in investing activities. This was because interest received on bank deposits, investments, tax free </w:t>
      </w:r>
      <w:proofErr w:type="gramStart"/>
      <w:r w:rsidRPr="00485AF3">
        <w:rPr>
          <w:rFonts w:eastAsia="Times New Roman" w:cs="Arial"/>
          <w:color w:val="000000"/>
          <w:sz w:val="24"/>
          <w:szCs w:val="24"/>
          <w:lang w:eastAsia="en-IN"/>
        </w:rPr>
        <w:t>bonds,</w:t>
      </w:r>
      <w:proofErr w:type="gramEnd"/>
      <w:r w:rsidRPr="00485AF3">
        <w:rPr>
          <w:rFonts w:eastAsia="Times New Roman" w:cs="Arial"/>
          <w:color w:val="000000"/>
          <w:sz w:val="24"/>
          <w:szCs w:val="24"/>
          <w:lang w:eastAsia="en-IN"/>
        </w:rPr>
        <w:t xml:space="preserve"> employee loans </w:t>
      </w:r>
      <w:r w:rsidR="009D15F8" w:rsidRPr="00485AF3">
        <w:rPr>
          <w:rFonts w:eastAsia="Times New Roman" w:cs="Arial"/>
          <w:color w:val="000000"/>
          <w:sz w:val="24"/>
          <w:szCs w:val="24"/>
          <w:lang w:eastAsia="en-IN"/>
        </w:rPr>
        <w:t>etc.</w:t>
      </w:r>
      <w:r w:rsidRPr="00485AF3">
        <w:rPr>
          <w:rFonts w:eastAsia="Times New Roman" w:cs="Arial"/>
          <w:color w:val="000000"/>
          <w:sz w:val="24"/>
          <w:szCs w:val="24"/>
          <w:lang w:eastAsia="en-IN"/>
        </w:rPr>
        <w:t xml:space="preserve"> offset the other investing activities to a greater extent. The presence of greater interest received, may be due to recurring cash flows arising from new investments the entity holds. Overall, there seems to be a positive signal in this respect.</w:t>
      </w:r>
    </w:p>
    <w:p w:rsidR="00485AF3" w:rsidRPr="00485AF3" w:rsidRDefault="00485AF3" w:rsidP="00485AF3">
      <w:pPr>
        <w:spacing w:after="0" w:line="240" w:lineRule="auto"/>
        <w:rPr>
          <w:rFonts w:eastAsia="Times New Roman" w:cs="Times New Roman"/>
          <w:b/>
          <w:bCs/>
          <w:sz w:val="32"/>
          <w:szCs w:val="32"/>
          <w:lang w:eastAsia="en-IN"/>
        </w:rPr>
      </w:pPr>
    </w:p>
    <w:p w:rsidR="00485AF3" w:rsidRPr="00485AF3" w:rsidRDefault="00485AF3" w:rsidP="00485AF3">
      <w:pPr>
        <w:spacing w:after="0" w:line="240" w:lineRule="auto"/>
        <w:rPr>
          <w:rFonts w:eastAsia="Times New Roman" w:cs="Times New Roman"/>
          <w:b/>
          <w:bCs/>
          <w:sz w:val="32"/>
          <w:szCs w:val="32"/>
          <w:lang w:eastAsia="en-IN"/>
        </w:rPr>
      </w:pPr>
      <w:r w:rsidRPr="00485AF3">
        <w:rPr>
          <w:rFonts w:eastAsia="Times New Roman" w:cs="Arial"/>
          <w:b/>
          <w:bCs/>
          <w:color w:val="000000"/>
          <w:sz w:val="32"/>
          <w:szCs w:val="32"/>
          <w:lang w:eastAsia="en-IN"/>
        </w:rPr>
        <w:t xml:space="preserve">Cash flow from </w:t>
      </w:r>
      <w:r w:rsidR="009D15F8" w:rsidRPr="00485AF3">
        <w:rPr>
          <w:rFonts w:eastAsia="Times New Roman" w:cs="Arial"/>
          <w:b/>
          <w:bCs/>
          <w:color w:val="000000"/>
          <w:sz w:val="32"/>
          <w:szCs w:val="32"/>
          <w:lang w:eastAsia="en-IN"/>
        </w:rPr>
        <w:t>financing</w:t>
      </w:r>
      <w:r w:rsidRPr="00485AF3">
        <w:rPr>
          <w:rFonts w:eastAsia="Times New Roman" w:cs="Arial"/>
          <w:b/>
          <w:bCs/>
          <w:color w:val="000000"/>
          <w:sz w:val="32"/>
          <w:szCs w:val="32"/>
          <w:lang w:eastAsia="en-IN"/>
        </w:rPr>
        <w:t xml:space="preserve"> activities:</w:t>
      </w: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For the years ending December 2016, 2017 and 2018, the cash flow used in financing activities were 6,665.5, 9,966.2, 13,174.2 (Rupees in million) respectively. We see that there is an overall increasing trend in cash used in financing activities. The reason for this is a higher total dividend payment by the company to its shareholders year on year. It can be assumed that this dividend increase is due to improved cash flows generated by the company, mainly as a result of higher profits generated year on year that the company is able to convert into cash. While an increase in dividends may signify the shift in focus of the company from investing in growth and expansion, overall it can be viewed as a positive sign of the cash strength of the company.</w:t>
      </w:r>
    </w:p>
    <w:p w:rsidR="00485AF3" w:rsidRDefault="009D15F8" w:rsidP="00405E56">
      <w:pPr>
        <w:rPr>
          <w:b/>
          <w:bCs/>
          <w:sz w:val="40"/>
          <w:szCs w:val="40"/>
        </w:rPr>
      </w:pPr>
      <w:r>
        <w:rPr>
          <w:b/>
          <w:bCs/>
          <w:sz w:val="40"/>
          <w:szCs w:val="40"/>
        </w:rPr>
        <w:lastRenderedPageBreak/>
        <w:t>Q4 CAPITAL</w:t>
      </w:r>
      <w:r w:rsidR="00485AF3">
        <w:rPr>
          <w:b/>
          <w:bCs/>
          <w:sz w:val="40"/>
          <w:szCs w:val="40"/>
        </w:rPr>
        <w:t xml:space="preserve"> STRUCTURE</w:t>
      </w: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The capital structure of a company refers to the combination of debt and equity that is used to finance its assets.</w:t>
      </w:r>
      <w:r w:rsidR="005007EF">
        <w:rPr>
          <w:rFonts w:eastAsia="Times New Roman" w:cs="Arial"/>
          <w:color w:val="000000"/>
          <w:sz w:val="24"/>
          <w:szCs w:val="24"/>
          <w:lang w:eastAsia="en-IN"/>
        </w:rPr>
        <w:t xml:space="preserve"> Hence we have taken Debt/Equity ratio to compare the Capital structures. </w:t>
      </w:r>
    </w:p>
    <w:p w:rsidR="00485AF3" w:rsidRPr="00485AF3" w:rsidRDefault="00485AF3" w:rsidP="00485AF3">
      <w:pPr>
        <w:spacing w:after="0" w:line="240" w:lineRule="auto"/>
        <w:rPr>
          <w:rFonts w:eastAsia="Times New Roman" w:cs="Times New Roman"/>
          <w:sz w:val="24"/>
          <w:szCs w:val="24"/>
          <w:lang w:eastAsia="en-IN"/>
        </w:rPr>
      </w:pP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For the purpose of the analysis, we consider each company’s total shareholder’s equity and its debt obligations. </w:t>
      </w:r>
    </w:p>
    <w:p w:rsidR="00485AF3" w:rsidRPr="00485AF3" w:rsidRDefault="00485AF3" w:rsidP="00485AF3">
      <w:pPr>
        <w:spacing w:after="0" w:line="240" w:lineRule="auto"/>
        <w:rPr>
          <w:rFonts w:eastAsia="Times New Roman" w:cs="Times New Roman"/>
          <w:sz w:val="24"/>
          <w:szCs w:val="24"/>
          <w:lang w:eastAsia="en-IN"/>
        </w:rPr>
      </w:pP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NESTLE India Ltd.:</w:t>
      </w: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(All numbers are in thousands of rupees except the ratios)</w:t>
      </w:r>
    </w:p>
    <w:tbl>
      <w:tblPr>
        <w:tblW w:w="9360" w:type="dxa"/>
        <w:tblCellMar>
          <w:top w:w="15" w:type="dxa"/>
          <w:left w:w="15" w:type="dxa"/>
          <w:bottom w:w="15" w:type="dxa"/>
          <w:right w:w="15" w:type="dxa"/>
        </w:tblCellMar>
        <w:tblLook w:val="04A0" w:firstRow="1" w:lastRow="0" w:firstColumn="1" w:lastColumn="0" w:noHBand="0" w:noVBand="1"/>
      </w:tblPr>
      <w:tblGrid>
        <w:gridCol w:w="3905"/>
        <w:gridCol w:w="1359"/>
        <w:gridCol w:w="1359"/>
        <w:gridCol w:w="2737"/>
      </w:tblGrid>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240" w:lineRule="auto"/>
              <w:rPr>
                <w:rFonts w:eastAsia="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30/12/2018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30/12/2017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30/12/2016</w:t>
            </w:r>
          </w:p>
        </w:tc>
      </w:tr>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Net Shareholder’s Equity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3,67,37,400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3,42,05,900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3,01,37,000</w:t>
            </w:r>
          </w:p>
        </w:tc>
      </w:tr>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Debt obligations</w:t>
            </w:r>
          </w:p>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(Long term debt + short term/ current debt)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3,51,400</w:t>
            </w:r>
          </w:p>
          <w:p w:rsidR="00485AF3" w:rsidRPr="00485AF3" w:rsidRDefault="00485AF3" w:rsidP="00485AF3">
            <w:pPr>
              <w:spacing w:after="240" w:line="0" w:lineRule="atLeast"/>
              <w:rPr>
                <w:rFonts w:eastAsia="Times New Roman" w:cs="Times New Roman"/>
                <w:sz w:val="24"/>
                <w:szCs w:val="24"/>
                <w:lang w:eastAsia="en-IN"/>
              </w:rPr>
            </w:pPr>
            <w:r w:rsidRPr="00485AF3">
              <w:rPr>
                <w:rFonts w:eastAsia="Times New Roman" w:cs="Times New Roman"/>
                <w:sz w:val="24"/>
                <w:szCs w:val="24"/>
                <w:lang w:eastAsia="en-IN"/>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3,51,400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3,31,500 + 11,500 = 3,43,000 </w:t>
            </w:r>
          </w:p>
        </w:tc>
      </w:tr>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Debt to Equity ratio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0.0096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0.0102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0.0113</w:t>
            </w:r>
          </w:p>
        </w:tc>
      </w:tr>
    </w:tbl>
    <w:p w:rsidR="00485AF3" w:rsidRPr="00485AF3" w:rsidRDefault="00485AF3" w:rsidP="00485AF3">
      <w:pPr>
        <w:spacing w:after="240" w:line="240" w:lineRule="auto"/>
        <w:rPr>
          <w:rFonts w:eastAsia="Times New Roman" w:cs="Times New Roman"/>
          <w:sz w:val="24"/>
          <w:szCs w:val="24"/>
          <w:lang w:eastAsia="en-IN"/>
        </w:rPr>
      </w:pP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Debt to Equity ratios:</w:t>
      </w:r>
    </w:p>
    <w:tbl>
      <w:tblPr>
        <w:tblW w:w="9360" w:type="dxa"/>
        <w:tblCellMar>
          <w:top w:w="15" w:type="dxa"/>
          <w:left w:w="15" w:type="dxa"/>
          <w:bottom w:w="15" w:type="dxa"/>
          <w:right w:w="15" w:type="dxa"/>
        </w:tblCellMar>
        <w:tblLook w:val="04A0" w:firstRow="1" w:lastRow="0" w:firstColumn="1" w:lastColumn="0" w:noHBand="0" w:noVBand="1"/>
      </w:tblPr>
      <w:tblGrid>
        <w:gridCol w:w="3793"/>
        <w:gridCol w:w="1855"/>
        <w:gridCol w:w="1856"/>
        <w:gridCol w:w="1856"/>
      </w:tblGrid>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240" w:lineRule="auto"/>
              <w:rPr>
                <w:rFonts w:eastAsia="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31/3/2018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31/3/2017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31/3/2016</w:t>
            </w:r>
          </w:p>
        </w:tc>
      </w:tr>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Dabur India Ltd.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0.19</w:t>
            </w:r>
          </w:p>
        </w:tc>
      </w:tr>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Hindustan Unilever Ltd.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0.04</w:t>
            </w:r>
          </w:p>
          <w:p w:rsidR="00485AF3" w:rsidRPr="00485AF3" w:rsidRDefault="00485AF3" w:rsidP="00485AF3">
            <w:pPr>
              <w:spacing w:after="0" w:line="0" w:lineRule="atLeast"/>
              <w:rPr>
                <w:rFonts w:eastAsia="Times New Roman" w:cs="Times New Roman"/>
                <w:sz w:val="24"/>
                <w:szCs w:val="24"/>
                <w:lang w:eastAsia="en-IN"/>
              </w:rPr>
            </w:pPr>
          </w:p>
        </w:tc>
      </w:tr>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before="480" w:after="120" w:line="0" w:lineRule="atLeast"/>
              <w:outlineLvl w:val="0"/>
              <w:rPr>
                <w:rFonts w:eastAsia="Times New Roman" w:cs="Times New Roman"/>
                <w:b/>
                <w:bCs/>
                <w:kern w:val="36"/>
                <w:sz w:val="24"/>
                <w:szCs w:val="24"/>
                <w:lang w:eastAsia="en-IN"/>
              </w:rPr>
            </w:pPr>
            <w:r w:rsidRPr="00485AF3">
              <w:rPr>
                <w:rFonts w:eastAsia="Times New Roman" w:cs="Arial"/>
                <w:color w:val="000000"/>
                <w:kern w:val="36"/>
                <w:sz w:val="24"/>
                <w:szCs w:val="24"/>
                <w:lang w:eastAsia="en-IN"/>
              </w:rPr>
              <w:t>Britannia Industries Ltd.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0.04</w:t>
            </w:r>
          </w:p>
        </w:tc>
      </w:tr>
    </w:tbl>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Source: Moneycontrol.in</w:t>
      </w:r>
    </w:p>
    <w:p w:rsidR="00485AF3" w:rsidRPr="00485AF3" w:rsidRDefault="00485AF3" w:rsidP="00485AF3">
      <w:pPr>
        <w:spacing w:after="0" w:line="240" w:lineRule="auto"/>
        <w:rPr>
          <w:rFonts w:eastAsia="Times New Roman" w:cs="Times New Roman"/>
          <w:sz w:val="24"/>
          <w:szCs w:val="24"/>
          <w:lang w:eastAsia="en-IN"/>
        </w:rPr>
      </w:pP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We have analysed the capital structure of each company by comparing the respective debt to equity ratios with each other which helps to analyse the degree to which a company is financing its operations through debt compared to wholly-owned funds.  </w:t>
      </w:r>
    </w:p>
    <w:p w:rsidR="00485AF3" w:rsidRDefault="00485AF3" w:rsidP="00485AF3">
      <w:pPr>
        <w:spacing w:after="0" w:line="240" w:lineRule="auto"/>
        <w:rPr>
          <w:rFonts w:eastAsia="Times New Roman" w:cs="Arial"/>
          <w:color w:val="000000"/>
          <w:sz w:val="24"/>
          <w:szCs w:val="24"/>
          <w:lang w:eastAsia="en-IN"/>
        </w:rPr>
      </w:pPr>
      <w:r w:rsidRPr="00485AF3">
        <w:rPr>
          <w:rFonts w:eastAsia="Times New Roman" w:cs="Arial"/>
          <w:color w:val="000000"/>
          <w:sz w:val="24"/>
          <w:szCs w:val="24"/>
          <w:lang w:eastAsia="en-IN"/>
        </w:rPr>
        <w:t xml:space="preserve">It can be seen that in the case of Nestle India, the ratio has been decreasing slightly but overall remains comparatively </w:t>
      </w:r>
      <w:proofErr w:type="gramStart"/>
      <w:r w:rsidRPr="00485AF3">
        <w:rPr>
          <w:rFonts w:eastAsia="Times New Roman" w:cs="Arial"/>
          <w:color w:val="000000"/>
          <w:sz w:val="24"/>
          <w:szCs w:val="24"/>
          <w:lang w:eastAsia="en-IN"/>
        </w:rPr>
        <w:t>low,</w:t>
      </w:r>
      <w:proofErr w:type="gramEnd"/>
      <w:r w:rsidRPr="00485AF3">
        <w:rPr>
          <w:rFonts w:eastAsia="Times New Roman" w:cs="Arial"/>
          <w:color w:val="000000"/>
          <w:sz w:val="24"/>
          <w:szCs w:val="24"/>
          <w:lang w:eastAsia="en-IN"/>
        </w:rPr>
        <w:t xml:space="preserve"> allowing us to state that the company is virtually debt free. In other words, the company finances a majority of its assets through its equity that has been growing over the past 3 years, while the debt which is mainly long term is substantially smaller. The fact that the company relies less on outside loans to finance its operations is a good sign of a strong balance sheet as the higher level of equity provides a healthy cushion in the case of business decline, where debt obligations would not be too forbearing. Overall, equity financing benefits the company as it is less risky, leads to lesser </w:t>
      </w:r>
      <w:r w:rsidRPr="00485AF3">
        <w:rPr>
          <w:rFonts w:eastAsia="Times New Roman" w:cs="Arial"/>
          <w:color w:val="000000"/>
          <w:sz w:val="24"/>
          <w:szCs w:val="24"/>
          <w:lang w:eastAsia="en-IN"/>
        </w:rPr>
        <w:lastRenderedPageBreak/>
        <w:t>credit problems, helps in maintaining a healthy cash flow (as this kind of financing would not take funds out of the business in terms of interest payments) and is also good for long-term planning of the company. The company does not have to deal much with the problem of fixed payments of interests and principal nor does it face the issue of stating assets as collateral. However, a large portion of equity financing can also prove to be costly in addition to issues such as loss of control of ownership and potentials for conflict amongst</w:t>
      </w:r>
      <w:r w:rsidR="009D15F8" w:rsidRPr="00485AF3">
        <w:rPr>
          <w:rFonts w:eastAsia="Times New Roman" w:cs="Arial"/>
          <w:color w:val="000000"/>
          <w:sz w:val="24"/>
          <w:szCs w:val="24"/>
          <w:lang w:eastAsia="en-IN"/>
        </w:rPr>
        <w:t> partners</w:t>
      </w:r>
      <w:r w:rsidRPr="00485AF3">
        <w:rPr>
          <w:rFonts w:eastAsia="Times New Roman" w:cs="Arial"/>
          <w:color w:val="000000"/>
          <w:sz w:val="24"/>
          <w:szCs w:val="24"/>
          <w:lang w:eastAsia="en-IN"/>
        </w:rPr>
        <w:t>.</w:t>
      </w:r>
    </w:p>
    <w:p w:rsidR="00485AF3" w:rsidRPr="00485AF3" w:rsidRDefault="00485AF3" w:rsidP="00485AF3">
      <w:pPr>
        <w:spacing w:after="0" w:line="240" w:lineRule="auto"/>
        <w:rPr>
          <w:rFonts w:eastAsia="Times New Roman" w:cs="Times New Roman"/>
          <w:sz w:val="24"/>
          <w:szCs w:val="24"/>
          <w:lang w:eastAsia="en-IN"/>
        </w:rPr>
      </w:pP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 xml:space="preserve">When compared with industry peers, Nestle is seen to have more of its financing from equity compared to companies such as Dabur India and Britannia Industries that have shown recent D/E ratios of 0.1 and 0.035 respectively. Its capital structure on the other hand is comparable with HUL, which is also virtually debt free. Based on risk associated with debt financing, an analysis of capital structure amongst industry peers would yield that investors would </w:t>
      </w:r>
      <w:r w:rsidR="009D15F8" w:rsidRPr="00485AF3">
        <w:rPr>
          <w:rFonts w:eastAsia="Times New Roman" w:cs="Arial"/>
          <w:color w:val="000000"/>
          <w:sz w:val="24"/>
          <w:szCs w:val="24"/>
          <w:lang w:eastAsia="en-IN"/>
        </w:rPr>
        <w:t>favour</w:t>
      </w:r>
      <w:r w:rsidRPr="00485AF3">
        <w:rPr>
          <w:rFonts w:eastAsia="Times New Roman" w:cs="Arial"/>
          <w:color w:val="000000"/>
          <w:sz w:val="24"/>
          <w:szCs w:val="24"/>
          <w:lang w:eastAsia="en-IN"/>
        </w:rPr>
        <w:t xml:space="preserve"> Nestle and HUL due to their low D/E ratios.</w:t>
      </w:r>
    </w:p>
    <w:p w:rsidR="00485AF3" w:rsidRPr="00485AF3" w:rsidRDefault="00485AF3" w:rsidP="00485AF3">
      <w:pPr>
        <w:spacing w:after="240" w:line="240" w:lineRule="auto"/>
        <w:rPr>
          <w:rFonts w:eastAsia="Times New Roman" w:cs="Times New Roman"/>
          <w:sz w:val="24"/>
          <w:szCs w:val="24"/>
          <w:lang w:eastAsia="en-IN"/>
        </w:rPr>
      </w:pPr>
      <w:r w:rsidRPr="00485AF3">
        <w:rPr>
          <w:rFonts w:eastAsia="Times New Roman" w:cs="Times New Roman"/>
          <w:sz w:val="24"/>
          <w:szCs w:val="24"/>
          <w:lang w:eastAsia="en-IN"/>
        </w:rPr>
        <w:br/>
      </w:r>
      <w:r w:rsidRPr="00485AF3">
        <w:rPr>
          <w:rFonts w:eastAsia="Times New Roman" w:cs="Arial"/>
          <w:color w:val="000000"/>
          <w:sz w:val="24"/>
          <w:szCs w:val="24"/>
          <w:lang w:eastAsia="en-IN"/>
        </w:rPr>
        <w:t>The effect of the capital structures on P/E ratios:</w:t>
      </w: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Nestle:</w:t>
      </w:r>
    </w:p>
    <w:tbl>
      <w:tblPr>
        <w:tblW w:w="9360" w:type="dxa"/>
        <w:tblCellMar>
          <w:top w:w="15" w:type="dxa"/>
          <w:left w:w="15" w:type="dxa"/>
          <w:bottom w:w="15" w:type="dxa"/>
          <w:right w:w="15" w:type="dxa"/>
        </w:tblCellMar>
        <w:tblLook w:val="04A0" w:firstRow="1" w:lastRow="0" w:firstColumn="1" w:lastColumn="0" w:noHBand="0" w:noVBand="1"/>
      </w:tblPr>
      <w:tblGrid>
        <w:gridCol w:w="2064"/>
        <w:gridCol w:w="2432"/>
        <w:gridCol w:w="2432"/>
        <w:gridCol w:w="2432"/>
      </w:tblGrid>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240" w:lineRule="auto"/>
              <w:rPr>
                <w:rFonts w:eastAsia="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31/3/2018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31/3/2017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31/3/2016</w:t>
            </w:r>
          </w:p>
        </w:tc>
      </w:tr>
      <w:tr w:rsidR="00485AF3" w:rsidRPr="00485AF3" w:rsidTr="00485A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P/E ratio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64.9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65.9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AF3" w:rsidRPr="00485AF3" w:rsidRDefault="00485AF3" w:rsidP="00485AF3">
            <w:pPr>
              <w:spacing w:after="0" w:line="0" w:lineRule="atLeast"/>
              <w:rPr>
                <w:rFonts w:eastAsia="Times New Roman" w:cs="Times New Roman"/>
                <w:sz w:val="24"/>
                <w:szCs w:val="24"/>
                <w:lang w:eastAsia="en-IN"/>
              </w:rPr>
            </w:pPr>
            <w:r w:rsidRPr="00485AF3">
              <w:rPr>
                <w:rFonts w:eastAsia="Times New Roman" w:cs="Arial"/>
                <w:color w:val="000000"/>
                <w:sz w:val="24"/>
                <w:szCs w:val="24"/>
                <w:lang w:eastAsia="en-IN"/>
              </w:rPr>
              <w:t>59.7</w:t>
            </w:r>
          </w:p>
        </w:tc>
      </w:tr>
    </w:tbl>
    <w:p w:rsidR="00485AF3" w:rsidRDefault="00485AF3" w:rsidP="00485AF3">
      <w:pPr>
        <w:spacing w:after="0" w:line="240" w:lineRule="auto"/>
        <w:rPr>
          <w:rFonts w:eastAsia="Times New Roman" w:cs="Arial"/>
          <w:color w:val="000000"/>
          <w:sz w:val="24"/>
          <w:szCs w:val="24"/>
          <w:lang w:eastAsia="en-IN"/>
        </w:rPr>
      </w:pPr>
      <w:r w:rsidRPr="00485AF3">
        <w:rPr>
          <w:rFonts w:eastAsia="Times New Roman" w:cs="Arial"/>
          <w:color w:val="000000"/>
          <w:sz w:val="24"/>
          <w:szCs w:val="24"/>
          <w:lang w:eastAsia="en-IN"/>
        </w:rPr>
        <w:t>Source: Screener.in</w:t>
      </w:r>
    </w:p>
    <w:p w:rsidR="00485AF3" w:rsidRPr="00485AF3" w:rsidRDefault="00485AF3" w:rsidP="00485AF3">
      <w:pPr>
        <w:spacing w:after="0" w:line="240" w:lineRule="auto"/>
        <w:rPr>
          <w:rFonts w:eastAsia="Times New Roman" w:cs="Times New Roman"/>
          <w:sz w:val="24"/>
          <w:szCs w:val="24"/>
          <w:lang w:eastAsia="en-IN"/>
        </w:rPr>
      </w:pPr>
    </w:p>
    <w:p w:rsidR="00485AF3" w:rsidRPr="00485AF3" w:rsidRDefault="00485AF3" w:rsidP="00485AF3">
      <w:pPr>
        <w:spacing w:after="0" w:line="240" w:lineRule="auto"/>
        <w:rPr>
          <w:rFonts w:eastAsia="Times New Roman" w:cs="Times New Roman"/>
          <w:sz w:val="24"/>
          <w:szCs w:val="24"/>
          <w:lang w:eastAsia="en-IN"/>
        </w:rPr>
      </w:pPr>
      <w:r w:rsidRPr="00485AF3">
        <w:rPr>
          <w:rFonts w:eastAsia="Times New Roman" w:cs="Arial"/>
          <w:color w:val="000000"/>
          <w:sz w:val="24"/>
          <w:szCs w:val="24"/>
          <w:lang w:eastAsia="en-IN"/>
        </w:rPr>
        <w:t>As of 31st December, the PE ratio of Nestle is comparatively higher than the industry average of 57.5. One main reason for this is its capital structure, more notably the low debt to equity ratio. Lower debt tends to increase the cost of capita</w:t>
      </w:r>
      <w:r w:rsidRPr="00485AF3">
        <w:rPr>
          <w:rFonts w:eastAsia="Times New Roman" w:cs="Arial"/>
          <w:color w:val="000000"/>
          <w:sz w:val="24"/>
          <w:szCs w:val="24"/>
          <w:u w:val="single"/>
          <w:lang w:eastAsia="en-IN"/>
        </w:rPr>
        <w:t>l</w:t>
      </w:r>
      <w:r w:rsidRPr="00485AF3">
        <w:rPr>
          <w:rFonts w:eastAsia="Times New Roman" w:cs="Arial"/>
          <w:color w:val="000000"/>
          <w:sz w:val="24"/>
          <w:szCs w:val="24"/>
          <w:lang w:eastAsia="en-IN"/>
        </w:rPr>
        <w:t>. This increases net income but decreases earnings per share and so results in a comparatively higher</w:t>
      </w:r>
      <w:r w:rsidRPr="00485AF3">
        <w:rPr>
          <w:rFonts w:eastAsia="Times New Roman" w:cs="Arial"/>
          <w:color w:val="000000"/>
          <w:sz w:val="24"/>
          <w:szCs w:val="24"/>
          <w:u w:val="single"/>
          <w:lang w:eastAsia="en-IN"/>
        </w:rPr>
        <w:t xml:space="preserve"> </w:t>
      </w:r>
      <w:r w:rsidRPr="00485AF3">
        <w:rPr>
          <w:rFonts w:eastAsia="Times New Roman" w:cs="Arial"/>
          <w:color w:val="000000"/>
          <w:sz w:val="24"/>
          <w:szCs w:val="24"/>
          <w:lang w:eastAsia="en-IN"/>
        </w:rPr>
        <w:t xml:space="preserve">PE ratio. The reason for this is that by having </w:t>
      </w:r>
      <w:r w:rsidR="009D15F8" w:rsidRPr="00485AF3">
        <w:rPr>
          <w:rFonts w:eastAsia="Times New Roman" w:cs="Arial"/>
          <w:color w:val="000000"/>
          <w:sz w:val="24"/>
          <w:szCs w:val="24"/>
          <w:lang w:eastAsia="en-IN"/>
        </w:rPr>
        <w:t>less borrowing</w:t>
      </w:r>
      <w:r w:rsidRPr="00485AF3">
        <w:rPr>
          <w:rFonts w:eastAsia="Times New Roman" w:cs="Arial"/>
          <w:color w:val="000000"/>
          <w:sz w:val="24"/>
          <w:szCs w:val="24"/>
          <w:lang w:eastAsia="en-IN"/>
        </w:rPr>
        <w:t xml:space="preserve"> to fund the business there is a decrease in the expected returns to equity investors, which is seen in EPS decrease, and the riskiness of the equity returns ultimately pushing the PE ratio up. As can be observed in the trend, as the D/E ratio has been decreasing over the past three years, there has been an upward trend in the PE ratio of the company, which is thus also greater than the industry peers that have greater D/E ratios.</w:t>
      </w:r>
    </w:p>
    <w:p w:rsidR="00485AF3" w:rsidRPr="00485AF3" w:rsidRDefault="00485AF3" w:rsidP="00485AF3">
      <w:pPr>
        <w:rPr>
          <w:b/>
          <w:bCs/>
          <w:sz w:val="40"/>
          <w:szCs w:val="40"/>
        </w:rPr>
      </w:pPr>
      <w:r w:rsidRPr="00485AF3">
        <w:rPr>
          <w:rFonts w:eastAsia="Times New Roman" w:cs="Times New Roman"/>
          <w:sz w:val="24"/>
          <w:szCs w:val="24"/>
          <w:lang w:eastAsia="en-IN"/>
        </w:rPr>
        <w:br/>
      </w:r>
      <w:r w:rsidRPr="00485AF3">
        <w:rPr>
          <w:rFonts w:eastAsia="Times New Roman" w:cs="Times New Roman"/>
          <w:sz w:val="24"/>
          <w:szCs w:val="24"/>
          <w:lang w:eastAsia="en-IN"/>
        </w:rPr>
        <w:br/>
      </w:r>
      <w:r w:rsidRPr="00485AF3">
        <w:rPr>
          <w:rFonts w:eastAsia="Times New Roman" w:cs="Times New Roman"/>
          <w:sz w:val="24"/>
          <w:szCs w:val="24"/>
          <w:lang w:eastAsia="en-IN"/>
        </w:rPr>
        <w:br/>
      </w:r>
      <w:r w:rsidRPr="00485AF3">
        <w:rPr>
          <w:rFonts w:eastAsia="Times New Roman" w:cs="Times New Roman"/>
          <w:sz w:val="24"/>
          <w:szCs w:val="24"/>
          <w:lang w:eastAsia="en-IN"/>
        </w:rPr>
        <w:br/>
      </w:r>
      <w:r w:rsidRPr="00485AF3">
        <w:rPr>
          <w:rFonts w:ascii="Times New Roman" w:eastAsia="Times New Roman" w:hAnsi="Times New Roman" w:cs="Times New Roman"/>
          <w:sz w:val="24"/>
          <w:szCs w:val="24"/>
          <w:lang w:eastAsia="en-IN"/>
        </w:rPr>
        <w:br/>
      </w:r>
      <w:r w:rsidRPr="00485AF3">
        <w:rPr>
          <w:rFonts w:ascii="Times New Roman" w:eastAsia="Times New Roman" w:hAnsi="Times New Roman" w:cs="Times New Roman"/>
          <w:sz w:val="24"/>
          <w:szCs w:val="24"/>
          <w:lang w:eastAsia="en-IN"/>
        </w:rPr>
        <w:br/>
      </w:r>
      <w:r w:rsidRPr="00485AF3">
        <w:rPr>
          <w:rFonts w:ascii="Times New Roman" w:eastAsia="Times New Roman" w:hAnsi="Times New Roman" w:cs="Times New Roman"/>
          <w:sz w:val="24"/>
          <w:szCs w:val="24"/>
          <w:lang w:eastAsia="en-IN"/>
        </w:rPr>
        <w:br/>
      </w:r>
    </w:p>
    <w:p w:rsidR="00485AF3" w:rsidRPr="00485AF3" w:rsidRDefault="00485AF3">
      <w:pPr>
        <w:rPr>
          <w:b/>
          <w:bCs/>
          <w:sz w:val="24"/>
          <w:szCs w:val="24"/>
        </w:rPr>
      </w:pPr>
      <w:r w:rsidRPr="00485AF3">
        <w:rPr>
          <w:b/>
          <w:bCs/>
          <w:sz w:val="24"/>
          <w:szCs w:val="24"/>
        </w:rPr>
        <w:br w:type="page"/>
      </w:r>
    </w:p>
    <w:p w:rsidR="00DD13C0" w:rsidRDefault="002A492A" w:rsidP="00405E56">
      <w:pPr>
        <w:rPr>
          <w:b/>
          <w:bCs/>
          <w:sz w:val="32"/>
          <w:szCs w:val="32"/>
          <w:u w:val="single"/>
        </w:rPr>
      </w:pPr>
      <w:r>
        <w:rPr>
          <w:b/>
          <w:bCs/>
          <w:sz w:val="40"/>
          <w:szCs w:val="40"/>
        </w:rPr>
        <w:lastRenderedPageBreak/>
        <w:t>Q5</w:t>
      </w:r>
      <w:bookmarkStart w:id="0" w:name="_GoBack"/>
      <w:bookmarkEnd w:id="0"/>
      <w:r>
        <w:rPr>
          <w:b/>
          <w:bCs/>
          <w:sz w:val="40"/>
          <w:szCs w:val="40"/>
        </w:rPr>
        <w:t xml:space="preserve">      AGENCY   COST</w:t>
      </w:r>
      <w:r w:rsidR="00DD13C0" w:rsidRPr="00A84585">
        <w:rPr>
          <w:b/>
          <w:bCs/>
          <w:sz w:val="32"/>
          <w:szCs w:val="32"/>
          <w:u w:val="single"/>
        </w:rPr>
        <w:t xml:space="preserve">                                                     </w:t>
      </w:r>
    </w:p>
    <w:p w:rsidR="00F11E5D" w:rsidRPr="00F11E5D" w:rsidRDefault="00F11E5D" w:rsidP="00F11E5D">
      <w:pPr>
        <w:rPr>
          <w:sz w:val="24"/>
          <w:szCs w:val="24"/>
          <w:lang w:val="en-US"/>
        </w:rPr>
      </w:pPr>
      <w:r w:rsidRPr="00F11E5D">
        <w:rPr>
          <w:sz w:val="24"/>
          <w:szCs w:val="24"/>
          <w:lang w:val="en-US"/>
        </w:rPr>
        <w:t>The cost incurred by the companies due to its hiring of managers and employees is known as agency cost.</w:t>
      </w:r>
    </w:p>
    <w:p w:rsidR="00F11E5D" w:rsidRPr="00F11E5D" w:rsidRDefault="00F11E5D" w:rsidP="00F11E5D">
      <w:pPr>
        <w:rPr>
          <w:sz w:val="24"/>
          <w:szCs w:val="24"/>
          <w:lang w:val="en-US"/>
        </w:rPr>
      </w:pPr>
      <w:r w:rsidRPr="00F11E5D">
        <w:rPr>
          <w:sz w:val="24"/>
          <w:szCs w:val="24"/>
          <w:lang w:val="en-US"/>
        </w:rPr>
        <w:t>Company needs to analyze how much cost can it bear on hiring people. To do so, companies try to compare the return from hiring the people by calculating Remuneration is to EBIT ratio which gives an idea of what percentage of EBIT is given out as remuneration. Lower the ratio, lesser is the cost to the firm.</w:t>
      </w:r>
    </w:p>
    <w:p w:rsidR="00F11E5D" w:rsidRPr="00F11E5D" w:rsidRDefault="00F11E5D" w:rsidP="00F11E5D">
      <w:pPr>
        <w:rPr>
          <w:sz w:val="24"/>
          <w:szCs w:val="24"/>
          <w:lang w:val="en-US"/>
        </w:rPr>
      </w:pPr>
    </w:p>
    <w:p w:rsidR="00F11E5D" w:rsidRPr="00F11E5D" w:rsidRDefault="00F11E5D" w:rsidP="00F11E5D">
      <w:pPr>
        <w:rPr>
          <w:sz w:val="24"/>
          <w:szCs w:val="24"/>
          <w:lang w:val="en-US"/>
        </w:rPr>
      </w:pPr>
      <w:r w:rsidRPr="00F11E5D">
        <w:rPr>
          <w:sz w:val="24"/>
          <w:szCs w:val="24"/>
          <w:lang w:val="en-US"/>
        </w:rPr>
        <w:t>The ratio was calculated using the following formula:</w:t>
      </w:r>
    </w:p>
    <w:p w:rsidR="00F11E5D" w:rsidRPr="00F11E5D" w:rsidRDefault="00F11E5D" w:rsidP="00F11E5D">
      <w:pPr>
        <w:rPr>
          <w:sz w:val="24"/>
          <w:szCs w:val="24"/>
          <w:u w:val="single"/>
          <w:lang w:val="en-US"/>
        </w:rPr>
      </w:pPr>
      <w:r w:rsidRPr="00F11E5D">
        <w:rPr>
          <w:sz w:val="24"/>
          <w:szCs w:val="24"/>
          <w:lang w:val="en-US"/>
        </w:rPr>
        <w:tab/>
      </w:r>
      <w:r w:rsidRPr="00F11E5D">
        <w:rPr>
          <w:sz w:val="24"/>
          <w:szCs w:val="24"/>
          <w:lang w:val="en-US"/>
        </w:rPr>
        <w:tab/>
        <w:t xml:space="preserve">   </w:t>
      </w:r>
      <w:r w:rsidRPr="00F11E5D">
        <w:rPr>
          <w:sz w:val="24"/>
          <w:szCs w:val="24"/>
          <w:u w:val="single"/>
          <w:lang w:val="en-US"/>
        </w:rPr>
        <w:t>Remuneration (executive + non-executive directors)</w:t>
      </w:r>
    </w:p>
    <w:p w:rsidR="00F11E5D" w:rsidRPr="00F11E5D" w:rsidRDefault="00F11E5D" w:rsidP="00F11E5D">
      <w:pPr>
        <w:rPr>
          <w:sz w:val="24"/>
          <w:szCs w:val="24"/>
          <w:lang w:val="en-US"/>
        </w:rPr>
      </w:pPr>
      <w:r w:rsidRPr="00F11E5D">
        <w:rPr>
          <w:sz w:val="24"/>
          <w:szCs w:val="24"/>
          <w:lang w:val="en-US"/>
        </w:rPr>
        <w:tab/>
      </w:r>
      <w:r w:rsidRPr="00F11E5D">
        <w:rPr>
          <w:sz w:val="24"/>
          <w:szCs w:val="24"/>
          <w:lang w:val="en-US"/>
        </w:rPr>
        <w:tab/>
      </w:r>
      <w:r w:rsidRPr="00F11E5D">
        <w:rPr>
          <w:sz w:val="24"/>
          <w:szCs w:val="24"/>
          <w:lang w:val="en-US"/>
        </w:rPr>
        <w:tab/>
      </w:r>
      <w:r w:rsidRPr="00F11E5D">
        <w:rPr>
          <w:sz w:val="24"/>
          <w:szCs w:val="24"/>
          <w:lang w:val="en-US"/>
        </w:rPr>
        <w:tab/>
      </w:r>
      <w:r w:rsidRPr="00F11E5D">
        <w:rPr>
          <w:sz w:val="24"/>
          <w:szCs w:val="24"/>
          <w:lang w:val="en-US"/>
        </w:rPr>
        <w:tab/>
      </w:r>
      <w:r w:rsidRPr="00F11E5D">
        <w:rPr>
          <w:sz w:val="24"/>
          <w:szCs w:val="24"/>
          <w:lang w:val="en-US"/>
        </w:rPr>
        <w:tab/>
        <w:t>EBIT</w:t>
      </w:r>
    </w:p>
    <w:p w:rsidR="00F11E5D" w:rsidRPr="00F11E5D" w:rsidRDefault="00F11E5D" w:rsidP="00F11E5D">
      <w:pPr>
        <w:rPr>
          <w:sz w:val="24"/>
          <w:szCs w:val="24"/>
          <w:lang w:val="en-US"/>
        </w:rPr>
      </w:pPr>
      <w:r w:rsidRPr="00F11E5D">
        <w:rPr>
          <w:sz w:val="24"/>
          <w:szCs w:val="24"/>
          <w:lang w:val="en-US"/>
        </w:rPr>
        <w:t xml:space="preserve">In the analysis performed on Nestle India, the remuneration to EBIT ratio was found to be 0.863, 1.081, 1.326, 1.427 and 1.03 for the years 2018, 2017, 2016, 2015 and 2014. </w:t>
      </w:r>
    </w:p>
    <w:p w:rsidR="00F11E5D" w:rsidRPr="00F11E5D" w:rsidRDefault="00F11E5D" w:rsidP="00F11E5D">
      <w:pPr>
        <w:rPr>
          <w:sz w:val="24"/>
          <w:szCs w:val="24"/>
          <w:lang w:val="en-US"/>
        </w:rPr>
      </w:pPr>
      <w:r w:rsidRPr="00F11E5D">
        <w:rPr>
          <w:sz w:val="24"/>
          <w:szCs w:val="24"/>
          <w:lang w:val="en-US"/>
        </w:rPr>
        <w:t xml:space="preserve">We also found the industry average of the ratio by taking an average of the ratio of </w:t>
      </w:r>
      <w:r>
        <w:rPr>
          <w:sz w:val="24"/>
          <w:szCs w:val="24"/>
          <w:lang w:val="en-US"/>
        </w:rPr>
        <w:t>its competitor</w:t>
      </w:r>
      <w:r w:rsidRPr="00F11E5D">
        <w:rPr>
          <w:sz w:val="24"/>
          <w:szCs w:val="24"/>
          <w:lang w:val="en-US"/>
        </w:rPr>
        <w:t xml:space="preserve"> in the industry</w:t>
      </w:r>
      <w:r>
        <w:rPr>
          <w:sz w:val="24"/>
          <w:szCs w:val="24"/>
          <w:lang w:val="en-US"/>
        </w:rPr>
        <w:t xml:space="preserve"> (</w:t>
      </w:r>
      <w:r w:rsidR="009D15F8">
        <w:rPr>
          <w:sz w:val="24"/>
          <w:szCs w:val="24"/>
          <w:lang w:val="en-US"/>
        </w:rPr>
        <w:t>Britannia,</w:t>
      </w:r>
      <w:r>
        <w:rPr>
          <w:sz w:val="24"/>
          <w:szCs w:val="24"/>
          <w:lang w:val="en-US"/>
        </w:rPr>
        <w:t xml:space="preserve"> Dabur, ITC and HUL) </w:t>
      </w:r>
      <w:r w:rsidRPr="00F11E5D">
        <w:rPr>
          <w:sz w:val="24"/>
          <w:szCs w:val="24"/>
          <w:lang w:val="en-US"/>
        </w:rPr>
        <w:t xml:space="preserve">.The industry average came out to be 0.666, 0.701, 0.745 and 0.839 for the years 2018, 2017, 2016 and 2015. </w:t>
      </w:r>
    </w:p>
    <w:p w:rsidR="00F11E5D" w:rsidRPr="00F11E5D" w:rsidRDefault="00F11E5D" w:rsidP="00F11E5D">
      <w:pPr>
        <w:rPr>
          <w:sz w:val="24"/>
          <w:szCs w:val="24"/>
          <w:lang w:val="en-US"/>
        </w:rPr>
      </w:pPr>
      <w:r w:rsidRPr="00F11E5D">
        <w:rPr>
          <w:sz w:val="24"/>
          <w:szCs w:val="24"/>
          <w:lang w:val="en-US"/>
        </w:rPr>
        <w:t>When compared with the industry average, the ratio is higher for Nestle India which implies that Nestle is paying a higher percentage of its income as remuneration to its employees, hence increasing the agency cost.</w:t>
      </w:r>
    </w:p>
    <w:p w:rsidR="00EA49CD" w:rsidRDefault="00EA49CD" w:rsidP="00EA49CD">
      <w:pPr>
        <w:rPr>
          <w:sz w:val="28"/>
          <w:szCs w:val="28"/>
          <w:lang w:val="en-US"/>
        </w:rPr>
      </w:pPr>
    </w:p>
    <w:tbl>
      <w:tblPr>
        <w:tblW w:w="4941" w:type="dxa"/>
        <w:tblInd w:w="93" w:type="dxa"/>
        <w:tblLook w:val="04A0" w:firstRow="1" w:lastRow="0" w:firstColumn="1" w:lastColumn="0" w:noHBand="0" w:noVBand="1"/>
      </w:tblPr>
      <w:tblGrid>
        <w:gridCol w:w="1181"/>
        <w:gridCol w:w="1053"/>
        <w:gridCol w:w="1053"/>
        <w:gridCol w:w="1053"/>
        <w:gridCol w:w="1053"/>
      </w:tblGrid>
      <w:tr w:rsidR="00EA49CD" w:rsidRPr="000D7D0A" w:rsidTr="005A4B0D">
        <w:trPr>
          <w:trHeight w:val="300"/>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49CD" w:rsidRPr="000D7D0A" w:rsidRDefault="00EA49CD" w:rsidP="005A4B0D">
            <w:pPr>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2018</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2017</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2016</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2015</w:t>
            </w:r>
          </w:p>
        </w:tc>
      </w:tr>
      <w:tr w:rsidR="00EA49CD" w:rsidRPr="000D7D0A" w:rsidTr="005A4B0D">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EA49CD" w:rsidRPr="000D7D0A" w:rsidRDefault="00EA49CD" w:rsidP="005A4B0D">
            <w:pPr>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Nestle</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0.863336</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1.080846</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1.32608</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1.42748</w:t>
            </w:r>
          </w:p>
        </w:tc>
      </w:tr>
      <w:tr w:rsidR="00EA49CD" w:rsidRPr="000D7D0A" w:rsidTr="005A4B0D">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EA49CD" w:rsidRPr="000D7D0A" w:rsidRDefault="00EA49CD" w:rsidP="005A4B0D">
            <w:pPr>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HUL</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0.544971</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0.602051</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0.50129</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0.695614</w:t>
            </w:r>
          </w:p>
        </w:tc>
      </w:tr>
      <w:tr w:rsidR="00EA49CD" w:rsidRPr="000D7D0A" w:rsidTr="005A4B0D">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EA49CD" w:rsidRPr="000D7D0A" w:rsidRDefault="00EA49CD" w:rsidP="005A4B0D">
            <w:pPr>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Britannia</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0.698312</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0.637089</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0.646122</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0.650797</w:t>
            </w:r>
          </w:p>
        </w:tc>
      </w:tr>
      <w:tr w:rsidR="00EA49CD" w:rsidRPr="000D7D0A" w:rsidTr="005A4B0D">
        <w:trPr>
          <w:trHeight w:val="31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EA49CD" w:rsidRPr="000D7D0A" w:rsidRDefault="00EA49CD" w:rsidP="005A4B0D">
            <w:pPr>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Dabur</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1.020713</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1.110283</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1.099381</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1.237721</w:t>
            </w:r>
          </w:p>
        </w:tc>
      </w:tr>
      <w:tr w:rsidR="00EA49CD" w:rsidRPr="000D7D0A" w:rsidTr="005A4B0D">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EA49CD" w:rsidRPr="000D7D0A" w:rsidRDefault="00EA49CD" w:rsidP="005A4B0D">
            <w:pPr>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ITC</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0.204423</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0.073505</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0.149897</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0.18326</w:t>
            </w:r>
          </w:p>
        </w:tc>
      </w:tr>
      <w:tr w:rsidR="00EA49CD" w:rsidRPr="000D7D0A" w:rsidTr="005A4B0D">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EA49CD" w:rsidRPr="000D7D0A" w:rsidRDefault="00EA49CD" w:rsidP="005A4B0D">
            <w:pPr>
              <w:rPr>
                <w:rFonts w:ascii="Calibri" w:eastAsia="Times New Roman" w:hAnsi="Calibri" w:cs="Times New Roman"/>
                <w:b/>
                <w:bCs/>
                <w:color w:val="000000"/>
                <w:szCs w:val="22"/>
                <w:lang w:eastAsia="en-IN"/>
              </w:rPr>
            </w:pPr>
            <w:r w:rsidRPr="000D7D0A">
              <w:rPr>
                <w:rFonts w:ascii="Calibri" w:eastAsia="Times New Roman" w:hAnsi="Calibri" w:cs="Times New Roman"/>
                <w:b/>
                <w:bCs/>
                <w:color w:val="000000"/>
                <w:szCs w:val="22"/>
                <w:lang w:eastAsia="en-IN"/>
              </w:rPr>
              <w:t xml:space="preserve">Industry </w:t>
            </w:r>
            <w:proofErr w:type="spellStart"/>
            <w:r w:rsidRPr="000D7D0A">
              <w:rPr>
                <w:rFonts w:ascii="Calibri" w:eastAsia="Times New Roman" w:hAnsi="Calibri" w:cs="Times New Roman"/>
                <w:b/>
                <w:bCs/>
                <w:color w:val="000000"/>
                <w:szCs w:val="22"/>
                <w:lang w:eastAsia="en-IN"/>
              </w:rPr>
              <w:t>Avg</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0.666351</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0.700755</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0.744554</w:t>
            </w:r>
          </w:p>
        </w:tc>
        <w:tc>
          <w:tcPr>
            <w:tcW w:w="940" w:type="dxa"/>
            <w:tcBorders>
              <w:top w:val="nil"/>
              <w:left w:val="nil"/>
              <w:bottom w:val="single" w:sz="4" w:space="0" w:color="auto"/>
              <w:right w:val="single" w:sz="4" w:space="0" w:color="auto"/>
            </w:tcBorders>
            <w:shd w:val="clear" w:color="auto" w:fill="auto"/>
            <w:noWrap/>
            <w:vAlign w:val="bottom"/>
            <w:hideMark/>
          </w:tcPr>
          <w:p w:rsidR="00EA49CD" w:rsidRPr="000D7D0A" w:rsidRDefault="00EA49CD" w:rsidP="005A4B0D">
            <w:pPr>
              <w:jc w:val="right"/>
              <w:rPr>
                <w:rFonts w:ascii="Calibri" w:eastAsia="Times New Roman" w:hAnsi="Calibri" w:cs="Times New Roman"/>
                <w:color w:val="000000"/>
                <w:szCs w:val="22"/>
                <w:lang w:eastAsia="en-IN"/>
              </w:rPr>
            </w:pPr>
            <w:r w:rsidRPr="000D7D0A">
              <w:rPr>
                <w:rFonts w:ascii="Calibri" w:eastAsia="Times New Roman" w:hAnsi="Calibri" w:cs="Times New Roman"/>
                <w:color w:val="000000"/>
                <w:szCs w:val="22"/>
                <w:lang w:eastAsia="en-IN"/>
              </w:rPr>
              <w:t>0.838975</w:t>
            </w:r>
          </w:p>
        </w:tc>
      </w:tr>
    </w:tbl>
    <w:p w:rsidR="002A492A" w:rsidRPr="00A84585" w:rsidRDefault="002A492A" w:rsidP="00405E56">
      <w:pPr>
        <w:rPr>
          <w:b/>
          <w:bCs/>
          <w:sz w:val="32"/>
          <w:szCs w:val="32"/>
          <w:u w:val="single"/>
        </w:rPr>
      </w:pPr>
    </w:p>
    <w:sectPr w:rsidR="002A492A" w:rsidRPr="00A84585" w:rsidSect="00195911">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50A" w:rsidRDefault="0008350A" w:rsidP="00195911">
      <w:pPr>
        <w:spacing w:after="0" w:line="240" w:lineRule="auto"/>
      </w:pPr>
      <w:r>
        <w:separator/>
      </w:r>
    </w:p>
  </w:endnote>
  <w:endnote w:type="continuationSeparator" w:id="0">
    <w:p w:rsidR="0008350A" w:rsidRDefault="0008350A" w:rsidP="0019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03241"/>
      <w:docPartObj>
        <w:docPartGallery w:val="Page Numbers (Bottom of Page)"/>
        <w:docPartUnique/>
      </w:docPartObj>
    </w:sdtPr>
    <w:sdtEndPr>
      <w:rPr>
        <w:noProof/>
      </w:rPr>
    </w:sdtEndPr>
    <w:sdtContent>
      <w:p w:rsidR="005A4B0D" w:rsidRDefault="005A4B0D">
        <w:pPr>
          <w:pStyle w:val="Footer"/>
          <w:jc w:val="right"/>
        </w:pPr>
        <w:r>
          <w:fldChar w:fldCharType="begin"/>
        </w:r>
        <w:r>
          <w:instrText xml:space="preserve"> PAGE   \* MERGEFORMAT </w:instrText>
        </w:r>
        <w:r>
          <w:fldChar w:fldCharType="separate"/>
        </w:r>
        <w:r w:rsidR="005007EF">
          <w:rPr>
            <w:noProof/>
          </w:rPr>
          <w:t>14</w:t>
        </w:r>
        <w:r>
          <w:rPr>
            <w:noProof/>
          </w:rPr>
          <w:fldChar w:fldCharType="end"/>
        </w:r>
      </w:p>
    </w:sdtContent>
  </w:sdt>
  <w:p w:rsidR="005A4B0D" w:rsidRDefault="005A4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50A" w:rsidRDefault="0008350A" w:rsidP="00195911">
      <w:pPr>
        <w:spacing w:after="0" w:line="240" w:lineRule="auto"/>
      </w:pPr>
      <w:r>
        <w:separator/>
      </w:r>
    </w:p>
  </w:footnote>
  <w:footnote w:type="continuationSeparator" w:id="0">
    <w:p w:rsidR="0008350A" w:rsidRDefault="0008350A" w:rsidP="00195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76628"/>
    <w:multiLevelType w:val="hybridMultilevel"/>
    <w:tmpl w:val="01A6BA9E"/>
    <w:lvl w:ilvl="0" w:tplc="C34834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AC0E07"/>
    <w:multiLevelType w:val="hybridMultilevel"/>
    <w:tmpl w:val="670A47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683AF9"/>
    <w:multiLevelType w:val="hybridMultilevel"/>
    <w:tmpl w:val="2AEAB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B34F5F"/>
    <w:multiLevelType w:val="multilevel"/>
    <w:tmpl w:val="692297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7E305A59"/>
    <w:multiLevelType w:val="hybridMultilevel"/>
    <w:tmpl w:val="3F0ACF3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EAF"/>
    <w:rsid w:val="0008350A"/>
    <w:rsid w:val="000F584B"/>
    <w:rsid w:val="00146BC9"/>
    <w:rsid w:val="00156C5D"/>
    <w:rsid w:val="00195911"/>
    <w:rsid w:val="001D7EAF"/>
    <w:rsid w:val="001F454A"/>
    <w:rsid w:val="002110F1"/>
    <w:rsid w:val="00255B4E"/>
    <w:rsid w:val="002A492A"/>
    <w:rsid w:val="002F46C7"/>
    <w:rsid w:val="00405E56"/>
    <w:rsid w:val="00440460"/>
    <w:rsid w:val="00444C35"/>
    <w:rsid w:val="00485AF3"/>
    <w:rsid w:val="005007EF"/>
    <w:rsid w:val="00522150"/>
    <w:rsid w:val="005A4B0D"/>
    <w:rsid w:val="00637AF7"/>
    <w:rsid w:val="00690218"/>
    <w:rsid w:val="006B7295"/>
    <w:rsid w:val="007530B7"/>
    <w:rsid w:val="00754D3C"/>
    <w:rsid w:val="00766FF2"/>
    <w:rsid w:val="007B0013"/>
    <w:rsid w:val="00816891"/>
    <w:rsid w:val="00872405"/>
    <w:rsid w:val="009056EA"/>
    <w:rsid w:val="00920EDE"/>
    <w:rsid w:val="00925629"/>
    <w:rsid w:val="009628E1"/>
    <w:rsid w:val="009D15F8"/>
    <w:rsid w:val="009D6332"/>
    <w:rsid w:val="00A84585"/>
    <w:rsid w:val="00B359FA"/>
    <w:rsid w:val="00B373D9"/>
    <w:rsid w:val="00B472EF"/>
    <w:rsid w:val="00B522AD"/>
    <w:rsid w:val="00C47656"/>
    <w:rsid w:val="00CA2B60"/>
    <w:rsid w:val="00D57251"/>
    <w:rsid w:val="00D733F6"/>
    <w:rsid w:val="00DD13C0"/>
    <w:rsid w:val="00EA49CD"/>
    <w:rsid w:val="00F11E5D"/>
    <w:rsid w:val="00F447CD"/>
    <w:rsid w:val="00FB15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5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C9"/>
    <w:pPr>
      <w:ind w:left="720"/>
      <w:contextualSpacing/>
    </w:pPr>
  </w:style>
  <w:style w:type="table" w:styleId="TableGrid">
    <w:name w:val="Table Grid"/>
    <w:basedOn w:val="TableNormal"/>
    <w:uiPriority w:val="59"/>
    <w:rsid w:val="00872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0E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44C3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44C35"/>
    <w:rPr>
      <w:rFonts w:ascii="Tahoma" w:hAnsi="Tahoma" w:cs="Mangal"/>
      <w:sz w:val="16"/>
      <w:szCs w:val="14"/>
    </w:rPr>
  </w:style>
  <w:style w:type="paragraph" w:styleId="Header">
    <w:name w:val="header"/>
    <w:basedOn w:val="Normal"/>
    <w:link w:val="HeaderChar"/>
    <w:uiPriority w:val="99"/>
    <w:unhideWhenUsed/>
    <w:rsid w:val="0019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911"/>
  </w:style>
  <w:style w:type="paragraph" w:styleId="Footer">
    <w:name w:val="footer"/>
    <w:basedOn w:val="Normal"/>
    <w:link w:val="FooterChar"/>
    <w:uiPriority w:val="99"/>
    <w:unhideWhenUsed/>
    <w:rsid w:val="00195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911"/>
  </w:style>
  <w:style w:type="paragraph" w:customStyle="1" w:styleId="Body">
    <w:name w:val="Body"/>
    <w:rsid w:val="00766FF2"/>
    <w:pPr>
      <w:pBdr>
        <w:top w:val="nil"/>
        <w:left w:val="nil"/>
        <w:bottom w:val="nil"/>
        <w:right w:val="nil"/>
        <w:between w:val="nil"/>
        <w:bar w:val="nil"/>
      </w:pBdr>
      <w:spacing w:after="0" w:line="240" w:lineRule="auto"/>
    </w:pPr>
    <w:rPr>
      <w:rFonts w:ascii="Helvetica Neue" w:eastAsia="Arial Unicode MS" w:hAnsi="Helvetica Neue" w:cs="Arial Unicode MS"/>
      <w:color w:val="000000"/>
      <w:szCs w:val="22"/>
      <w:bdr w:val="nil"/>
      <w:lang w:val="en-US" w:eastAsia="en-GB" w:bidi="ar-SA"/>
      <w14:textOutline w14:w="0" w14:cap="flat" w14:cmpd="sng" w14:algn="ctr">
        <w14:noFill/>
        <w14:prstDash w14:val="solid"/>
        <w14:bevel/>
      </w14:textOutline>
    </w:rPr>
  </w:style>
  <w:style w:type="paragraph" w:customStyle="1" w:styleId="Default">
    <w:name w:val="Default"/>
    <w:rsid w:val="00766FF2"/>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val="en-US" w:eastAsia="en-GB" w:bidi="ar-SA"/>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485AF3"/>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5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C9"/>
    <w:pPr>
      <w:ind w:left="720"/>
      <w:contextualSpacing/>
    </w:pPr>
  </w:style>
  <w:style w:type="table" w:styleId="TableGrid">
    <w:name w:val="Table Grid"/>
    <w:basedOn w:val="TableNormal"/>
    <w:uiPriority w:val="59"/>
    <w:rsid w:val="00872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0E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44C3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44C35"/>
    <w:rPr>
      <w:rFonts w:ascii="Tahoma" w:hAnsi="Tahoma" w:cs="Mangal"/>
      <w:sz w:val="16"/>
      <w:szCs w:val="14"/>
    </w:rPr>
  </w:style>
  <w:style w:type="paragraph" w:styleId="Header">
    <w:name w:val="header"/>
    <w:basedOn w:val="Normal"/>
    <w:link w:val="HeaderChar"/>
    <w:uiPriority w:val="99"/>
    <w:unhideWhenUsed/>
    <w:rsid w:val="0019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911"/>
  </w:style>
  <w:style w:type="paragraph" w:styleId="Footer">
    <w:name w:val="footer"/>
    <w:basedOn w:val="Normal"/>
    <w:link w:val="FooterChar"/>
    <w:uiPriority w:val="99"/>
    <w:unhideWhenUsed/>
    <w:rsid w:val="00195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911"/>
  </w:style>
  <w:style w:type="paragraph" w:customStyle="1" w:styleId="Body">
    <w:name w:val="Body"/>
    <w:rsid w:val="00766FF2"/>
    <w:pPr>
      <w:pBdr>
        <w:top w:val="nil"/>
        <w:left w:val="nil"/>
        <w:bottom w:val="nil"/>
        <w:right w:val="nil"/>
        <w:between w:val="nil"/>
        <w:bar w:val="nil"/>
      </w:pBdr>
      <w:spacing w:after="0" w:line="240" w:lineRule="auto"/>
    </w:pPr>
    <w:rPr>
      <w:rFonts w:ascii="Helvetica Neue" w:eastAsia="Arial Unicode MS" w:hAnsi="Helvetica Neue" w:cs="Arial Unicode MS"/>
      <w:color w:val="000000"/>
      <w:szCs w:val="22"/>
      <w:bdr w:val="nil"/>
      <w:lang w:val="en-US" w:eastAsia="en-GB" w:bidi="ar-SA"/>
      <w14:textOutline w14:w="0" w14:cap="flat" w14:cmpd="sng" w14:algn="ctr">
        <w14:noFill/>
        <w14:prstDash w14:val="solid"/>
        <w14:bevel/>
      </w14:textOutline>
    </w:rPr>
  </w:style>
  <w:style w:type="paragraph" w:customStyle="1" w:styleId="Default">
    <w:name w:val="Default"/>
    <w:rsid w:val="00766FF2"/>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val="en-US" w:eastAsia="en-GB" w:bidi="ar-SA"/>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485AF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6156">
      <w:bodyDiv w:val="1"/>
      <w:marLeft w:val="0"/>
      <w:marRight w:val="0"/>
      <w:marTop w:val="0"/>
      <w:marBottom w:val="0"/>
      <w:divBdr>
        <w:top w:val="none" w:sz="0" w:space="0" w:color="auto"/>
        <w:left w:val="none" w:sz="0" w:space="0" w:color="auto"/>
        <w:bottom w:val="none" w:sz="0" w:space="0" w:color="auto"/>
        <w:right w:val="none" w:sz="0" w:space="0" w:color="auto"/>
      </w:divBdr>
    </w:div>
    <w:div w:id="26638292">
      <w:bodyDiv w:val="1"/>
      <w:marLeft w:val="0"/>
      <w:marRight w:val="0"/>
      <w:marTop w:val="0"/>
      <w:marBottom w:val="0"/>
      <w:divBdr>
        <w:top w:val="none" w:sz="0" w:space="0" w:color="auto"/>
        <w:left w:val="none" w:sz="0" w:space="0" w:color="auto"/>
        <w:bottom w:val="none" w:sz="0" w:space="0" w:color="auto"/>
        <w:right w:val="none" w:sz="0" w:space="0" w:color="auto"/>
      </w:divBdr>
    </w:div>
    <w:div w:id="29720223">
      <w:bodyDiv w:val="1"/>
      <w:marLeft w:val="0"/>
      <w:marRight w:val="0"/>
      <w:marTop w:val="0"/>
      <w:marBottom w:val="0"/>
      <w:divBdr>
        <w:top w:val="none" w:sz="0" w:space="0" w:color="auto"/>
        <w:left w:val="none" w:sz="0" w:space="0" w:color="auto"/>
        <w:bottom w:val="none" w:sz="0" w:space="0" w:color="auto"/>
        <w:right w:val="none" w:sz="0" w:space="0" w:color="auto"/>
      </w:divBdr>
    </w:div>
    <w:div w:id="128793092">
      <w:bodyDiv w:val="1"/>
      <w:marLeft w:val="0"/>
      <w:marRight w:val="0"/>
      <w:marTop w:val="0"/>
      <w:marBottom w:val="0"/>
      <w:divBdr>
        <w:top w:val="none" w:sz="0" w:space="0" w:color="auto"/>
        <w:left w:val="none" w:sz="0" w:space="0" w:color="auto"/>
        <w:bottom w:val="none" w:sz="0" w:space="0" w:color="auto"/>
        <w:right w:val="none" w:sz="0" w:space="0" w:color="auto"/>
      </w:divBdr>
    </w:div>
    <w:div w:id="138377893">
      <w:bodyDiv w:val="1"/>
      <w:marLeft w:val="0"/>
      <w:marRight w:val="0"/>
      <w:marTop w:val="0"/>
      <w:marBottom w:val="0"/>
      <w:divBdr>
        <w:top w:val="none" w:sz="0" w:space="0" w:color="auto"/>
        <w:left w:val="none" w:sz="0" w:space="0" w:color="auto"/>
        <w:bottom w:val="none" w:sz="0" w:space="0" w:color="auto"/>
        <w:right w:val="none" w:sz="0" w:space="0" w:color="auto"/>
      </w:divBdr>
    </w:div>
    <w:div w:id="162823100">
      <w:bodyDiv w:val="1"/>
      <w:marLeft w:val="0"/>
      <w:marRight w:val="0"/>
      <w:marTop w:val="0"/>
      <w:marBottom w:val="0"/>
      <w:divBdr>
        <w:top w:val="none" w:sz="0" w:space="0" w:color="auto"/>
        <w:left w:val="none" w:sz="0" w:space="0" w:color="auto"/>
        <w:bottom w:val="none" w:sz="0" w:space="0" w:color="auto"/>
        <w:right w:val="none" w:sz="0" w:space="0" w:color="auto"/>
      </w:divBdr>
    </w:div>
    <w:div w:id="176047790">
      <w:bodyDiv w:val="1"/>
      <w:marLeft w:val="0"/>
      <w:marRight w:val="0"/>
      <w:marTop w:val="0"/>
      <w:marBottom w:val="0"/>
      <w:divBdr>
        <w:top w:val="none" w:sz="0" w:space="0" w:color="auto"/>
        <w:left w:val="none" w:sz="0" w:space="0" w:color="auto"/>
        <w:bottom w:val="none" w:sz="0" w:space="0" w:color="auto"/>
        <w:right w:val="none" w:sz="0" w:space="0" w:color="auto"/>
      </w:divBdr>
    </w:div>
    <w:div w:id="245578043">
      <w:bodyDiv w:val="1"/>
      <w:marLeft w:val="0"/>
      <w:marRight w:val="0"/>
      <w:marTop w:val="0"/>
      <w:marBottom w:val="0"/>
      <w:divBdr>
        <w:top w:val="none" w:sz="0" w:space="0" w:color="auto"/>
        <w:left w:val="none" w:sz="0" w:space="0" w:color="auto"/>
        <w:bottom w:val="none" w:sz="0" w:space="0" w:color="auto"/>
        <w:right w:val="none" w:sz="0" w:space="0" w:color="auto"/>
      </w:divBdr>
    </w:div>
    <w:div w:id="302391060">
      <w:bodyDiv w:val="1"/>
      <w:marLeft w:val="0"/>
      <w:marRight w:val="0"/>
      <w:marTop w:val="0"/>
      <w:marBottom w:val="0"/>
      <w:divBdr>
        <w:top w:val="none" w:sz="0" w:space="0" w:color="auto"/>
        <w:left w:val="none" w:sz="0" w:space="0" w:color="auto"/>
        <w:bottom w:val="none" w:sz="0" w:space="0" w:color="auto"/>
        <w:right w:val="none" w:sz="0" w:space="0" w:color="auto"/>
      </w:divBdr>
    </w:div>
    <w:div w:id="309948577">
      <w:bodyDiv w:val="1"/>
      <w:marLeft w:val="0"/>
      <w:marRight w:val="0"/>
      <w:marTop w:val="0"/>
      <w:marBottom w:val="0"/>
      <w:divBdr>
        <w:top w:val="none" w:sz="0" w:space="0" w:color="auto"/>
        <w:left w:val="none" w:sz="0" w:space="0" w:color="auto"/>
        <w:bottom w:val="none" w:sz="0" w:space="0" w:color="auto"/>
        <w:right w:val="none" w:sz="0" w:space="0" w:color="auto"/>
      </w:divBdr>
    </w:div>
    <w:div w:id="465591634">
      <w:bodyDiv w:val="1"/>
      <w:marLeft w:val="0"/>
      <w:marRight w:val="0"/>
      <w:marTop w:val="0"/>
      <w:marBottom w:val="0"/>
      <w:divBdr>
        <w:top w:val="none" w:sz="0" w:space="0" w:color="auto"/>
        <w:left w:val="none" w:sz="0" w:space="0" w:color="auto"/>
        <w:bottom w:val="none" w:sz="0" w:space="0" w:color="auto"/>
        <w:right w:val="none" w:sz="0" w:space="0" w:color="auto"/>
      </w:divBdr>
    </w:div>
    <w:div w:id="534196316">
      <w:bodyDiv w:val="1"/>
      <w:marLeft w:val="0"/>
      <w:marRight w:val="0"/>
      <w:marTop w:val="0"/>
      <w:marBottom w:val="0"/>
      <w:divBdr>
        <w:top w:val="none" w:sz="0" w:space="0" w:color="auto"/>
        <w:left w:val="none" w:sz="0" w:space="0" w:color="auto"/>
        <w:bottom w:val="none" w:sz="0" w:space="0" w:color="auto"/>
        <w:right w:val="none" w:sz="0" w:space="0" w:color="auto"/>
      </w:divBdr>
    </w:div>
    <w:div w:id="534847724">
      <w:bodyDiv w:val="1"/>
      <w:marLeft w:val="0"/>
      <w:marRight w:val="0"/>
      <w:marTop w:val="0"/>
      <w:marBottom w:val="0"/>
      <w:divBdr>
        <w:top w:val="none" w:sz="0" w:space="0" w:color="auto"/>
        <w:left w:val="none" w:sz="0" w:space="0" w:color="auto"/>
        <w:bottom w:val="none" w:sz="0" w:space="0" w:color="auto"/>
        <w:right w:val="none" w:sz="0" w:space="0" w:color="auto"/>
      </w:divBdr>
    </w:div>
    <w:div w:id="619189365">
      <w:bodyDiv w:val="1"/>
      <w:marLeft w:val="0"/>
      <w:marRight w:val="0"/>
      <w:marTop w:val="0"/>
      <w:marBottom w:val="0"/>
      <w:divBdr>
        <w:top w:val="none" w:sz="0" w:space="0" w:color="auto"/>
        <w:left w:val="none" w:sz="0" w:space="0" w:color="auto"/>
        <w:bottom w:val="none" w:sz="0" w:space="0" w:color="auto"/>
        <w:right w:val="none" w:sz="0" w:space="0" w:color="auto"/>
      </w:divBdr>
    </w:div>
    <w:div w:id="764769984">
      <w:bodyDiv w:val="1"/>
      <w:marLeft w:val="0"/>
      <w:marRight w:val="0"/>
      <w:marTop w:val="0"/>
      <w:marBottom w:val="0"/>
      <w:divBdr>
        <w:top w:val="none" w:sz="0" w:space="0" w:color="auto"/>
        <w:left w:val="none" w:sz="0" w:space="0" w:color="auto"/>
        <w:bottom w:val="none" w:sz="0" w:space="0" w:color="auto"/>
        <w:right w:val="none" w:sz="0" w:space="0" w:color="auto"/>
      </w:divBdr>
    </w:div>
    <w:div w:id="780563532">
      <w:bodyDiv w:val="1"/>
      <w:marLeft w:val="0"/>
      <w:marRight w:val="0"/>
      <w:marTop w:val="0"/>
      <w:marBottom w:val="0"/>
      <w:divBdr>
        <w:top w:val="none" w:sz="0" w:space="0" w:color="auto"/>
        <w:left w:val="none" w:sz="0" w:space="0" w:color="auto"/>
        <w:bottom w:val="none" w:sz="0" w:space="0" w:color="auto"/>
        <w:right w:val="none" w:sz="0" w:space="0" w:color="auto"/>
      </w:divBdr>
    </w:div>
    <w:div w:id="828059247">
      <w:bodyDiv w:val="1"/>
      <w:marLeft w:val="0"/>
      <w:marRight w:val="0"/>
      <w:marTop w:val="0"/>
      <w:marBottom w:val="0"/>
      <w:divBdr>
        <w:top w:val="none" w:sz="0" w:space="0" w:color="auto"/>
        <w:left w:val="none" w:sz="0" w:space="0" w:color="auto"/>
        <w:bottom w:val="none" w:sz="0" w:space="0" w:color="auto"/>
        <w:right w:val="none" w:sz="0" w:space="0" w:color="auto"/>
      </w:divBdr>
    </w:div>
    <w:div w:id="832642485">
      <w:bodyDiv w:val="1"/>
      <w:marLeft w:val="0"/>
      <w:marRight w:val="0"/>
      <w:marTop w:val="0"/>
      <w:marBottom w:val="0"/>
      <w:divBdr>
        <w:top w:val="none" w:sz="0" w:space="0" w:color="auto"/>
        <w:left w:val="none" w:sz="0" w:space="0" w:color="auto"/>
        <w:bottom w:val="none" w:sz="0" w:space="0" w:color="auto"/>
        <w:right w:val="none" w:sz="0" w:space="0" w:color="auto"/>
      </w:divBdr>
    </w:div>
    <w:div w:id="960692405">
      <w:bodyDiv w:val="1"/>
      <w:marLeft w:val="0"/>
      <w:marRight w:val="0"/>
      <w:marTop w:val="0"/>
      <w:marBottom w:val="0"/>
      <w:divBdr>
        <w:top w:val="none" w:sz="0" w:space="0" w:color="auto"/>
        <w:left w:val="none" w:sz="0" w:space="0" w:color="auto"/>
        <w:bottom w:val="none" w:sz="0" w:space="0" w:color="auto"/>
        <w:right w:val="none" w:sz="0" w:space="0" w:color="auto"/>
      </w:divBdr>
    </w:div>
    <w:div w:id="976298626">
      <w:bodyDiv w:val="1"/>
      <w:marLeft w:val="0"/>
      <w:marRight w:val="0"/>
      <w:marTop w:val="0"/>
      <w:marBottom w:val="0"/>
      <w:divBdr>
        <w:top w:val="none" w:sz="0" w:space="0" w:color="auto"/>
        <w:left w:val="none" w:sz="0" w:space="0" w:color="auto"/>
        <w:bottom w:val="none" w:sz="0" w:space="0" w:color="auto"/>
        <w:right w:val="none" w:sz="0" w:space="0" w:color="auto"/>
      </w:divBdr>
    </w:div>
    <w:div w:id="1001813870">
      <w:bodyDiv w:val="1"/>
      <w:marLeft w:val="0"/>
      <w:marRight w:val="0"/>
      <w:marTop w:val="0"/>
      <w:marBottom w:val="0"/>
      <w:divBdr>
        <w:top w:val="none" w:sz="0" w:space="0" w:color="auto"/>
        <w:left w:val="none" w:sz="0" w:space="0" w:color="auto"/>
        <w:bottom w:val="none" w:sz="0" w:space="0" w:color="auto"/>
        <w:right w:val="none" w:sz="0" w:space="0" w:color="auto"/>
      </w:divBdr>
    </w:div>
    <w:div w:id="1003702178">
      <w:bodyDiv w:val="1"/>
      <w:marLeft w:val="0"/>
      <w:marRight w:val="0"/>
      <w:marTop w:val="0"/>
      <w:marBottom w:val="0"/>
      <w:divBdr>
        <w:top w:val="none" w:sz="0" w:space="0" w:color="auto"/>
        <w:left w:val="none" w:sz="0" w:space="0" w:color="auto"/>
        <w:bottom w:val="none" w:sz="0" w:space="0" w:color="auto"/>
        <w:right w:val="none" w:sz="0" w:space="0" w:color="auto"/>
      </w:divBdr>
    </w:div>
    <w:div w:id="1006715429">
      <w:bodyDiv w:val="1"/>
      <w:marLeft w:val="0"/>
      <w:marRight w:val="0"/>
      <w:marTop w:val="0"/>
      <w:marBottom w:val="0"/>
      <w:divBdr>
        <w:top w:val="none" w:sz="0" w:space="0" w:color="auto"/>
        <w:left w:val="none" w:sz="0" w:space="0" w:color="auto"/>
        <w:bottom w:val="none" w:sz="0" w:space="0" w:color="auto"/>
        <w:right w:val="none" w:sz="0" w:space="0" w:color="auto"/>
      </w:divBdr>
    </w:div>
    <w:div w:id="1055667536">
      <w:bodyDiv w:val="1"/>
      <w:marLeft w:val="0"/>
      <w:marRight w:val="0"/>
      <w:marTop w:val="0"/>
      <w:marBottom w:val="0"/>
      <w:divBdr>
        <w:top w:val="none" w:sz="0" w:space="0" w:color="auto"/>
        <w:left w:val="none" w:sz="0" w:space="0" w:color="auto"/>
        <w:bottom w:val="none" w:sz="0" w:space="0" w:color="auto"/>
        <w:right w:val="none" w:sz="0" w:space="0" w:color="auto"/>
      </w:divBdr>
    </w:div>
    <w:div w:id="1226380962">
      <w:bodyDiv w:val="1"/>
      <w:marLeft w:val="0"/>
      <w:marRight w:val="0"/>
      <w:marTop w:val="0"/>
      <w:marBottom w:val="0"/>
      <w:divBdr>
        <w:top w:val="none" w:sz="0" w:space="0" w:color="auto"/>
        <w:left w:val="none" w:sz="0" w:space="0" w:color="auto"/>
        <w:bottom w:val="none" w:sz="0" w:space="0" w:color="auto"/>
        <w:right w:val="none" w:sz="0" w:space="0" w:color="auto"/>
      </w:divBdr>
    </w:div>
    <w:div w:id="1294100610">
      <w:bodyDiv w:val="1"/>
      <w:marLeft w:val="0"/>
      <w:marRight w:val="0"/>
      <w:marTop w:val="0"/>
      <w:marBottom w:val="0"/>
      <w:divBdr>
        <w:top w:val="none" w:sz="0" w:space="0" w:color="auto"/>
        <w:left w:val="none" w:sz="0" w:space="0" w:color="auto"/>
        <w:bottom w:val="none" w:sz="0" w:space="0" w:color="auto"/>
        <w:right w:val="none" w:sz="0" w:space="0" w:color="auto"/>
      </w:divBdr>
    </w:div>
    <w:div w:id="1331525242">
      <w:bodyDiv w:val="1"/>
      <w:marLeft w:val="0"/>
      <w:marRight w:val="0"/>
      <w:marTop w:val="0"/>
      <w:marBottom w:val="0"/>
      <w:divBdr>
        <w:top w:val="none" w:sz="0" w:space="0" w:color="auto"/>
        <w:left w:val="none" w:sz="0" w:space="0" w:color="auto"/>
        <w:bottom w:val="none" w:sz="0" w:space="0" w:color="auto"/>
        <w:right w:val="none" w:sz="0" w:space="0" w:color="auto"/>
      </w:divBdr>
    </w:div>
    <w:div w:id="1343631032">
      <w:bodyDiv w:val="1"/>
      <w:marLeft w:val="0"/>
      <w:marRight w:val="0"/>
      <w:marTop w:val="0"/>
      <w:marBottom w:val="0"/>
      <w:divBdr>
        <w:top w:val="none" w:sz="0" w:space="0" w:color="auto"/>
        <w:left w:val="none" w:sz="0" w:space="0" w:color="auto"/>
        <w:bottom w:val="none" w:sz="0" w:space="0" w:color="auto"/>
        <w:right w:val="none" w:sz="0" w:space="0" w:color="auto"/>
      </w:divBdr>
    </w:div>
    <w:div w:id="1355226481">
      <w:bodyDiv w:val="1"/>
      <w:marLeft w:val="0"/>
      <w:marRight w:val="0"/>
      <w:marTop w:val="0"/>
      <w:marBottom w:val="0"/>
      <w:divBdr>
        <w:top w:val="none" w:sz="0" w:space="0" w:color="auto"/>
        <w:left w:val="none" w:sz="0" w:space="0" w:color="auto"/>
        <w:bottom w:val="none" w:sz="0" w:space="0" w:color="auto"/>
        <w:right w:val="none" w:sz="0" w:space="0" w:color="auto"/>
      </w:divBdr>
    </w:div>
    <w:div w:id="1400596773">
      <w:bodyDiv w:val="1"/>
      <w:marLeft w:val="0"/>
      <w:marRight w:val="0"/>
      <w:marTop w:val="0"/>
      <w:marBottom w:val="0"/>
      <w:divBdr>
        <w:top w:val="none" w:sz="0" w:space="0" w:color="auto"/>
        <w:left w:val="none" w:sz="0" w:space="0" w:color="auto"/>
        <w:bottom w:val="none" w:sz="0" w:space="0" w:color="auto"/>
        <w:right w:val="none" w:sz="0" w:space="0" w:color="auto"/>
      </w:divBdr>
    </w:div>
    <w:div w:id="1430740213">
      <w:bodyDiv w:val="1"/>
      <w:marLeft w:val="0"/>
      <w:marRight w:val="0"/>
      <w:marTop w:val="0"/>
      <w:marBottom w:val="0"/>
      <w:divBdr>
        <w:top w:val="none" w:sz="0" w:space="0" w:color="auto"/>
        <w:left w:val="none" w:sz="0" w:space="0" w:color="auto"/>
        <w:bottom w:val="none" w:sz="0" w:space="0" w:color="auto"/>
        <w:right w:val="none" w:sz="0" w:space="0" w:color="auto"/>
      </w:divBdr>
    </w:div>
    <w:div w:id="1465539136">
      <w:bodyDiv w:val="1"/>
      <w:marLeft w:val="0"/>
      <w:marRight w:val="0"/>
      <w:marTop w:val="0"/>
      <w:marBottom w:val="0"/>
      <w:divBdr>
        <w:top w:val="none" w:sz="0" w:space="0" w:color="auto"/>
        <w:left w:val="none" w:sz="0" w:space="0" w:color="auto"/>
        <w:bottom w:val="none" w:sz="0" w:space="0" w:color="auto"/>
        <w:right w:val="none" w:sz="0" w:space="0" w:color="auto"/>
      </w:divBdr>
    </w:div>
    <w:div w:id="1489904097">
      <w:bodyDiv w:val="1"/>
      <w:marLeft w:val="0"/>
      <w:marRight w:val="0"/>
      <w:marTop w:val="0"/>
      <w:marBottom w:val="0"/>
      <w:divBdr>
        <w:top w:val="none" w:sz="0" w:space="0" w:color="auto"/>
        <w:left w:val="none" w:sz="0" w:space="0" w:color="auto"/>
        <w:bottom w:val="none" w:sz="0" w:space="0" w:color="auto"/>
        <w:right w:val="none" w:sz="0" w:space="0" w:color="auto"/>
      </w:divBdr>
    </w:div>
    <w:div w:id="1517965586">
      <w:bodyDiv w:val="1"/>
      <w:marLeft w:val="0"/>
      <w:marRight w:val="0"/>
      <w:marTop w:val="0"/>
      <w:marBottom w:val="0"/>
      <w:divBdr>
        <w:top w:val="none" w:sz="0" w:space="0" w:color="auto"/>
        <w:left w:val="none" w:sz="0" w:space="0" w:color="auto"/>
        <w:bottom w:val="none" w:sz="0" w:space="0" w:color="auto"/>
        <w:right w:val="none" w:sz="0" w:space="0" w:color="auto"/>
      </w:divBdr>
    </w:div>
    <w:div w:id="1549536619">
      <w:bodyDiv w:val="1"/>
      <w:marLeft w:val="0"/>
      <w:marRight w:val="0"/>
      <w:marTop w:val="0"/>
      <w:marBottom w:val="0"/>
      <w:divBdr>
        <w:top w:val="none" w:sz="0" w:space="0" w:color="auto"/>
        <w:left w:val="none" w:sz="0" w:space="0" w:color="auto"/>
        <w:bottom w:val="none" w:sz="0" w:space="0" w:color="auto"/>
        <w:right w:val="none" w:sz="0" w:space="0" w:color="auto"/>
      </w:divBdr>
    </w:div>
    <w:div w:id="1557426220">
      <w:bodyDiv w:val="1"/>
      <w:marLeft w:val="0"/>
      <w:marRight w:val="0"/>
      <w:marTop w:val="0"/>
      <w:marBottom w:val="0"/>
      <w:divBdr>
        <w:top w:val="none" w:sz="0" w:space="0" w:color="auto"/>
        <w:left w:val="none" w:sz="0" w:space="0" w:color="auto"/>
        <w:bottom w:val="none" w:sz="0" w:space="0" w:color="auto"/>
        <w:right w:val="none" w:sz="0" w:space="0" w:color="auto"/>
      </w:divBdr>
    </w:div>
    <w:div w:id="1644627220">
      <w:bodyDiv w:val="1"/>
      <w:marLeft w:val="0"/>
      <w:marRight w:val="0"/>
      <w:marTop w:val="0"/>
      <w:marBottom w:val="0"/>
      <w:divBdr>
        <w:top w:val="none" w:sz="0" w:space="0" w:color="auto"/>
        <w:left w:val="none" w:sz="0" w:space="0" w:color="auto"/>
        <w:bottom w:val="none" w:sz="0" w:space="0" w:color="auto"/>
        <w:right w:val="none" w:sz="0" w:space="0" w:color="auto"/>
      </w:divBdr>
    </w:div>
    <w:div w:id="1762723289">
      <w:bodyDiv w:val="1"/>
      <w:marLeft w:val="0"/>
      <w:marRight w:val="0"/>
      <w:marTop w:val="0"/>
      <w:marBottom w:val="0"/>
      <w:divBdr>
        <w:top w:val="none" w:sz="0" w:space="0" w:color="auto"/>
        <w:left w:val="none" w:sz="0" w:space="0" w:color="auto"/>
        <w:bottom w:val="none" w:sz="0" w:space="0" w:color="auto"/>
        <w:right w:val="none" w:sz="0" w:space="0" w:color="auto"/>
      </w:divBdr>
    </w:div>
    <w:div w:id="1794983004">
      <w:bodyDiv w:val="1"/>
      <w:marLeft w:val="0"/>
      <w:marRight w:val="0"/>
      <w:marTop w:val="0"/>
      <w:marBottom w:val="0"/>
      <w:divBdr>
        <w:top w:val="none" w:sz="0" w:space="0" w:color="auto"/>
        <w:left w:val="none" w:sz="0" w:space="0" w:color="auto"/>
        <w:bottom w:val="none" w:sz="0" w:space="0" w:color="auto"/>
        <w:right w:val="none" w:sz="0" w:space="0" w:color="auto"/>
      </w:divBdr>
    </w:div>
    <w:div w:id="1823768247">
      <w:bodyDiv w:val="1"/>
      <w:marLeft w:val="0"/>
      <w:marRight w:val="0"/>
      <w:marTop w:val="0"/>
      <w:marBottom w:val="0"/>
      <w:divBdr>
        <w:top w:val="none" w:sz="0" w:space="0" w:color="auto"/>
        <w:left w:val="none" w:sz="0" w:space="0" w:color="auto"/>
        <w:bottom w:val="none" w:sz="0" w:space="0" w:color="auto"/>
        <w:right w:val="none" w:sz="0" w:space="0" w:color="auto"/>
      </w:divBdr>
    </w:div>
    <w:div w:id="1860074996">
      <w:bodyDiv w:val="1"/>
      <w:marLeft w:val="0"/>
      <w:marRight w:val="0"/>
      <w:marTop w:val="0"/>
      <w:marBottom w:val="0"/>
      <w:divBdr>
        <w:top w:val="none" w:sz="0" w:space="0" w:color="auto"/>
        <w:left w:val="none" w:sz="0" w:space="0" w:color="auto"/>
        <w:bottom w:val="none" w:sz="0" w:space="0" w:color="auto"/>
        <w:right w:val="none" w:sz="0" w:space="0" w:color="auto"/>
      </w:divBdr>
    </w:div>
    <w:div w:id="1982929368">
      <w:bodyDiv w:val="1"/>
      <w:marLeft w:val="0"/>
      <w:marRight w:val="0"/>
      <w:marTop w:val="0"/>
      <w:marBottom w:val="0"/>
      <w:divBdr>
        <w:top w:val="none" w:sz="0" w:space="0" w:color="auto"/>
        <w:left w:val="none" w:sz="0" w:space="0" w:color="auto"/>
        <w:bottom w:val="none" w:sz="0" w:space="0" w:color="auto"/>
        <w:right w:val="none" w:sz="0" w:space="0" w:color="auto"/>
      </w:divBdr>
    </w:div>
    <w:div w:id="1984578883">
      <w:bodyDiv w:val="1"/>
      <w:marLeft w:val="0"/>
      <w:marRight w:val="0"/>
      <w:marTop w:val="0"/>
      <w:marBottom w:val="0"/>
      <w:divBdr>
        <w:top w:val="none" w:sz="0" w:space="0" w:color="auto"/>
        <w:left w:val="none" w:sz="0" w:space="0" w:color="auto"/>
        <w:bottom w:val="none" w:sz="0" w:space="0" w:color="auto"/>
        <w:right w:val="none" w:sz="0" w:space="0" w:color="auto"/>
      </w:divBdr>
    </w:div>
    <w:div w:id="2024475589">
      <w:bodyDiv w:val="1"/>
      <w:marLeft w:val="0"/>
      <w:marRight w:val="0"/>
      <w:marTop w:val="0"/>
      <w:marBottom w:val="0"/>
      <w:divBdr>
        <w:top w:val="none" w:sz="0" w:space="0" w:color="auto"/>
        <w:left w:val="none" w:sz="0" w:space="0" w:color="auto"/>
        <w:bottom w:val="none" w:sz="0" w:space="0" w:color="auto"/>
        <w:right w:val="none" w:sz="0" w:space="0" w:color="auto"/>
      </w:divBdr>
    </w:div>
    <w:div w:id="21170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15</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34</cp:revision>
  <dcterms:created xsi:type="dcterms:W3CDTF">2020-05-20T05:24:00Z</dcterms:created>
  <dcterms:modified xsi:type="dcterms:W3CDTF">2020-05-20T16:44:00Z</dcterms:modified>
</cp:coreProperties>
</file>