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 Infrastructure Services &amp; Pricing Rules</w:t>
      </w:r>
    </w:p>
    <w:p>
      <w:pPr>
        <w:pStyle w:val="Heading2"/>
      </w:pPr>
      <w:r>
        <w:t>Service Overview</w:t>
      </w:r>
    </w:p>
    <w:p>
      <w:r>
        <w:t>Apex Enterprise Cloud provides managed Kubernetes clusters, dedicated database hosting, and distributed object storage designed for mission-critical corporate workloads. Our standard production tier guarantees 99.95% uptime backed by financial service level credits.</w:t>
      </w:r>
    </w:p>
    <w:p>
      <w:pPr>
        <w:pStyle w:val="Heading2"/>
      </w:pPr>
      <w:r>
        <w:t>Tiered Pricing Structure</w:t>
      </w:r>
    </w:p>
    <w:p>
      <w:r>
        <w:t>Pricing is billed monthly based on allocated computing instances and storage volume: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Tier Level</w:t>
            </w:r>
          </w:p>
        </w:tc>
        <w:tc>
          <w:tcPr>
            <w:tcW w:type="dxa" w:w="2160"/>
          </w:tcPr>
          <w:p>
            <w:r>
              <w:t>Virtual CPUs / RAM</w:t>
            </w:r>
          </w:p>
        </w:tc>
        <w:tc>
          <w:tcPr>
            <w:tcW w:type="dxa" w:w="2160"/>
          </w:tcPr>
          <w:p>
            <w:r>
              <w:t>Monthly Base Fee</w:t>
            </w:r>
          </w:p>
        </w:tc>
        <w:tc>
          <w:tcPr>
            <w:tcW w:type="dxa" w:w="2160"/>
          </w:tcPr>
          <w:p>
            <w:r>
              <w:t>Over-quota Rate</w:t>
            </w:r>
          </w:p>
        </w:tc>
      </w:tr>
      <w:tr>
        <w:tc>
          <w:tcPr>
            <w:tcW w:type="dxa" w:w="2160"/>
          </w:tcPr>
          <w:p>
            <w:r>
              <w:t>Starter Tier</w:t>
            </w:r>
          </w:p>
        </w:tc>
        <w:tc>
          <w:tcPr>
            <w:tcW w:type="dxa" w:w="2160"/>
          </w:tcPr>
          <w:p>
            <w:r>
              <w:t>2 vCPU / 4 GB RAM</w:t>
            </w:r>
          </w:p>
        </w:tc>
        <w:tc>
          <w:tcPr>
            <w:tcW w:type="dxa" w:w="2160"/>
          </w:tcPr>
          <w:p>
            <w:r>
              <w:t>$120 / month</w:t>
            </w:r>
          </w:p>
        </w:tc>
        <w:tc>
          <w:tcPr>
            <w:tcW w:type="dxa" w:w="2160"/>
          </w:tcPr>
          <w:p>
            <w:r>
              <w:t>$0.05 per GB-hour</w:t>
            </w:r>
          </w:p>
        </w:tc>
      </w:tr>
      <w:tr>
        <w:tc>
          <w:tcPr>
            <w:tcW w:type="dxa" w:w="2160"/>
          </w:tcPr>
          <w:p>
            <w:r>
              <w:t>Standard Production</w:t>
            </w:r>
          </w:p>
        </w:tc>
        <w:tc>
          <w:tcPr>
            <w:tcW w:type="dxa" w:w="2160"/>
          </w:tcPr>
          <w:p>
            <w:r>
              <w:t>8 vCPU / 32 GB RAM</w:t>
            </w:r>
          </w:p>
        </w:tc>
        <w:tc>
          <w:tcPr>
            <w:tcW w:type="dxa" w:w="2160"/>
          </w:tcPr>
          <w:p>
            <w:r>
              <w:t>$480 / month</w:t>
            </w:r>
          </w:p>
        </w:tc>
        <w:tc>
          <w:tcPr>
            <w:tcW w:type="dxa" w:w="2160"/>
          </w:tcPr>
          <w:p>
            <w:r>
              <w:t>$0.04 per GB-hour</w:t>
            </w:r>
          </w:p>
        </w:tc>
      </w:tr>
      <w:tr>
        <w:tc>
          <w:tcPr>
            <w:tcW w:type="dxa" w:w="2160"/>
          </w:tcPr>
          <w:p>
            <w:r>
              <w:t>High-Performance Tier</w:t>
            </w:r>
          </w:p>
        </w:tc>
        <w:tc>
          <w:tcPr>
            <w:tcW w:type="dxa" w:w="2160"/>
          </w:tcPr>
          <w:p>
            <w:r>
              <w:t>32 vCPU / 128 GB RAM</w:t>
            </w:r>
          </w:p>
        </w:tc>
        <w:tc>
          <w:tcPr>
            <w:tcW w:type="dxa" w:w="2160"/>
          </w:tcPr>
          <w:p>
            <w:r>
              <w:t>$1,450 / month</w:t>
            </w:r>
          </w:p>
        </w:tc>
        <w:tc>
          <w:tcPr>
            <w:tcW w:type="dxa" w:w="2160"/>
          </w:tcPr>
          <w:p>
            <w:r>
              <w:t>$0.03 per GB-hour</w:t>
            </w:r>
          </w:p>
        </w:tc>
      </w:tr>
    </w:tbl>
    <w:p>
      <w:pPr>
        <w:pStyle w:val="Heading2"/>
      </w:pPr>
      <w:r>
        <w:t>Volume Discount Policy and Exceptions</w:t>
      </w:r>
    </w:p>
    <w:p>
      <w:r>
        <w:t>Clients committing to a minimum 12-month annual contract receive a 15% discount on monthly base fees. Clients committing to 36-month contracts receive a 25% discount. Discounts cannot be combined with educational or non-profit waivers. Any custom pricing exception exceeding 30% discount requires explicit written authorization from the Chief Commercial Officer (CCO).</w:t>
      </w:r>
    </w:p>
    <w:p>
      <w:pPr>
        <w:pStyle w:val="Heading2"/>
      </w:pPr>
      <w:r>
        <w:t>Service Level Agreement (SLA) Penalties</w:t>
      </w:r>
    </w:p>
    <w:p>
      <w:r>
        <w:t>If monthly availability drops between 99.0% and 99.94%, a 10% billing credit is credited to the next invoice. If monthly availability drops below 99.0%, a 25% billing credit applies. Customers must claim SLA penalties in writing within 30 days of the affected calendar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