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8C6B2D"/>
          <w:sz w:val="19"/>
        </w:rPr>
        <w:t>MARKETING AUDIT &amp; PRODUCT ANALYSIS REPORT</w:t>
      </w:r>
    </w:p>
    <w:p>
      <w:pPr>
        <w:spacing w:after="80"/>
      </w:pPr>
      <w:r>
        <w:rPr>
          <w:rFonts w:ascii="Georgia" w:hAnsi="Georgia"/>
          <w:b/>
          <w:color w:val="0F2A4A"/>
          <w:sz w:val="44"/>
        </w:rPr>
        <w:t>Amam Arun (SEBI RA): Comprehensive Offerings &amp; Marketing Architecture</w:t>
      </w:r>
    </w:p>
    <w:p>
      <w:pPr>
        <w:spacing w:after="320"/>
      </w:pPr>
      <w:r>
        <w:rPr>
          <w:rFonts w:ascii="Segoe UI" w:hAnsi="Segoe UI"/>
          <w:i/>
          <w:color w:val="64748B"/>
          <w:sz w:val="22"/>
        </w:rPr>
        <w:t>Comprehensive Breakdown of Web Properties: Golden Bird RA (goldenbirdra.in) &amp; SuperProfile (financewithamam)</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4" w:space="0" w:color="E2E8F0"/>
          <w:insideV w:val="none"/>
        </w:tblBorders>
      </w:tblPr>
      <w:tblGrid>
        <w:gridCol w:w="4680"/>
        <w:gridCol w:w="4680"/>
      </w:tblGrid>
      <w:tr>
        <w:tc>
          <w:tcPr>
            <w:tcW w:type="dxa" w:w="2592"/>
            <w:shd w:fill="F8FAFC"/>
            <w:tcMar>
              <w:top w:w="100" w:type="dxa"/>
              <w:bottom w:w="100" w:type="dxa"/>
              <w:left w:w="140" w:type="dxa"/>
              <w:right w:w="140" w:type="dxa"/>
            </w:tcMar>
          </w:tcPr>
          <w:p>
            <w:pPr>
              <w:spacing w:after="0"/>
            </w:pPr>
            <w:r>
              <w:rPr>
                <w:b/>
                <w:color w:val="0F2A4A"/>
                <w:sz w:val="19"/>
              </w:rPr>
              <w:t>Prepared For</w:t>
            </w:r>
          </w:p>
        </w:tc>
        <w:tc>
          <w:tcPr>
            <w:tcW w:type="dxa" w:w="6768"/>
            <w:shd w:fill="FFFFFF"/>
            <w:tcMar>
              <w:top w:w="100" w:type="dxa"/>
              <w:bottom w:w="100" w:type="dxa"/>
              <w:left w:w="140" w:type="dxa"/>
              <w:right w:w="140" w:type="dxa"/>
            </w:tcMar>
          </w:tcPr>
          <w:p>
            <w:pPr>
              <w:spacing w:after="0"/>
            </w:pPr>
            <w:r>
              <w:rPr>
                <w:color w:val="475569"/>
                <w:sz w:val="19"/>
              </w:rPr>
              <w:t>Marketing Agency Team / Account Managers</w:t>
            </w:r>
          </w:p>
        </w:tc>
      </w:tr>
      <w:tr>
        <w:tc>
          <w:tcPr>
            <w:tcW w:type="dxa" w:w="2592"/>
            <w:shd w:fill="F8FAFC"/>
            <w:tcMar>
              <w:top w:w="100" w:type="dxa"/>
              <w:bottom w:w="100" w:type="dxa"/>
              <w:left w:w="140" w:type="dxa"/>
              <w:right w:w="140" w:type="dxa"/>
            </w:tcMar>
          </w:tcPr>
          <w:p>
            <w:pPr>
              <w:spacing w:after="0"/>
            </w:pPr>
            <w:r>
              <w:rPr>
                <w:b/>
                <w:color w:val="0F2A4A"/>
                <w:sz w:val="19"/>
              </w:rPr>
              <w:t>Client Identity</w:t>
            </w:r>
          </w:p>
        </w:tc>
        <w:tc>
          <w:tcPr>
            <w:tcW w:type="dxa" w:w="6768"/>
            <w:shd w:fill="FFFFFF"/>
            <w:tcMar>
              <w:top w:w="100" w:type="dxa"/>
              <w:bottom w:w="100" w:type="dxa"/>
              <w:left w:w="140" w:type="dxa"/>
              <w:right w:w="140" w:type="dxa"/>
            </w:tcMar>
          </w:tcPr>
          <w:p>
            <w:pPr>
              <w:spacing w:after="0"/>
            </w:pPr>
            <w:r>
              <w:rPr>
                <w:color w:val="475569"/>
                <w:sz w:val="19"/>
              </w:rPr>
              <w:t>Amam Arun — SEBI Registered Research Analyst (INH000028422)</w:t>
            </w:r>
          </w:p>
        </w:tc>
      </w:tr>
      <w:tr>
        <w:tc>
          <w:tcPr>
            <w:tcW w:type="dxa" w:w="2592"/>
            <w:shd w:fill="F8FAFC"/>
            <w:tcMar>
              <w:top w:w="100" w:type="dxa"/>
              <w:bottom w:w="100" w:type="dxa"/>
              <w:left w:w="140" w:type="dxa"/>
              <w:right w:w="140" w:type="dxa"/>
            </w:tcMar>
          </w:tcPr>
          <w:p>
            <w:pPr>
              <w:spacing w:after="0"/>
            </w:pPr>
            <w:r>
              <w:rPr>
                <w:b/>
                <w:color w:val="0F2A4A"/>
                <w:sz w:val="19"/>
              </w:rPr>
              <w:t>Entities Audited</w:t>
            </w:r>
          </w:p>
        </w:tc>
        <w:tc>
          <w:tcPr>
            <w:tcW w:type="dxa" w:w="6768"/>
            <w:shd w:fill="FFFFFF"/>
            <w:tcMar>
              <w:top w:w="100" w:type="dxa"/>
              <w:bottom w:w="100" w:type="dxa"/>
              <w:left w:w="140" w:type="dxa"/>
              <w:right w:w="140" w:type="dxa"/>
            </w:tcMar>
          </w:tcPr>
          <w:p>
            <w:pPr>
              <w:spacing w:after="0"/>
            </w:pPr>
            <w:r>
              <w:rPr>
                <w:color w:val="475569"/>
                <w:sz w:val="19"/>
              </w:rPr>
              <w:t>1. goldenbirdra.in (Boutique Advisory) | 2. superprofile.bio/financewithamam (Creator Storefront)</w:t>
            </w:r>
          </w:p>
        </w:tc>
      </w:tr>
      <w:tr>
        <w:tc>
          <w:tcPr>
            <w:tcW w:type="dxa" w:w="2592"/>
            <w:shd w:fill="F8FAFC"/>
            <w:tcMar>
              <w:top w:w="100" w:type="dxa"/>
              <w:bottom w:w="100" w:type="dxa"/>
              <w:left w:w="140" w:type="dxa"/>
              <w:right w:w="140" w:type="dxa"/>
            </w:tcMar>
          </w:tcPr>
          <w:p>
            <w:pPr>
              <w:spacing w:after="0"/>
            </w:pPr>
            <w:r>
              <w:rPr>
                <w:b/>
                <w:color w:val="0F2A4A"/>
                <w:sz w:val="19"/>
              </w:rPr>
              <w:t>Core Mandate</w:t>
            </w:r>
          </w:p>
        </w:tc>
        <w:tc>
          <w:tcPr>
            <w:tcW w:type="dxa" w:w="6768"/>
            <w:shd w:fill="FFFFFF"/>
            <w:tcMar>
              <w:top w:w="100" w:type="dxa"/>
              <w:bottom w:w="100" w:type="dxa"/>
              <w:left w:w="140" w:type="dxa"/>
              <w:right w:w="140" w:type="dxa"/>
            </w:tcMar>
          </w:tcPr>
          <w:p>
            <w:pPr>
              <w:spacing w:after="0"/>
            </w:pPr>
            <w:r>
              <w:rPr>
                <w:color w:val="475569"/>
                <w:sz w:val="19"/>
              </w:rPr>
              <w:t>Marketing Contract &amp; Client Acquisition Funnel Strategy</w:t>
            </w:r>
          </w:p>
        </w:tc>
      </w:tr>
    </w:tbl>
    <w:p>
      <w:pPr>
        <w:spacing w:after="200"/>
      </w:pPr>
    </w:p>
    <w:p>
      <w:pPr>
        <w:pStyle w:val="Heading1"/>
        <w:spacing w:before="320" w:after="120"/>
      </w:pPr>
      <w:r>
        <w:rPr>
          <w:rFonts w:ascii="Georgia" w:hAnsi="Georgia"/>
          <w:color w:val="0F2A4A"/>
          <w:sz w:val="30"/>
        </w:rPr>
        <w:t>1. Executive Profile &amp; SEBI Registration</w:t>
      </w:r>
    </w:p>
    <w:p>
      <w:r>
        <w:t>Amam Arun is a SEBI-registered Research Analyst operating under the SEBI (Research Analysts) Regulations, 2014. With a stated track record of over 12 years analyzing Indian equities across multiple market cycles, the practice is built on independent, fundamental, bottom-up equity research free of broking commissions or third-party conflicts.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680"/>
        <w:gridCol w:w="4680"/>
      </w:tblGrid>
      <w:tr>
        <w:tc>
          <w:tcPr>
            <w:tcW w:type="dxa" w:w="3168"/>
            <w:shd w:fill="F1F5F9"/>
            <w:tcMar>
              <w:top w:w="110" w:type="dxa"/>
              <w:bottom w:w="110" w:type="dxa"/>
              <w:left w:w="140" w:type="dxa"/>
              <w:right w:w="140" w:type="dxa"/>
            </w:tcMar>
          </w:tcPr>
          <w:p>
            <w:pPr>
              <w:spacing w:after="0"/>
            </w:pPr>
            <w:r>
              <w:rPr>
                <w:b/>
                <w:color w:val="0F2A4A"/>
                <w:sz w:val="19"/>
              </w:rPr>
              <w:t>Research Analyst Name</w:t>
            </w:r>
          </w:p>
        </w:tc>
        <w:tc>
          <w:tcPr>
            <w:tcW w:type="dxa" w:w="6192"/>
            <w:shd w:fill="FFFFFF"/>
            <w:tcMar>
              <w:top w:w="110" w:type="dxa"/>
              <w:bottom w:w="110" w:type="dxa"/>
              <w:left w:w="140" w:type="dxa"/>
              <w:right w:w="140" w:type="dxa"/>
            </w:tcMar>
          </w:tcPr>
          <w:p>
            <w:pPr>
              <w:spacing w:after="0"/>
            </w:pPr>
            <w:r>
              <w:rPr>
                <w:sz w:val="19"/>
              </w:rPr>
              <w:t>Amam Arun</w:t>
            </w:r>
          </w:p>
        </w:tc>
      </w:tr>
      <w:tr>
        <w:tc>
          <w:tcPr>
            <w:tcW w:type="dxa" w:w="3168"/>
            <w:shd w:fill="F8FAFC"/>
            <w:tcMar>
              <w:top w:w="110" w:type="dxa"/>
              <w:bottom w:w="110" w:type="dxa"/>
              <w:left w:w="140" w:type="dxa"/>
              <w:right w:w="140" w:type="dxa"/>
            </w:tcMar>
          </w:tcPr>
          <w:p>
            <w:pPr>
              <w:spacing w:after="0"/>
            </w:pPr>
            <w:r>
              <w:rPr>
                <w:b/>
                <w:color w:val="0F2A4A"/>
                <w:sz w:val="19"/>
              </w:rPr>
              <w:t>SEBI Registration No.</w:t>
            </w:r>
          </w:p>
        </w:tc>
        <w:tc>
          <w:tcPr>
            <w:tcW w:type="dxa" w:w="6192"/>
            <w:shd w:fill="F8FAFC"/>
            <w:tcMar>
              <w:top w:w="110" w:type="dxa"/>
              <w:bottom w:w="110" w:type="dxa"/>
              <w:left w:w="140" w:type="dxa"/>
              <w:right w:w="140" w:type="dxa"/>
            </w:tcMar>
          </w:tcPr>
          <w:p>
            <w:pPr>
              <w:spacing w:after="0"/>
            </w:pPr>
            <w:r>
              <w:rPr>
                <w:sz w:val="19"/>
              </w:rPr>
              <w:t>INH000028422 (Research Analyst)</w:t>
            </w:r>
          </w:p>
        </w:tc>
      </w:tr>
      <w:tr>
        <w:tc>
          <w:tcPr>
            <w:tcW w:type="dxa" w:w="3168"/>
            <w:shd w:fill="F1F5F9"/>
            <w:tcMar>
              <w:top w:w="110" w:type="dxa"/>
              <w:bottom w:w="110" w:type="dxa"/>
              <w:left w:w="140" w:type="dxa"/>
              <w:right w:w="140" w:type="dxa"/>
            </w:tcMar>
          </w:tcPr>
          <w:p>
            <w:pPr>
              <w:spacing w:after="0"/>
            </w:pPr>
            <w:r>
              <w:rPr>
                <w:b/>
                <w:color w:val="0F2A4A"/>
                <w:sz w:val="19"/>
              </w:rPr>
              <w:t>Operating Headquarter</w:t>
            </w:r>
          </w:p>
        </w:tc>
        <w:tc>
          <w:tcPr>
            <w:tcW w:type="dxa" w:w="6192"/>
            <w:shd w:fill="FFFFFF"/>
            <w:tcMar>
              <w:top w:w="110" w:type="dxa"/>
              <w:bottom w:w="110" w:type="dxa"/>
              <w:left w:w="140" w:type="dxa"/>
              <w:right w:w="140" w:type="dxa"/>
            </w:tcMar>
          </w:tcPr>
          <w:p>
            <w:pPr>
              <w:spacing w:after="0"/>
            </w:pPr>
            <w:r>
              <w:rPr>
                <w:sz w:val="19"/>
              </w:rPr>
              <w:t>Bangalore, Karnataka, India</w:t>
            </w:r>
          </w:p>
        </w:tc>
      </w:tr>
      <w:tr>
        <w:tc>
          <w:tcPr>
            <w:tcW w:type="dxa" w:w="3168"/>
            <w:shd w:fill="F8FAFC"/>
            <w:tcMar>
              <w:top w:w="110" w:type="dxa"/>
              <w:bottom w:w="110" w:type="dxa"/>
              <w:left w:w="140" w:type="dxa"/>
              <w:right w:w="140" w:type="dxa"/>
            </w:tcMar>
          </w:tcPr>
          <w:p>
            <w:pPr>
              <w:spacing w:after="0"/>
            </w:pPr>
            <w:r>
              <w:rPr>
                <w:b/>
                <w:color w:val="0F2A4A"/>
                <w:sz w:val="19"/>
              </w:rPr>
              <w:t>Direct Contact Details</w:t>
            </w:r>
          </w:p>
        </w:tc>
        <w:tc>
          <w:tcPr>
            <w:tcW w:type="dxa" w:w="6192"/>
            <w:shd w:fill="F8FAFC"/>
            <w:tcMar>
              <w:top w:w="110" w:type="dxa"/>
              <w:bottom w:w="110" w:type="dxa"/>
              <w:left w:w="140" w:type="dxa"/>
              <w:right w:w="140" w:type="dxa"/>
            </w:tcMar>
          </w:tcPr>
          <w:p>
            <w:pPr>
              <w:spacing w:after="0"/>
            </w:pPr>
            <w:r>
              <w:rPr>
                <w:sz w:val="19"/>
              </w:rPr>
              <w:t>Email: amam.arun1@gmail.com | Phone: +91 99627 39159</w:t>
            </w:r>
          </w:p>
        </w:tc>
      </w:tr>
      <w:tr>
        <w:tc>
          <w:tcPr>
            <w:tcW w:type="dxa" w:w="3168"/>
            <w:shd w:fill="F1F5F9"/>
            <w:tcMar>
              <w:top w:w="110" w:type="dxa"/>
              <w:bottom w:w="110" w:type="dxa"/>
              <w:left w:w="140" w:type="dxa"/>
              <w:right w:w="140" w:type="dxa"/>
            </w:tcMar>
          </w:tcPr>
          <w:p>
            <w:pPr>
              <w:spacing w:after="0"/>
            </w:pPr>
            <w:r>
              <w:rPr>
                <w:b/>
                <w:color w:val="0F2A4A"/>
                <w:sz w:val="19"/>
              </w:rPr>
              <w:t>Primary Web Assets</w:t>
            </w:r>
          </w:p>
        </w:tc>
        <w:tc>
          <w:tcPr>
            <w:tcW w:type="dxa" w:w="6192"/>
            <w:shd w:fill="FFFFFF"/>
            <w:tcMar>
              <w:top w:w="110" w:type="dxa"/>
              <w:bottom w:w="110" w:type="dxa"/>
              <w:left w:w="140" w:type="dxa"/>
              <w:right w:w="140" w:type="dxa"/>
            </w:tcMar>
          </w:tcPr>
          <w:p>
            <w:pPr>
              <w:spacing w:after="0"/>
            </w:pPr>
            <w:r>
              <w:rPr>
                <w:sz w:val="19"/>
              </w:rPr>
              <w:t>www.goldenbirdra.in (Formal Advisory) | superprofile.bio/financewithamam (Creator Hub)</w:t>
            </w:r>
          </w:p>
        </w:tc>
      </w:tr>
      <w:tr>
        <w:tc>
          <w:tcPr>
            <w:tcW w:type="dxa" w:w="3168"/>
            <w:shd w:fill="F8FAFC"/>
            <w:tcMar>
              <w:top w:w="110" w:type="dxa"/>
              <w:bottom w:w="110" w:type="dxa"/>
              <w:left w:w="140" w:type="dxa"/>
              <w:right w:w="140" w:type="dxa"/>
            </w:tcMar>
          </w:tcPr>
          <w:p>
            <w:pPr>
              <w:spacing w:after="0"/>
            </w:pPr>
            <w:r>
              <w:rPr>
                <w:b/>
                <w:color w:val="0F2A4A"/>
                <w:sz w:val="19"/>
              </w:rPr>
              <w:t>Social &amp; Creator Footprint</w:t>
            </w:r>
          </w:p>
        </w:tc>
        <w:tc>
          <w:tcPr>
            <w:tcW w:type="dxa" w:w="6192"/>
            <w:shd w:fill="F8FAFC"/>
            <w:tcMar>
              <w:top w:w="110" w:type="dxa"/>
              <w:bottom w:w="110" w:type="dxa"/>
              <w:left w:w="140" w:type="dxa"/>
              <w:right w:w="140" w:type="dxa"/>
            </w:tcMar>
          </w:tcPr>
          <w:p>
            <w:pPr>
              <w:spacing w:after="0"/>
            </w:pPr>
            <w:r>
              <w:rPr>
                <w:sz w:val="19"/>
              </w:rPr>
              <w:t>Instagram: @financewithamam (Content focused on Quant, Algo &amp; Stock Valuations)</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60" w:type="dxa"/>
              <w:bottom w:w="160" w:type="dxa"/>
              <w:left w:w="240" w:type="dxa"/>
              <w:right w:w="200" w:type="dxa"/>
            </w:tcMar>
            <w:tcBorders>
              <w:left w:val="single" w:sz="24" w:space="0" w:color="0F2A4A"/>
              <w:top w:val="none"/>
              <w:right w:val="none"/>
              <w:bottom w:val="none"/>
            </w:tcBorders>
          </w:tcPr>
          <w:p>
            <w:pPr>
              <w:spacing w:before="40" w:after="80"/>
            </w:pPr>
            <w:r>
              <w:rPr>
                <w:rFonts w:ascii="Segoe UI" w:hAnsi="Segoe UI"/>
                <w:b/>
                <w:color w:val="0F2A4A"/>
                <w:sz w:val="20"/>
              </w:rPr>
              <w:t>★  DUAL-BRAND STRATEGY IDENTIFIED</w:t>
              <w:br/>
            </w:r>
            <w:r>
              <w:rPr>
                <w:rFonts w:ascii="Segoe UI" w:hAnsi="Segoe UI"/>
                <w:color w:val="2D3748"/>
                <w:sz w:val="20"/>
              </w:rPr>
              <w:t>The client operates under two distinct identities with different price-points and target audiences: 'Finance with Amam' captures top-of-funnel retail interest through education and micro-advisory, while 'Golden Bird RA' monetizes high-conviction equity investors through premium subscription packages.</w:t>
            </w:r>
          </w:p>
        </w:tc>
      </w:tr>
    </w:tbl>
    <w:p>
      <w:pPr>
        <w:spacing w:after="120"/>
      </w:pPr>
    </w:p>
    <w:p>
      <w:pPr>
        <w:pStyle w:val="Heading1"/>
        <w:spacing w:before="280" w:after="120"/>
      </w:pPr>
      <w:r>
        <w:rPr>
          <w:rFonts w:ascii="Georgia" w:hAnsi="Georgia"/>
          <w:color w:val="0F2A4A"/>
          <w:sz w:val="30"/>
        </w:rPr>
        <w:t>2. Platform Analysis: SuperProfile (financewithamam)</w:t>
      </w:r>
    </w:p>
    <w:p>
      <w:r>
        <w:t>Hosted on SuperProfile (Cosmofeed backend), this storefront serves as the creator conversion engine. It translates social media followers from Instagram into paid subscribers and high-ticket cohort students. It features three distinct products:</w:t>
      </w:r>
    </w:p>
    <w:p>
      <w:r>
        <w:rPr>
          <w:b/>
          <w:color w:val="8C6B2D"/>
          <w:sz w:val="24"/>
        </w:rPr>
        <w:t>A. Design Your Own Algo Trading Strategy (Live Cohort)</w:t>
      </w:r>
    </w:p>
    <w:p>
      <w:r>
        <w:t>• Product Type: High-Ticket Live Educational Cohort / Masterclass</w:t>
        <w:br/>
        <w:t>• Pricing Structure: ₹15,000 (Minimum / Early Bird Price) to ₹25,000 (Suggested Full Price) — One-time fee</w:t>
        <w:br/>
        <w:t>• Program Format: 1 Month duration, alternate evening sessions (Sundays off). 100% live classes with interactive doubt clearing (no recorded video dumping).</w:t>
        <w:br/>
        <w:t>• Unique Positioning: 'Most people jump into algo trading by copying someone else's strategy off Telegram. This course teaches you to build your own from scratch, using statistics, probability, and AI, so you are not dependent on anyone else's signals ever again.'</w:t>
        <w:br/>
        <w:t>• Detailed Curriculum Coverage:</w:t>
        <w:br/>
        <w:t xml:space="preserve">    - Descriptive Statistics: Mean, median, mode, and standard deviation for market datasets.</w:t>
        <w:br/>
        <w:t xml:space="preserve">    - Probability Modeling: Quantitative probability framework for trading decisions.</w:t>
        <w:br/>
        <w:t xml:space="preserve">    - Outlier Detection: Statistically identifying non-random volume and price spikes.</w:t>
        <w:br/>
        <w:t xml:space="preserve">    - Markov Chains: Stochastic transition matrices and state modeling for strategy design.</w:t>
        <w:br/>
        <w:t xml:space="preserve">    - Hedging Principles: Downside protection and systematic position sizing.</w:t>
        <w:br/>
        <w:t xml:space="preserve">    - AI Tool Integration: Leveraging modern AI models to engineer and test trading rules.</w:t>
        <w:br/>
        <w:t xml:space="preserve">    - Backtesting &amp; Forward Testing: Rigorous historical and live execution validation.</w:t>
      </w:r>
    </w:p>
    <w:p>
      <w:r>
        <w:rPr>
          <w:b/>
          <w:color w:val="8C6B2D"/>
          <w:sz w:val="24"/>
        </w:rPr>
        <w:t>B. Stock Advisory (Closed WhatsApp Group)</w:t>
      </w:r>
    </w:p>
    <w:p>
      <w:r>
        <w:t>• Product Type: Micro-Subscription Stock Advisory</w:t>
        <w:br/>
        <w:t>• Pricing Structure: ₹3,000 / month</w:t>
        <w:br/>
        <w:t>• Program Format: Private, focused WhatsApp community (differentiated from generic one-way broadcast channels)</w:t>
        <w:br/>
        <w:t>• Inclusions &amp; Deliverables:</w:t>
        <w:br/>
        <w:t xml:space="preserve">    - Regular high-probability stock recommendations (Buy / Hold calls).</w:t>
        <w:br/>
        <w:t xml:space="preserve">    - Precise entry price levels, target ranges, and strict stop-loss rules.</w:t>
        <w:br/>
        <w:t xml:space="preserve">    - Detailed rationale and analytical logic behind every trade recommendation.</w:t>
        <w:br/>
        <w:t xml:space="preserve">    - Direct visibility into the analyst's mindset rather than cold ticker alerts.</w:t>
        <w:br/>
        <w:t xml:space="preserve">    - Full compliance transparency under SEBI RA INH000028422.</w:t>
      </w:r>
    </w:p>
    <w:p>
      <w:r>
        <w:rPr>
          <w:b/>
          <w:color w:val="8C6B2D"/>
          <w:sz w:val="24"/>
        </w:rPr>
        <w:t>C. Premium Analysis / Daily Market Intelligence</w:t>
      </w:r>
    </w:p>
    <w:p>
      <w:r>
        <w:t>• Product Type: Daily Market Briefing / Intelligence Newsletter</w:t>
        <w:br/>
        <w:t>• Pricing Structure: ₹1,499 – ₹2,499 / month</w:t>
        <w:br/>
        <w:t>• Program Format: Daily end-of-day updates delivered via WhatsApp</w:t>
        <w:br/>
        <w:t>• Inclusions &amp; Deliverables:</w:t>
        <w:br/>
        <w:t xml:space="preserve">    - Daily analysis of what moved the market today and why (Nifty/Sensex &amp; key sector drivers).</w:t>
        <w:br/>
        <w:t xml:space="preserve">    - Actionable outlook and key pivot levels to monitor for the next market session.</w:t>
        <w:br/>
        <w:t xml:space="preserve">    - Grounded, data-first perspective designed to prevent emotional panic during volatility.</w:t>
      </w:r>
    </w:p>
    <w:p>
      <w:pPr>
        <w:pStyle w:val="Heading1"/>
        <w:spacing w:before="280" w:after="120"/>
      </w:pPr>
      <w:r>
        <w:rPr>
          <w:rFonts w:ascii="Georgia" w:hAnsi="Georgia"/>
          <w:color w:val="0F2A4A"/>
          <w:sz w:val="30"/>
        </w:rPr>
        <w:t>3. Platform Analysis: Golden Bird RA (goldenbirdra.in)</w:t>
      </w:r>
    </w:p>
    <w:p>
      <w:r>
        <w:t>The Golden Bird RA website represents the high-end institutional and wealth-building advisory arm. It features institutional aesthetics, full SEBI regulatory compliance disclosures, and Razorpay-powered checkouts.</w:t>
      </w:r>
    </w:p>
    <w:p>
      <w:r>
        <w:rPr>
          <w:b/>
          <w:color w:val="0F2A4A"/>
        </w:rPr>
        <w:t>The Documented 5-Step Research Methodology:</w:t>
      </w:r>
    </w:p>
    <w:p>
      <w:pPr>
        <w:spacing w:after="60"/>
        <w:ind w:left="360"/>
      </w:pPr>
      <w:r>
        <w:rPr>
          <w:b/>
          <w:sz w:val="20"/>
        </w:rPr>
        <w:t xml:space="preserve">• Step 1: Quantitative Screening: </w:t>
      </w:r>
      <w:r>
        <w:rPr>
          <w:sz w:val="20"/>
        </w:rPr>
        <w:t>Multi-factor quantitative filtering across ~4,000 listed companies targeting quality, cash flow, debt-free balance sheets, and capital efficiency.</w:t>
      </w:r>
    </w:p>
    <w:p>
      <w:pPr>
        <w:spacing w:after="60"/>
        <w:ind w:left="360"/>
      </w:pPr>
      <w:r>
        <w:rPr>
          <w:b/>
          <w:sz w:val="20"/>
        </w:rPr>
        <w:t xml:space="preserve">• Step 2: Deep Fundamental Analysis: </w:t>
      </w:r>
      <w:r>
        <w:rPr>
          <w:sz w:val="20"/>
        </w:rPr>
        <w:t>Forensic analysis of 10-year annual reports, earnings concalls, forensic accounting checks, channel checks, and promoter integrity evaluation.</w:t>
      </w:r>
    </w:p>
    <w:p>
      <w:pPr>
        <w:spacing w:after="60"/>
        <w:ind w:left="360"/>
      </w:pPr>
      <w:r>
        <w:rPr>
          <w:b/>
          <w:sz w:val="20"/>
        </w:rPr>
        <w:t xml:space="preserve">• Step 3: Valuation Framework: </w:t>
      </w:r>
      <w:r>
        <w:rPr>
          <w:sz w:val="20"/>
        </w:rPr>
        <w:t>Discounted Cash Flow (DCF), peer relative multiples, and reverse-DCF scenario analysis to calculate safety margins.</w:t>
      </w:r>
    </w:p>
    <w:p>
      <w:pPr>
        <w:spacing w:after="60"/>
        <w:ind w:left="360"/>
      </w:pPr>
      <w:r>
        <w:rPr>
          <w:b/>
          <w:sz w:val="20"/>
        </w:rPr>
        <w:t xml:space="preserve">• Step 4: Explicit Risk Disclosures: </w:t>
      </w:r>
      <w:r>
        <w:rPr>
          <w:sz w:val="20"/>
        </w:rPr>
        <w:t>Documented kill-criteria and specific operational/macro factors that would invalidate the thesis.</w:t>
      </w:r>
    </w:p>
    <w:p>
      <w:pPr>
        <w:spacing w:after="60"/>
        <w:ind w:left="360"/>
      </w:pPr>
      <w:r>
        <w:rPr>
          <w:b/>
          <w:sz w:val="20"/>
        </w:rPr>
        <w:t xml:space="preserve">• Step 5: Active Coverage &amp; Review: </w:t>
      </w:r>
      <w:r>
        <w:rPr>
          <w:sz w:val="20"/>
        </w:rPr>
        <w:t>Quarterly post-earnings updates with clear actions: upgrade, maintain conviction, or disciplined exit.</w:t>
      </w:r>
    </w:p>
    <w:p>
      <w:pPr>
        <w:spacing w:after="120"/>
      </w:pPr>
    </w:p>
    <w:p>
      <w:r>
        <w:rPr>
          <w:b/>
          <w:color w:val="0F2A4A"/>
        </w:rPr>
        <w:t>Golden Bird RA Core Subscription Plans: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40"/>
            <w:shd w:fill="0F2A4A"/>
            <w:tcMar>
              <w:top w:w="120" w:type="dxa"/>
              <w:bottom w:w="120" w:type="dxa"/>
              <w:left w:w="120" w:type="dxa"/>
              <w:right w:w="120" w:type="dxa"/>
            </w:tcMar>
          </w:tcPr>
          <w:p>
            <w:r>
              <w:rPr>
                <w:b/>
                <w:color w:val="FFFFFF"/>
                <w:sz w:val="19"/>
              </w:rPr>
              <w:t>Service Tier</w:t>
            </w:r>
          </w:p>
        </w:tc>
        <w:tc>
          <w:tcPr>
            <w:tcW w:type="dxa" w:w="2340"/>
            <w:shd w:fill="0F2A4A"/>
            <w:tcMar>
              <w:top w:w="120" w:type="dxa"/>
              <w:bottom w:w="120" w:type="dxa"/>
              <w:left w:w="120" w:type="dxa"/>
              <w:right w:w="120" w:type="dxa"/>
            </w:tcMar>
          </w:tcPr>
          <w:p>
            <w:r>
              <w:rPr>
                <w:b/>
                <w:color w:val="FFFFFF"/>
                <w:sz w:val="19"/>
              </w:rPr>
              <w:t>Pricing &amp; Cadence</w:t>
            </w:r>
          </w:p>
        </w:tc>
        <w:tc>
          <w:tcPr>
            <w:tcW w:type="dxa" w:w="2340"/>
            <w:shd w:fill="0F2A4A"/>
            <w:tcMar>
              <w:top w:w="120" w:type="dxa"/>
              <w:bottom w:w="120" w:type="dxa"/>
              <w:left w:w="120" w:type="dxa"/>
              <w:right w:w="120" w:type="dxa"/>
            </w:tcMar>
          </w:tcPr>
          <w:p>
            <w:r>
              <w:rPr>
                <w:b/>
                <w:color w:val="FFFFFF"/>
                <w:sz w:val="19"/>
              </w:rPr>
              <w:t>Positioning / Tagline</w:t>
            </w:r>
          </w:p>
        </w:tc>
        <w:tc>
          <w:tcPr>
            <w:tcW w:type="dxa" w:w="2340"/>
            <w:shd w:fill="0F2A4A"/>
            <w:tcMar>
              <w:top w:w="120" w:type="dxa"/>
              <w:bottom w:w="120" w:type="dxa"/>
              <w:left w:w="120" w:type="dxa"/>
              <w:right w:w="120" w:type="dxa"/>
            </w:tcMar>
          </w:tcPr>
          <w:p>
            <w:r>
              <w:rPr>
                <w:b/>
                <w:color w:val="FFFFFF"/>
                <w:sz w:val="19"/>
              </w:rPr>
              <w:t>Key Inclusions</w:t>
            </w:r>
          </w:p>
        </w:tc>
      </w:tr>
      <w:tr>
        <w:tc>
          <w:tcPr>
            <w:tcW w:type="dxa" w:w="2160"/>
            <w:shd w:fill="FFFFFF"/>
            <w:tcMar>
              <w:top w:w="120" w:type="dxa"/>
              <w:bottom w:w="120" w:type="dxa"/>
              <w:left w:w="120" w:type="dxa"/>
              <w:right w:w="120" w:type="dxa"/>
            </w:tcMar>
          </w:tcPr>
          <w:p>
            <w:pPr>
              <w:spacing w:after="0"/>
            </w:pPr>
            <w:r>
              <w:rPr>
                <w:b/>
                <w:color w:val="0F2A4A"/>
                <w:sz w:val="18"/>
              </w:rPr>
              <w:t>Basic Equity Picks</w:t>
            </w:r>
          </w:p>
        </w:tc>
        <w:tc>
          <w:tcPr>
            <w:tcW w:type="dxa" w:w="2016"/>
            <w:shd w:fill="FFFFFF"/>
            <w:tcMar>
              <w:top w:w="120" w:type="dxa"/>
              <w:bottom w:w="120" w:type="dxa"/>
              <w:left w:w="120" w:type="dxa"/>
              <w:right w:w="120" w:type="dxa"/>
            </w:tcMar>
          </w:tcPr>
          <w:p>
            <w:pPr>
              <w:spacing w:after="0"/>
            </w:pPr>
            <w:r>
              <w:rPr>
                <w:b/>
                <w:color w:val="8C6B2D"/>
                <w:sz w:val="18"/>
              </w:rPr>
              <w:t>₹4,999 / month</w:t>
              <w:br/>
              <w:t>(Razorpay auto-billing)</w:t>
            </w:r>
          </w:p>
        </w:tc>
        <w:tc>
          <w:tcPr>
            <w:tcW w:type="dxa" w:w="2448"/>
            <w:shd w:fill="FFFFFF"/>
            <w:tcMar>
              <w:top w:w="120" w:type="dxa"/>
              <w:bottom w:w="120" w:type="dxa"/>
              <w:left w:w="120" w:type="dxa"/>
              <w:right w:w="120" w:type="dxa"/>
            </w:tcMar>
          </w:tcPr>
          <w:p>
            <w:pPr>
              <w:spacing w:after="0"/>
            </w:pPr>
            <w:r>
              <w:rPr>
                <w:sz w:val="18"/>
              </w:rPr>
              <w:t>Curated high-conviction stock ideas for the discerning investor.</w:t>
            </w:r>
          </w:p>
        </w:tc>
        <w:tc>
          <w:tcPr>
            <w:tcW w:type="dxa" w:w="3024"/>
            <w:shd w:fill="FFFFFF"/>
            <w:tcMar>
              <w:top w:w="120" w:type="dxa"/>
              <w:bottom w:w="120" w:type="dxa"/>
              <w:left w:w="120" w:type="dxa"/>
              <w:right w:w="120" w:type="dxa"/>
            </w:tcMar>
          </w:tcPr>
          <w:p>
            <w:pPr>
              <w:spacing w:after="0"/>
            </w:pPr>
            <w:r>
              <w:rPr>
                <w:sz w:val="18"/>
              </w:rPr>
              <w:t>• 3–5 high-conviction picks / month</w:t>
              <w:br/>
              <w:t>• Entry, target, and stop-loss levels</w:t>
              <w:br/>
              <w:t>• Monthly market outlook note</w:t>
              <w:br/>
              <w:t>• WhatsApp &amp; Email delivery</w:t>
              <w:br/>
              <w:t>• SEBI-compliant disclosures</w:t>
            </w:r>
          </w:p>
        </w:tc>
      </w:tr>
      <w:tr>
        <w:tc>
          <w:tcPr>
            <w:tcW w:type="dxa" w:w="2160"/>
            <w:shd w:fill="F8FAFC"/>
            <w:tcMar>
              <w:top w:w="120" w:type="dxa"/>
              <w:bottom w:w="120" w:type="dxa"/>
              <w:left w:w="120" w:type="dxa"/>
              <w:right w:w="120" w:type="dxa"/>
            </w:tcMar>
          </w:tcPr>
          <w:p>
            <w:pPr>
              <w:spacing w:after="0"/>
            </w:pPr>
            <w:r>
              <w:rPr>
                <w:b/>
                <w:color w:val="0F2A4A"/>
                <w:sz w:val="18"/>
              </w:rPr>
              <w:t>Premium Research + Portfolio (Flagship)</w:t>
            </w:r>
          </w:p>
        </w:tc>
        <w:tc>
          <w:tcPr>
            <w:tcW w:type="dxa" w:w="2016"/>
            <w:shd w:fill="F8FAFC"/>
            <w:tcMar>
              <w:top w:w="120" w:type="dxa"/>
              <w:bottom w:w="120" w:type="dxa"/>
              <w:left w:w="120" w:type="dxa"/>
              <w:right w:w="120" w:type="dxa"/>
            </w:tcMar>
          </w:tcPr>
          <w:p>
            <w:pPr>
              <w:spacing w:after="0"/>
            </w:pPr>
            <w:r>
              <w:rPr>
                <w:b/>
                <w:color w:val="8C6B2D"/>
                <w:sz w:val="18"/>
              </w:rPr>
              <w:t>₹14,999 / quarter</w:t>
              <w:br/>
              <w:t>(~₹5,000 / month)</w:t>
            </w:r>
          </w:p>
        </w:tc>
        <w:tc>
          <w:tcPr>
            <w:tcW w:type="dxa" w:w="2448"/>
            <w:shd w:fill="F8FAFC"/>
            <w:tcMar>
              <w:top w:w="120" w:type="dxa"/>
              <w:bottom w:w="120" w:type="dxa"/>
              <w:left w:w="120" w:type="dxa"/>
              <w:right w:w="120" w:type="dxa"/>
            </w:tcMar>
          </w:tcPr>
          <w:p>
            <w:pPr>
              <w:spacing w:after="0"/>
            </w:pPr>
            <w:r>
              <w:rPr>
                <w:sz w:val="18"/>
              </w:rPr>
              <w:t>A complete model portfolio with active research coverage.</w:t>
            </w:r>
          </w:p>
        </w:tc>
        <w:tc>
          <w:tcPr>
            <w:tcW w:type="dxa" w:w="3024"/>
            <w:shd w:fill="F8FAFC"/>
            <w:tcMar>
              <w:top w:w="120" w:type="dxa"/>
              <w:bottom w:w="120" w:type="dxa"/>
              <w:left w:w="120" w:type="dxa"/>
              <w:right w:w="120" w:type="dxa"/>
            </w:tcMar>
          </w:tcPr>
          <w:p>
            <w:pPr>
              <w:spacing w:after="0"/>
            </w:pPr>
            <w:r>
              <w:rPr>
                <w:sz w:val="18"/>
              </w:rPr>
              <w:t>• Active Model Portfolio of 10–15 stocks</w:t>
              <w:br/>
              <w:t>• Comprehensive thesis notes per holding</w:t>
              <w:br/>
              <w:t>• Quarterly rebalancing with written rationale</w:t>
              <w:br/>
              <w:t>• Post-earnings coverage reviews</w:t>
              <w:br/>
              <w:t>• Priority 24-hr email support</w:t>
              <w:br/>
              <w:t>• Exclusive thematic research access</w:t>
            </w:r>
          </w:p>
        </w:tc>
      </w:tr>
      <w:tr>
        <w:tc>
          <w:tcPr>
            <w:tcW w:type="dxa" w:w="2160"/>
            <w:shd w:fill="FFFFFF"/>
            <w:tcMar>
              <w:top w:w="120" w:type="dxa"/>
              <w:bottom w:w="120" w:type="dxa"/>
              <w:left w:w="120" w:type="dxa"/>
              <w:right w:w="120" w:type="dxa"/>
            </w:tcMar>
          </w:tcPr>
          <w:p>
            <w:pPr>
              <w:spacing w:after="0"/>
            </w:pPr>
            <w:r>
              <w:rPr>
                <w:b/>
                <w:color w:val="0F2A4A"/>
                <w:sz w:val="18"/>
              </w:rPr>
              <w:t>Sectoral &amp; Thematic Research</w:t>
            </w:r>
          </w:p>
        </w:tc>
        <w:tc>
          <w:tcPr>
            <w:tcW w:type="dxa" w:w="2016"/>
            <w:shd w:fill="FFFFFF"/>
            <w:tcMar>
              <w:top w:w="120" w:type="dxa"/>
              <w:bottom w:w="120" w:type="dxa"/>
              <w:left w:w="120" w:type="dxa"/>
              <w:right w:w="120" w:type="dxa"/>
            </w:tcMar>
          </w:tcPr>
          <w:p>
            <w:pPr>
              <w:spacing w:after="0"/>
            </w:pPr>
            <w:r>
              <w:rPr>
                <w:b/>
                <w:color w:val="8C6B2D"/>
                <w:sz w:val="18"/>
              </w:rPr>
              <w:t>₹9,999 / quarter</w:t>
            </w:r>
          </w:p>
        </w:tc>
        <w:tc>
          <w:tcPr>
            <w:tcW w:type="dxa" w:w="2448"/>
            <w:shd w:fill="FFFFFF"/>
            <w:tcMar>
              <w:top w:w="120" w:type="dxa"/>
              <w:bottom w:w="120" w:type="dxa"/>
              <w:left w:w="120" w:type="dxa"/>
              <w:right w:w="120" w:type="dxa"/>
            </w:tcMar>
          </w:tcPr>
          <w:p>
            <w:pPr>
              <w:spacing w:after="0"/>
            </w:pPr>
            <w:r>
              <w:rPr>
                <w:sz w:val="18"/>
              </w:rPr>
              <w:t>In-depth reports on emerging sectors and structural themes.</w:t>
            </w:r>
          </w:p>
        </w:tc>
        <w:tc>
          <w:tcPr>
            <w:tcW w:type="dxa" w:w="3024"/>
            <w:shd w:fill="FFFFFF"/>
            <w:tcMar>
              <w:top w:w="120" w:type="dxa"/>
              <w:bottom w:w="120" w:type="dxa"/>
              <w:left w:w="120" w:type="dxa"/>
              <w:right w:w="120" w:type="dxa"/>
            </w:tcMar>
          </w:tcPr>
          <w:p>
            <w:pPr>
              <w:spacing w:after="0"/>
            </w:pPr>
            <w:r>
              <w:rPr>
                <w:sz w:val="18"/>
              </w:rPr>
              <w:t>• 2 deep-dive sector reports per quarter</w:t>
              <w:br/>
              <w:t>• Coverage of 5–7 companies per sector</w:t>
              <w:br/>
              <w:t>• Macro &amp; policy commentary</w:t>
              <w:br/>
              <w:t>• Detailed valuation grids &amp; models</w:t>
              <w:br/>
              <w:t>• Sector rotation guidance</w:t>
            </w:r>
          </w:p>
        </w:tc>
      </w:tr>
    </w:tbl>
    <w:p>
      <w:pPr>
        <w:spacing w:after="200"/>
      </w:pPr>
    </w:p>
    <w:p>
      <w:pPr>
        <w:pStyle w:val="Heading1"/>
        <w:spacing w:before="280" w:after="120"/>
      </w:pPr>
      <w:r>
        <w:rPr>
          <w:rFonts w:ascii="Georgia" w:hAnsi="Georgia"/>
          <w:color w:val="0F2A4A"/>
          <w:sz w:val="30"/>
        </w:rPr>
        <w:t>4. Master Product &amp; Pricing Comparison Matrix</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1872"/>
            <w:shd w:fill="0F2A4A"/>
            <w:tcMar>
              <w:top w:w="120" w:type="dxa"/>
              <w:bottom w:w="120" w:type="dxa"/>
              <w:left w:w="100" w:type="dxa"/>
              <w:right w:w="100" w:type="dxa"/>
            </w:tcMar>
          </w:tcPr>
          <w:p>
            <w:r>
              <w:rPr>
                <w:b/>
                <w:color w:val="FFFFFF"/>
                <w:sz w:val="18"/>
              </w:rPr>
              <w:t>Product Name</w:t>
            </w:r>
          </w:p>
        </w:tc>
        <w:tc>
          <w:tcPr>
            <w:tcW w:type="dxa" w:w="1872"/>
            <w:shd w:fill="0F2A4A"/>
            <w:tcMar>
              <w:top w:w="120" w:type="dxa"/>
              <w:bottom w:w="120" w:type="dxa"/>
              <w:left w:w="100" w:type="dxa"/>
              <w:right w:w="100" w:type="dxa"/>
            </w:tcMar>
          </w:tcPr>
          <w:p>
            <w:r>
              <w:rPr>
                <w:b/>
                <w:color w:val="FFFFFF"/>
                <w:sz w:val="18"/>
              </w:rPr>
              <w:t>Platform</w:t>
            </w:r>
          </w:p>
        </w:tc>
        <w:tc>
          <w:tcPr>
            <w:tcW w:type="dxa" w:w="1872"/>
            <w:shd w:fill="0F2A4A"/>
            <w:tcMar>
              <w:top w:w="120" w:type="dxa"/>
              <w:bottom w:w="120" w:type="dxa"/>
              <w:left w:w="100" w:type="dxa"/>
              <w:right w:w="100" w:type="dxa"/>
            </w:tcMar>
          </w:tcPr>
          <w:p>
            <w:r>
              <w:rPr>
                <w:b/>
                <w:color w:val="FFFFFF"/>
                <w:sz w:val="18"/>
              </w:rPr>
              <w:t>Pricing (INR)</w:t>
            </w:r>
          </w:p>
        </w:tc>
        <w:tc>
          <w:tcPr>
            <w:tcW w:type="dxa" w:w="1872"/>
            <w:shd w:fill="0F2A4A"/>
            <w:tcMar>
              <w:top w:w="120" w:type="dxa"/>
              <w:bottom w:w="120" w:type="dxa"/>
              <w:left w:w="100" w:type="dxa"/>
              <w:right w:w="100" w:type="dxa"/>
            </w:tcMar>
          </w:tcPr>
          <w:p>
            <w:r>
              <w:rPr>
                <w:b/>
                <w:color w:val="FFFFFF"/>
                <w:sz w:val="18"/>
              </w:rPr>
              <w:t>Type / Delivery</w:t>
            </w:r>
          </w:p>
        </w:tc>
        <w:tc>
          <w:tcPr>
            <w:tcW w:type="dxa" w:w="1872"/>
            <w:shd w:fill="0F2A4A"/>
            <w:tcMar>
              <w:top w:w="120" w:type="dxa"/>
              <w:bottom w:w="120" w:type="dxa"/>
              <w:left w:w="100" w:type="dxa"/>
              <w:right w:w="100" w:type="dxa"/>
            </w:tcMar>
          </w:tcPr>
          <w:p>
            <w:r>
              <w:rPr>
                <w:b/>
                <w:color w:val="FFFFFF"/>
                <w:sz w:val="18"/>
              </w:rPr>
              <w:t>Primary Target Audience</w:t>
            </w:r>
          </w:p>
        </w:tc>
      </w:tr>
      <w:tr>
        <w:tc>
          <w:tcPr>
            <w:tcW w:type="dxa" w:w="2304"/>
            <w:shd w:fill="FFFFFF"/>
            <w:tcMar>
              <w:top w:w="110" w:type="dxa"/>
              <w:bottom w:w="110" w:type="dxa"/>
              <w:left w:w="100" w:type="dxa"/>
              <w:right w:w="100" w:type="dxa"/>
            </w:tcMar>
          </w:tcPr>
          <w:p>
            <w:pPr>
              <w:spacing w:after="0"/>
            </w:pPr>
            <w:r>
              <w:rPr>
                <w:b/>
                <w:color w:val="0F2A4A"/>
                <w:sz w:val="17"/>
              </w:rPr>
              <w:t>Daily Market Intelligence</w:t>
            </w:r>
          </w:p>
        </w:tc>
        <w:tc>
          <w:tcPr>
            <w:tcW w:type="dxa" w:w="1584"/>
            <w:shd w:fill="FFFFFF"/>
            <w:tcMar>
              <w:top w:w="110" w:type="dxa"/>
              <w:bottom w:w="110" w:type="dxa"/>
              <w:left w:w="100" w:type="dxa"/>
              <w:right w:w="100" w:type="dxa"/>
            </w:tcMar>
          </w:tcPr>
          <w:p>
            <w:pPr>
              <w:spacing w:after="0"/>
            </w:pPr>
            <w:r>
              <w:rPr>
                <w:sz w:val="17"/>
              </w:rPr>
              <w:t>SuperProfile</w:t>
            </w:r>
          </w:p>
        </w:tc>
        <w:tc>
          <w:tcPr>
            <w:tcW w:type="dxa" w:w="1728"/>
            <w:shd w:fill="FFFFFF"/>
            <w:tcMar>
              <w:top w:w="110" w:type="dxa"/>
              <w:bottom w:w="110" w:type="dxa"/>
              <w:left w:w="100" w:type="dxa"/>
              <w:right w:w="100" w:type="dxa"/>
            </w:tcMar>
          </w:tcPr>
          <w:p>
            <w:pPr>
              <w:spacing w:after="0"/>
            </w:pPr>
            <w:r>
              <w:rPr>
                <w:b/>
                <w:color w:val="8C6B2D"/>
                <w:sz w:val="17"/>
              </w:rPr>
              <w:t>₹1,499 – ₹2,499 / mo</w:t>
            </w:r>
          </w:p>
        </w:tc>
        <w:tc>
          <w:tcPr>
            <w:tcW w:type="dxa" w:w="1872"/>
            <w:shd w:fill="FFFFFF"/>
            <w:tcMar>
              <w:top w:w="110" w:type="dxa"/>
              <w:bottom w:w="110" w:type="dxa"/>
              <w:left w:w="100" w:type="dxa"/>
              <w:right w:w="100" w:type="dxa"/>
            </w:tcMar>
          </w:tcPr>
          <w:p>
            <w:pPr>
              <w:spacing w:after="0"/>
            </w:pPr>
            <w:r>
              <w:rPr>
                <w:sz w:val="17"/>
              </w:rPr>
              <w:t>Daily WhatsApp Updates</w:t>
            </w:r>
          </w:p>
        </w:tc>
        <w:tc>
          <w:tcPr>
            <w:tcW w:type="dxa" w:w="2160"/>
            <w:shd w:fill="FFFFFF"/>
            <w:tcMar>
              <w:top w:w="110" w:type="dxa"/>
              <w:bottom w:w="110" w:type="dxa"/>
              <w:left w:w="100" w:type="dxa"/>
              <w:right w:w="100" w:type="dxa"/>
            </w:tcMar>
          </w:tcPr>
          <w:p>
            <w:pPr>
              <w:spacing w:after="0"/>
            </w:pPr>
            <w:r>
              <w:rPr>
                <w:sz w:val="17"/>
              </w:rPr>
              <w:t>Casual traders &amp; daily market watchers</w:t>
            </w:r>
          </w:p>
        </w:tc>
      </w:tr>
      <w:tr>
        <w:tc>
          <w:tcPr>
            <w:tcW w:type="dxa" w:w="2304"/>
            <w:shd w:fill="F8FAFC"/>
            <w:tcMar>
              <w:top w:w="110" w:type="dxa"/>
              <w:bottom w:w="110" w:type="dxa"/>
              <w:left w:w="100" w:type="dxa"/>
              <w:right w:w="100" w:type="dxa"/>
            </w:tcMar>
          </w:tcPr>
          <w:p>
            <w:pPr>
              <w:spacing w:after="0"/>
            </w:pPr>
            <w:r>
              <w:rPr>
                <w:b/>
                <w:color w:val="0F2A4A"/>
                <w:sz w:val="17"/>
              </w:rPr>
              <w:t>Stock Advisory WhatsApp</w:t>
            </w:r>
          </w:p>
        </w:tc>
        <w:tc>
          <w:tcPr>
            <w:tcW w:type="dxa" w:w="1584"/>
            <w:shd w:fill="F8FAFC"/>
            <w:tcMar>
              <w:top w:w="110" w:type="dxa"/>
              <w:bottom w:w="110" w:type="dxa"/>
              <w:left w:w="100" w:type="dxa"/>
              <w:right w:w="100" w:type="dxa"/>
            </w:tcMar>
          </w:tcPr>
          <w:p>
            <w:pPr>
              <w:spacing w:after="0"/>
            </w:pPr>
            <w:r>
              <w:rPr>
                <w:sz w:val="17"/>
              </w:rPr>
              <w:t>SuperProfile</w:t>
            </w:r>
          </w:p>
        </w:tc>
        <w:tc>
          <w:tcPr>
            <w:tcW w:type="dxa" w:w="1728"/>
            <w:shd w:fill="F8FAFC"/>
            <w:tcMar>
              <w:top w:w="110" w:type="dxa"/>
              <w:bottom w:w="110" w:type="dxa"/>
              <w:left w:w="100" w:type="dxa"/>
              <w:right w:w="100" w:type="dxa"/>
            </w:tcMar>
          </w:tcPr>
          <w:p>
            <w:pPr>
              <w:spacing w:after="0"/>
            </w:pPr>
            <w:r>
              <w:rPr>
                <w:b/>
                <w:color w:val="8C6B2D"/>
                <w:sz w:val="17"/>
              </w:rPr>
              <w:t>₹3,000 / mo</w:t>
            </w:r>
          </w:p>
        </w:tc>
        <w:tc>
          <w:tcPr>
            <w:tcW w:type="dxa" w:w="1872"/>
            <w:shd w:fill="F8FAFC"/>
            <w:tcMar>
              <w:top w:w="110" w:type="dxa"/>
              <w:bottom w:w="110" w:type="dxa"/>
              <w:left w:w="100" w:type="dxa"/>
              <w:right w:w="100" w:type="dxa"/>
            </w:tcMar>
          </w:tcPr>
          <w:p>
            <w:pPr>
              <w:spacing w:after="0"/>
            </w:pPr>
            <w:r>
              <w:rPr>
                <w:sz w:val="17"/>
              </w:rPr>
              <w:t>Closed WhatsApp Group</w:t>
            </w:r>
          </w:p>
        </w:tc>
        <w:tc>
          <w:tcPr>
            <w:tcW w:type="dxa" w:w="2160"/>
            <w:shd w:fill="F8FAFC"/>
            <w:tcMar>
              <w:top w:w="110" w:type="dxa"/>
              <w:bottom w:w="110" w:type="dxa"/>
              <w:left w:w="100" w:type="dxa"/>
              <w:right w:w="100" w:type="dxa"/>
            </w:tcMar>
          </w:tcPr>
          <w:p>
            <w:pPr>
              <w:spacing w:after="0"/>
            </w:pPr>
            <w:r>
              <w:rPr>
                <w:sz w:val="17"/>
              </w:rPr>
              <w:t>Retail swing traders seeking low-ticket signals</w:t>
            </w:r>
          </w:p>
        </w:tc>
      </w:tr>
      <w:tr>
        <w:tc>
          <w:tcPr>
            <w:tcW w:type="dxa" w:w="2304"/>
            <w:shd w:fill="FFFFFF"/>
            <w:tcMar>
              <w:top w:w="110" w:type="dxa"/>
              <w:bottom w:w="110" w:type="dxa"/>
              <w:left w:w="100" w:type="dxa"/>
              <w:right w:w="100" w:type="dxa"/>
            </w:tcMar>
          </w:tcPr>
          <w:p>
            <w:pPr>
              <w:spacing w:after="0"/>
            </w:pPr>
            <w:r>
              <w:rPr>
                <w:b/>
                <w:color w:val="0F2A4A"/>
                <w:sz w:val="17"/>
              </w:rPr>
              <w:t>Basic Equity Picks</w:t>
            </w:r>
          </w:p>
        </w:tc>
        <w:tc>
          <w:tcPr>
            <w:tcW w:type="dxa" w:w="1584"/>
            <w:shd w:fill="FFFFFF"/>
            <w:tcMar>
              <w:top w:w="110" w:type="dxa"/>
              <w:bottom w:w="110" w:type="dxa"/>
              <w:left w:w="100" w:type="dxa"/>
              <w:right w:w="100" w:type="dxa"/>
            </w:tcMar>
          </w:tcPr>
          <w:p>
            <w:pPr>
              <w:spacing w:after="0"/>
            </w:pPr>
            <w:r>
              <w:rPr>
                <w:sz w:val="17"/>
              </w:rPr>
              <w:t>Golden Bird RA</w:t>
            </w:r>
          </w:p>
        </w:tc>
        <w:tc>
          <w:tcPr>
            <w:tcW w:type="dxa" w:w="1728"/>
            <w:shd w:fill="FFFFFF"/>
            <w:tcMar>
              <w:top w:w="110" w:type="dxa"/>
              <w:bottom w:w="110" w:type="dxa"/>
              <w:left w:w="100" w:type="dxa"/>
              <w:right w:w="100" w:type="dxa"/>
            </w:tcMar>
          </w:tcPr>
          <w:p>
            <w:pPr>
              <w:spacing w:after="0"/>
            </w:pPr>
            <w:r>
              <w:rPr>
                <w:b/>
                <w:color w:val="8C6B2D"/>
                <w:sz w:val="17"/>
              </w:rPr>
              <w:t>₹4,999 / mo</w:t>
            </w:r>
          </w:p>
        </w:tc>
        <w:tc>
          <w:tcPr>
            <w:tcW w:type="dxa" w:w="1872"/>
            <w:shd w:fill="FFFFFF"/>
            <w:tcMar>
              <w:top w:w="110" w:type="dxa"/>
              <w:bottom w:w="110" w:type="dxa"/>
              <w:left w:w="100" w:type="dxa"/>
              <w:right w:w="100" w:type="dxa"/>
            </w:tcMar>
          </w:tcPr>
          <w:p>
            <w:pPr>
              <w:spacing w:after="0"/>
            </w:pPr>
            <w:r>
              <w:rPr>
                <w:sz w:val="17"/>
              </w:rPr>
              <w:t>Email + WhatsApp Reports</w:t>
            </w:r>
          </w:p>
        </w:tc>
        <w:tc>
          <w:tcPr>
            <w:tcW w:type="dxa" w:w="2160"/>
            <w:shd w:fill="FFFFFF"/>
            <w:tcMar>
              <w:top w:w="110" w:type="dxa"/>
              <w:bottom w:w="110" w:type="dxa"/>
              <w:left w:w="100" w:type="dxa"/>
              <w:right w:w="100" w:type="dxa"/>
            </w:tcMar>
          </w:tcPr>
          <w:p>
            <w:pPr>
              <w:spacing w:after="0"/>
            </w:pPr>
            <w:r>
              <w:rPr>
                <w:sz w:val="17"/>
              </w:rPr>
              <w:t>Disciplined individual equity stock-pickers</w:t>
            </w:r>
          </w:p>
        </w:tc>
      </w:tr>
      <w:tr>
        <w:tc>
          <w:tcPr>
            <w:tcW w:type="dxa" w:w="2304"/>
            <w:shd w:fill="F8FAFC"/>
            <w:tcMar>
              <w:top w:w="110" w:type="dxa"/>
              <w:bottom w:w="110" w:type="dxa"/>
              <w:left w:w="100" w:type="dxa"/>
              <w:right w:w="100" w:type="dxa"/>
            </w:tcMar>
          </w:tcPr>
          <w:p>
            <w:pPr>
              <w:spacing w:after="0"/>
            </w:pPr>
            <w:r>
              <w:rPr>
                <w:b/>
                <w:color w:val="0F2A4A"/>
                <w:sz w:val="17"/>
              </w:rPr>
              <w:t>Sectoral &amp; Thematic Research</w:t>
            </w:r>
          </w:p>
        </w:tc>
        <w:tc>
          <w:tcPr>
            <w:tcW w:type="dxa" w:w="1584"/>
            <w:shd w:fill="F8FAFC"/>
            <w:tcMar>
              <w:top w:w="110" w:type="dxa"/>
              <w:bottom w:w="110" w:type="dxa"/>
              <w:left w:w="100" w:type="dxa"/>
              <w:right w:w="100" w:type="dxa"/>
            </w:tcMar>
          </w:tcPr>
          <w:p>
            <w:pPr>
              <w:spacing w:after="0"/>
            </w:pPr>
            <w:r>
              <w:rPr>
                <w:sz w:val="17"/>
              </w:rPr>
              <w:t>Golden Bird RA</w:t>
            </w:r>
          </w:p>
        </w:tc>
        <w:tc>
          <w:tcPr>
            <w:tcW w:type="dxa" w:w="1728"/>
            <w:shd w:fill="F8FAFC"/>
            <w:tcMar>
              <w:top w:w="110" w:type="dxa"/>
              <w:bottom w:w="110" w:type="dxa"/>
              <w:left w:w="100" w:type="dxa"/>
              <w:right w:w="100" w:type="dxa"/>
            </w:tcMar>
          </w:tcPr>
          <w:p>
            <w:pPr>
              <w:spacing w:after="0"/>
            </w:pPr>
            <w:r>
              <w:rPr>
                <w:b/>
                <w:color w:val="8C6B2D"/>
                <w:sz w:val="17"/>
              </w:rPr>
              <w:t>₹9,999 / quarter</w:t>
            </w:r>
          </w:p>
        </w:tc>
        <w:tc>
          <w:tcPr>
            <w:tcW w:type="dxa" w:w="1872"/>
            <w:shd w:fill="F8FAFC"/>
            <w:tcMar>
              <w:top w:w="110" w:type="dxa"/>
              <w:bottom w:w="110" w:type="dxa"/>
              <w:left w:w="100" w:type="dxa"/>
              <w:right w:w="100" w:type="dxa"/>
            </w:tcMar>
          </w:tcPr>
          <w:p>
            <w:pPr>
              <w:spacing w:after="0"/>
            </w:pPr>
            <w:r>
              <w:rPr>
                <w:sz w:val="17"/>
              </w:rPr>
              <w:t>In-depth PDF Reports + Grids</w:t>
            </w:r>
          </w:p>
        </w:tc>
        <w:tc>
          <w:tcPr>
            <w:tcW w:type="dxa" w:w="2160"/>
            <w:shd w:fill="F8FAFC"/>
            <w:tcMar>
              <w:top w:w="110" w:type="dxa"/>
              <w:bottom w:w="110" w:type="dxa"/>
              <w:left w:w="100" w:type="dxa"/>
              <w:right w:w="100" w:type="dxa"/>
            </w:tcMar>
          </w:tcPr>
          <w:p>
            <w:pPr>
              <w:spacing w:after="0"/>
            </w:pPr>
            <w:r>
              <w:rPr>
                <w:sz w:val="17"/>
              </w:rPr>
              <w:t>Thematic investors tracking industry cycles</w:t>
            </w:r>
          </w:p>
        </w:tc>
      </w:tr>
      <w:tr>
        <w:tc>
          <w:tcPr>
            <w:tcW w:type="dxa" w:w="2304"/>
            <w:shd w:fill="FFFFFF"/>
            <w:tcMar>
              <w:top w:w="110" w:type="dxa"/>
              <w:bottom w:w="110" w:type="dxa"/>
              <w:left w:w="100" w:type="dxa"/>
              <w:right w:w="100" w:type="dxa"/>
            </w:tcMar>
          </w:tcPr>
          <w:p>
            <w:pPr>
              <w:spacing w:after="0"/>
            </w:pPr>
            <w:r>
              <w:rPr>
                <w:b/>
                <w:color w:val="0F2A4A"/>
                <w:sz w:val="17"/>
              </w:rPr>
              <w:t>Premium Model Portfolio</w:t>
            </w:r>
          </w:p>
        </w:tc>
        <w:tc>
          <w:tcPr>
            <w:tcW w:type="dxa" w:w="1584"/>
            <w:shd w:fill="FFFFFF"/>
            <w:tcMar>
              <w:top w:w="110" w:type="dxa"/>
              <w:bottom w:w="110" w:type="dxa"/>
              <w:left w:w="100" w:type="dxa"/>
              <w:right w:w="100" w:type="dxa"/>
            </w:tcMar>
          </w:tcPr>
          <w:p>
            <w:pPr>
              <w:spacing w:after="0"/>
            </w:pPr>
            <w:r>
              <w:rPr>
                <w:sz w:val="17"/>
              </w:rPr>
              <w:t>Golden Bird RA</w:t>
            </w:r>
          </w:p>
        </w:tc>
        <w:tc>
          <w:tcPr>
            <w:tcW w:type="dxa" w:w="1728"/>
            <w:shd w:fill="FFFFFF"/>
            <w:tcMar>
              <w:top w:w="110" w:type="dxa"/>
              <w:bottom w:w="110" w:type="dxa"/>
              <w:left w:w="100" w:type="dxa"/>
              <w:right w:w="100" w:type="dxa"/>
            </w:tcMar>
          </w:tcPr>
          <w:p>
            <w:pPr>
              <w:spacing w:after="0"/>
            </w:pPr>
            <w:r>
              <w:rPr>
                <w:b/>
                <w:color w:val="8C6B2D"/>
                <w:sz w:val="17"/>
              </w:rPr>
              <w:t>₹14,999 / quarter</w:t>
            </w:r>
          </w:p>
        </w:tc>
        <w:tc>
          <w:tcPr>
            <w:tcW w:type="dxa" w:w="1872"/>
            <w:shd w:fill="FFFFFF"/>
            <w:tcMar>
              <w:top w:w="110" w:type="dxa"/>
              <w:bottom w:w="110" w:type="dxa"/>
              <w:left w:w="100" w:type="dxa"/>
              <w:right w:w="100" w:type="dxa"/>
            </w:tcMar>
          </w:tcPr>
          <w:p>
            <w:pPr>
              <w:spacing w:after="0"/>
            </w:pPr>
            <w:r>
              <w:rPr>
                <w:sz w:val="17"/>
              </w:rPr>
              <w:t>Model Portfolio + Rebalancing</w:t>
            </w:r>
          </w:p>
        </w:tc>
        <w:tc>
          <w:tcPr>
            <w:tcW w:type="dxa" w:w="2160"/>
            <w:shd w:fill="FFFFFF"/>
            <w:tcMar>
              <w:top w:w="110" w:type="dxa"/>
              <w:bottom w:w="110" w:type="dxa"/>
              <w:left w:w="100" w:type="dxa"/>
              <w:right w:w="100" w:type="dxa"/>
            </w:tcMar>
          </w:tcPr>
          <w:p>
            <w:pPr>
              <w:spacing w:after="0"/>
            </w:pPr>
            <w:r>
              <w:rPr>
                <w:sz w:val="17"/>
              </w:rPr>
              <w:t>Long-term wealth builders &amp; busy professionals</w:t>
            </w:r>
          </w:p>
        </w:tc>
      </w:tr>
      <w:tr>
        <w:tc>
          <w:tcPr>
            <w:tcW w:type="dxa" w:w="2304"/>
            <w:shd w:fill="F8FAFC"/>
            <w:tcMar>
              <w:top w:w="110" w:type="dxa"/>
              <w:bottom w:w="110" w:type="dxa"/>
              <w:left w:w="100" w:type="dxa"/>
              <w:right w:w="100" w:type="dxa"/>
            </w:tcMar>
          </w:tcPr>
          <w:p>
            <w:pPr>
              <w:spacing w:after="0"/>
            </w:pPr>
            <w:r>
              <w:rPr>
                <w:b/>
                <w:color w:val="0F2A4A"/>
                <w:sz w:val="17"/>
              </w:rPr>
              <w:t>Algo Trading Strategy Cohort</w:t>
            </w:r>
          </w:p>
        </w:tc>
        <w:tc>
          <w:tcPr>
            <w:tcW w:type="dxa" w:w="1584"/>
            <w:shd w:fill="F8FAFC"/>
            <w:tcMar>
              <w:top w:w="110" w:type="dxa"/>
              <w:bottom w:w="110" w:type="dxa"/>
              <w:left w:w="100" w:type="dxa"/>
              <w:right w:w="100" w:type="dxa"/>
            </w:tcMar>
          </w:tcPr>
          <w:p>
            <w:pPr>
              <w:spacing w:after="0"/>
            </w:pPr>
            <w:r>
              <w:rPr>
                <w:sz w:val="17"/>
              </w:rPr>
              <w:t>SuperProfile</w:t>
            </w:r>
          </w:p>
        </w:tc>
        <w:tc>
          <w:tcPr>
            <w:tcW w:type="dxa" w:w="1728"/>
            <w:shd w:fill="F8FAFC"/>
            <w:tcMar>
              <w:top w:w="110" w:type="dxa"/>
              <w:bottom w:w="110" w:type="dxa"/>
              <w:left w:w="100" w:type="dxa"/>
              <w:right w:w="100" w:type="dxa"/>
            </w:tcMar>
          </w:tcPr>
          <w:p>
            <w:pPr>
              <w:spacing w:after="0"/>
            </w:pPr>
            <w:r>
              <w:rPr>
                <w:b/>
                <w:color w:val="8C6B2D"/>
                <w:sz w:val="17"/>
              </w:rPr>
              <w:t>₹15,000 – ₹25,000</w:t>
            </w:r>
          </w:p>
        </w:tc>
        <w:tc>
          <w:tcPr>
            <w:tcW w:type="dxa" w:w="1872"/>
            <w:shd w:fill="F8FAFC"/>
            <w:tcMar>
              <w:top w:w="110" w:type="dxa"/>
              <w:bottom w:w="110" w:type="dxa"/>
              <w:left w:w="100" w:type="dxa"/>
              <w:right w:w="100" w:type="dxa"/>
            </w:tcMar>
          </w:tcPr>
          <w:p>
            <w:pPr>
              <w:spacing w:after="0"/>
            </w:pPr>
            <w:r>
              <w:rPr>
                <w:sz w:val="17"/>
              </w:rPr>
              <w:t>1-Month Live Cohort Classes</w:t>
            </w:r>
          </w:p>
        </w:tc>
        <w:tc>
          <w:tcPr>
            <w:tcW w:type="dxa" w:w="2160"/>
            <w:shd w:fill="F8FAFC"/>
            <w:tcMar>
              <w:top w:w="110" w:type="dxa"/>
              <w:bottom w:w="110" w:type="dxa"/>
              <w:left w:w="100" w:type="dxa"/>
              <w:right w:w="100" w:type="dxa"/>
            </w:tcMar>
          </w:tcPr>
          <w:p>
            <w:pPr>
              <w:spacing w:after="0"/>
            </w:pPr>
            <w:r>
              <w:rPr>
                <w:sz w:val="17"/>
              </w:rPr>
              <w:t>Aspiring quants, engineers &amp; systematic traders</w:t>
            </w:r>
          </w:p>
        </w:tc>
      </w:tr>
    </w:tbl>
    <w:p>
      <w:pPr>
        <w:spacing w:after="200"/>
      </w:pPr>
    </w:p>
    <w:p>
      <w:pPr>
        <w:pStyle w:val="Heading1"/>
        <w:spacing w:before="280" w:after="120"/>
      </w:pPr>
      <w:r>
        <w:rPr>
          <w:rFonts w:ascii="Georgia" w:hAnsi="Georgia"/>
          <w:color w:val="0F2A4A"/>
          <w:sz w:val="30"/>
        </w:rPr>
        <w:t>5. Marketing Architecture &amp; Funnel Strategy (For Your Agency)</w:t>
      </w:r>
    </w:p>
    <w:p>
      <w:r>
        <w:t>For your marketing contract, understanding how these offerings flow together is critical. The business has a natural tiered customer journey that spans from social media engagement to institutional-grade subscriptions:</w:t>
      </w:r>
    </w:p>
    <w:p>
      <w:pPr>
        <w:spacing w:after="80"/>
        <w:ind w:left="288"/>
      </w:pPr>
      <w:r>
        <w:rPr>
          <w:b/>
          <w:color w:val="0F2A4A"/>
        </w:rPr>
        <w:t>Phase 1: Top of Funnel (Awareness &amp; Audience Capture)</w:t>
        <w:br/>
      </w:r>
      <w:r>
        <w:rPr>
          <w:sz w:val="19"/>
        </w:rPr>
        <w:t>Channels: Instagram (@financewithamam), LinkedIn, YouTube Shorts / Ads.</w:t>
        <w:br/>
        <w:t>Content Angle: Data-driven breakdowns, quant debunking of social media rumors, Markov chain explanations, valuation realities.</w:t>
        <w:br/>
        <w:t>Goal: Build organic credibility and drive traffic to SuperProfile and free newsletters.</w:t>
      </w:r>
    </w:p>
    <w:p>
      <w:pPr>
        <w:spacing w:after="80"/>
        <w:ind w:left="288"/>
      </w:pPr>
      <w:r>
        <w:rPr>
          <w:b/>
          <w:color w:val="0F2A4A"/>
        </w:rPr>
        <w:t>Phase 2: Middle of Funnel (Low-Friction Monetization &amp; Education)</w:t>
        <w:br/>
      </w:r>
      <w:r>
        <w:rPr>
          <w:sz w:val="19"/>
        </w:rPr>
        <w:t>Offerings: ₹1,499/mo Daily Market Briefing and ₹3,000/mo WhatsApp Advisory on SuperProfile.</w:t>
        <w:br/>
        <w:t>High-Ticket Front-End: ₹15k–₹25k Algo Trading Cohort.</w:t>
        <w:br/>
        <w:t>Goal: Low-friction monetization of impulse buyers and high-intent students seeking mastery.</w:t>
      </w:r>
    </w:p>
    <w:p>
      <w:pPr>
        <w:spacing w:after="80"/>
        <w:ind w:left="288"/>
      </w:pPr>
      <w:r>
        <w:rPr>
          <w:b/>
          <w:color w:val="0F2A4A"/>
        </w:rPr>
        <w:t>Phase 3: Bottom of Funnel (High-LTV Wealth Advisory &amp; Retention)</w:t>
        <w:br/>
      </w:r>
      <w:r>
        <w:rPr>
          <w:sz w:val="19"/>
        </w:rPr>
        <w:t>Offerings: ₹14,999/quarter Premium Model Portfolio on Golden Bird RA.</w:t>
        <w:br/>
        <w:t>Goal: Upgrade satisfied WhatsApp advisory members and high-net-worth cohort alumni into long-term quarterly model portfolio retainers.</w:t>
      </w:r>
    </w:p>
    <w:p>
      <w:pPr>
        <w:spacing w:after="160"/>
      </w:pPr>
    </w:p>
    <w:p>
      <w:pPr>
        <w:pStyle w:val="Heading1"/>
        <w:spacing w:before="280" w:after="120"/>
      </w:pPr>
      <w:r>
        <w:rPr>
          <w:rFonts w:ascii="Georgia" w:hAnsi="Georgia"/>
          <w:color w:val="0F2A4A"/>
          <w:sz w:val="30"/>
        </w:rPr>
        <w:t>6. Actionable Campaign Angles &amp; Agency Opportunities</w:t>
      </w:r>
    </w:p>
    <w:p>
      <w:pPr>
        <w:spacing w:after="120"/>
        <w:ind w:left="288"/>
      </w:pPr>
      <w:r>
        <w:rPr>
          <w:b/>
          <w:color w:val="8C6B2D"/>
        </w:rPr>
        <w:t>★ The Regulatory Trust Weapon (SEBI RA INH000028422)</w:t>
        <w:br/>
      </w:r>
      <w:r>
        <w:rPr>
          <w:sz w:val="19"/>
        </w:rPr>
        <w:t>With SEBI cracking down aggressively on unregistered finfluencers, highlight his registration prominently in all ad creatives: 'Stop risking your capital on anonymous Telegram channels. Get research from a SEBI Registered Research Analyst.'</w:t>
      </w:r>
    </w:p>
    <w:p>
      <w:pPr>
        <w:spacing w:after="120"/>
        <w:ind w:left="288"/>
      </w:pPr>
      <w:r>
        <w:rPr>
          <w:b/>
          <w:color w:val="8C6B2D"/>
        </w:rPr>
        <w:t>★ The 'Math Over Hype' Narrative for the Algo Cohort</w:t>
        <w:br/>
      </w:r>
      <w:r>
        <w:rPr>
          <w:sz w:val="19"/>
        </w:rPr>
        <w:t>Target software engineers, data analysts, and tech professionals across Bangalore, Hyderabad, and Pune. Angles: 'Why chart patterns fail without statistics', 'How Markov Chains predict price state transitions', and 'Stop copy-trading strangers'.</w:t>
      </w:r>
    </w:p>
    <w:p>
      <w:pPr>
        <w:spacing w:after="120"/>
        <w:ind w:left="288"/>
      </w:pPr>
      <w:r>
        <w:rPr>
          <w:b/>
          <w:color w:val="8C6B2D"/>
        </w:rPr>
        <w:t>★ The 'Stress-Free Investor' Angle for Golden Bird Model Portfolio</w:t>
        <w:br/>
      </w:r>
      <w:r>
        <w:rPr>
          <w:sz w:val="19"/>
        </w:rPr>
        <w:t>Target working professionals (30–45 age group) with portfolio sizes above ₹5–10 Lakhs who have full-time jobs. Position the Model Portfolio as: '10–15 curated stocks, reviewed quarterly. No daily screen monitoring, no intraday stress.'</w:t>
      </w:r>
    </w:p>
    <w:p>
      <w:pPr>
        <w:spacing w:after="120"/>
        <w:ind w:left="288"/>
      </w:pPr>
      <w:r>
        <w:rPr>
          <w:b/>
          <w:color w:val="8C6B2D"/>
        </w:rPr>
        <w:t>★ Address Pricing Consistency Between the Two Domains</w:t>
        <w:br/>
      </w:r>
      <w:r>
        <w:rPr>
          <w:sz w:val="19"/>
        </w:rPr>
        <w:t>Agency Observation: The client offers a ₹3,000/mo WhatsApp advisory on SuperProfile, but ₹4,999/mo on Golden Bird RA. As a marketing strategy, recommend either positioning SuperProfile's ₹3,000 as a temporary promotional tier or clearly separating their scopes (e.g., SuperProfile = Swing/Trading Ideas; Golden Bird = Fundamental/Long-term Research) to prevent client cannibalization.</w:t>
      </w:r>
    </w:p>
    <w:p>
      <w:pPr>
        <w:spacing w:after="320"/>
      </w:pPr>
    </w:p>
    <w:p>
      <w:pPr>
        <w:jc w:val="center"/>
      </w:pPr>
      <w:r>
        <w:rPr>
          <w:i/>
          <w:color w:val="94A3B8"/>
          <w:sz w:val="18"/>
        </w:rPr>
        <w:t>— End of Report | Prepared for Agency Onboarding &amp; Strategy Execution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Segoe UI" w:hAnsi="Segoe UI"/>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