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B1F3A"/>
          <w:sz w:val="36"/>
        </w:rPr>
        <w:t>FUTURE CFO 2035 — FULL NARRATION SCRIPT</w:t>
      </w:r>
    </w:p>
    <w:p>
      <w:r>
        <w:rPr>
          <w:rFonts w:ascii="Times New Roman" w:hAnsi="Times New Roman"/>
          <w:b/>
          <w:color w:val="0B1F3A"/>
          <w:sz w:val="28"/>
        </w:rPr>
        <w:t>The Calendar Decision: Should a Public-Company CFO Elect Semiannual Reporting?</w:t>
      </w:r>
    </w:p>
    <w:p>
      <w:pPr>
        <w:spacing w:after="200" w:line="276" w:lineRule="auto"/>
      </w:pPr>
      <w:r>
        <w:rPr>
          <w:rFonts w:ascii="Times New Roman" w:hAnsi="Times New Roman"/>
          <w:i w:val="0"/>
          <w:sz w:val="24"/>
        </w:rPr>
        <w:t>Episode date: 1 September 2026</w:t>
      </w:r>
    </w:p>
    <w:p>
      <w:pPr>
        <w:spacing w:after="200" w:line="276" w:lineRule="auto"/>
      </w:pPr>
      <w:r>
        <w:rPr>
          <w:rFonts w:ascii="Times New Roman" w:hAnsi="Times New Roman"/>
          <w:i w:val="0"/>
          <w:sz w:val="24"/>
        </w:rPr>
        <w:t>Voice: Male Indian English · Target duration: 7–9 minutes</w:t>
      </w:r>
    </w:p>
    <w:p>
      <w:pPr>
        <w:spacing w:after="200" w:line="276" w:lineRule="auto"/>
      </w:pPr>
      <w:r>
        <w:rPr>
          <w:rFonts w:ascii="Times New Roman" w:hAnsi="Times New Roman"/>
          <w:i w:val="0"/>
          <w:sz w:val="24"/>
        </w:rPr>
        <w:t>Created and Copyright by Dr. Debasis Pahi  ·  Assistant Professor, Model Degree College Malkangiri  ·  Ph.D., IIT Kharagpur</w:t>
      </w:r>
    </w:p>
    <w:p>
      <w:r>
        <w:rPr>
          <w:rFonts w:ascii="Times New Roman" w:hAnsi="Times New Roman"/>
          <w:b/>
          <w:color w:val="0B1F3A"/>
          <w:sz w:val="28"/>
        </w:rPr>
        <w:t>NARRATION</w:t>
      </w:r>
    </w:p>
    <w:p>
      <w:pPr>
        <w:spacing w:after="200" w:line="276" w:lineRule="auto"/>
      </w:pPr>
      <w:r>
        <w:rPr>
          <w:rFonts w:ascii="Times New Roman" w:hAnsi="Times New Roman"/>
          <w:i w:val="0"/>
          <w:sz w:val="24"/>
        </w:rPr>
        <w:t>Good morning. This is Future CFO 2035 for the first of September, two thousand twenty-six. I am reading a case written for the classroom, not a verdict. Created and copyright by Doctor Debasis Pahi.</w:t>
      </w:r>
    </w:p>
    <w:p>
      <w:pPr>
        <w:spacing w:after="200" w:line="276" w:lineRule="auto"/>
      </w:pPr>
      <w:r>
        <w:rPr>
          <w:rFonts w:ascii="Times New Roman" w:hAnsi="Times New Roman"/>
          <w:i w:val="0"/>
          <w:sz w:val="24"/>
        </w:rPr>
        <w:t>On the morning of Monday, the first of September, Priya Menon, Chief Financial Officer of Meridian Forge Holdings, a mid-cap specialty-metals company listed on the New York Stock Exchange, closed the glass door beside the board suite. The Audit Committee would meet in eleven days. On the table sat the Securities and Exchange Commission proposal of the fifth of May — File Number S seven, two thousand twenty-six, fifteen — that would let a public company replace the quarterly Form ten-Q with a new semiannual Form ten-S. Beside it, a staff memo on the comment file that closed on the sixth of July. And a one-line note from the lead independent director: Do not bring us a process. Bring us a decision.</w:t>
      </w:r>
    </w:p>
    <w:p>
      <w:pPr>
        <w:spacing w:after="200" w:line="276" w:lineRule="auto"/>
      </w:pPr>
      <w:r>
        <w:rPr>
          <w:rFonts w:ascii="Times New Roman" w:hAnsi="Times New Roman"/>
          <w:i w:val="0"/>
          <w:sz w:val="24"/>
        </w:rPr>
        <w:t>Chairman Paul Atkins had placed the file inside a campaign he called Make I P Os Great Again. Commissioner Mark Uyeda asked the question that every finance chief now has to answer in public: is there any particular magic to quarterly reporting? Why not six months?</w:t>
      </w:r>
    </w:p>
    <w:p>
      <w:pPr>
        <w:spacing w:after="200" w:line="276" w:lineRule="auto"/>
      </w:pPr>
      <w:r>
        <w:rPr>
          <w:rFonts w:ascii="Times New Roman" w:hAnsi="Times New Roman"/>
          <w:i w:val="0"/>
          <w:sz w:val="24"/>
        </w:rPr>
        <w:t>The Commission estimated that an issuer who switched might save about one hundred and ninety-eight thousand dollars a year in direct compliance cost. Meridian’s fully loaded quarterly close — controllers, interim audit procedures, legal, the call — ran closer to one point one million dollars a cycle. Two cycles avoided would be real money. It would not be the first number the Board asked about.</w:t>
      </w:r>
    </w:p>
    <w:p>
      <w:pPr>
        <w:spacing w:after="200" w:line="276" w:lineRule="auto"/>
      </w:pPr>
      <w:r>
        <w:rPr>
          <w:rFonts w:ascii="Times New Roman" w:hAnsi="Times New Roman"/>
          <w:i w:val="0"/>
          <w:sz w:val="24"/>
        </w:rPr>
        <w:t>Because the comment file was not polite. Professor Tzachi Zach at Ohio State classified nearly twelve thousand letters. About ninety-seven percent opposed the change. Broader trackers put the raw volume above two hundred thousand letters. The C F A Institute surveyed twenty-five hundred charterholders who work as analysts and portfolio managers. Sixty-two percent opposed replacing the ten-Q. Seventy percent opposed letting companies choose their own calendar. Only thirty-two percent believed firms would keep filing quarterly if the requirement became optional. The Managed Funds Association warned that thinner official disclosure would raise volatility and the risk of insider trading.</w:t>
      </w:r>
    </w:p>
    <w:p>
      <w:pPr>
        <w:spacing w:after="200" w:line="276" w:lineRule="auto"/>
      </w:pPr>
      <w:r>
        <w:rPr>
          <w:rFonts w:ascii="Times New Roman" w:hAnsi="Times New Roman"/>
          <w:i w:val="0"/>
          <w:sz w:val="24"/>
        </w:rPr>
        <w:t>And yet, by mid-July, the Wall Street Journal was reporting that the administration still intended to move. Legal notes in August said a final rule could arrive in the first half of twenty twenty-seven, with a first election perhaps effective for fiscal twenty twenty-seven.</w:t>
      </w:r>
    </w:p>
    <w:p>
      <w:pPr>
        <w:spacing w:after="200" w:line="276" w:lineRule="auto"/>
      </w:pPr>
      <w:r>
        <w:rPr>
          <w:rFonts w:ascii="Times New Roman" w:hAnsi="Times New Roman"/>
          <w:i w:val="0"/>
          <w:sz w:val="24"/>
        </w:rPr>
        <w:t>Meridian is not a thought experiment. Fiscal twenty twenty-five revenue was four point eight two billion dollars. Adjusted operating margin, eleven point four percent. Net leverage, two point three times E B I T D A. Equity value at the end of August, six point one billion. Two sell-side analysts. Passive holders at thirty-one percent of the float. An activist at three point one percent who wants cash returned, not what the strategy committee calls the grid hobby. The quarter is how this company talks to a thin market.</w:t>
      </w:r>
    </w:p>
    <w:p>
      <w:pPr>
        <w:spacing w:after="200" w:line="276" w:lineRule="auto"/>
      </w:pPr>
      <w:r>
        <w:rPr>
          <w:rFonts w:ascii="Times New Roman" w:hAnsi="Times New Roman"/>
          <w:i w:val="0"/>
          <w:sz w:val="24"/>
        </w:rPr>
        <w:t>Inside the plants the quarter is also a management system. Close on working day four. Disclosure committee on day eight. Audit preview on day twelve. Call on day sixteen. The controller modelled two worlds. World A keeps the internal close even if the ten-Q vanishes. World B lets the close slacken and redeploys twelve people. World B saves more money. World B is also how a covenant problem hides until month four.</w:t>
      </w:r>
    </w:p>
    <w:p>
      <w:pPr>
        <w:spacing w:after="200" w:line="276" w:lineRule="auto"/>
      </w:pPr>
      <w:r>
        <w:rPr>
          <w:rFonts w:ascii="Times New Roman" w:hAnsi="Times New Roman"/>
          <w:i w:val="0"/>
          <w:sz w:val="24"/>
        </w:rPr>
        <w:t>A second Commission file, less televised, would exempt many more issuers from auditor attestation over internal control — Sarbanes-Oxley four-oh-four B. Reporting in late August suggested the lighter-touch population could move from about half of issuers toward eighty percent. Meridian is large enough that four-oh-four B would likely still bind. Peers in the next band might drop both the quarter and the attestation. Relative honesty can be a premium. Or it can be a cost that nobody pays you for.</w:t>
      </w:r>
    </w:p>
    <w:p>
      <w:pPr>
        <w:spacing w:after="200" w:line="276" w:lineRule="auto"/>
      </w:pPr>
      <w:r>
        <w:rPr>
          <w:rFonts w:ascii="Times New Roman" w:hAnsi="Times New Roman"/>
          <w:i w:val="0"/>
          <w:sz w:val="24"/>
        </w:rPr>
        <w:t>The people around Menon do not agree. The Chief Executive wants the election. He came from private equity and still calls the public calendar a tax. The Audit Chair, a retired Big Four partner, wants to know who owns disclosure control when the next reviewed number is six months away. The lead director is watching the cost of equity. Lenders can amend the revolver certificates. They will not amend them for free. Two analysts have already said, privately, that a six-month official print makes the model an interpolation exercise. On the factory floor, the quarterly call is the only uncensored public account of backlog.</w:t>
      </w:r>
    </w:p>
    <w:p>
      <w:pPr>
        <w:spacing w:after="200" w:line="276" w:lineRule="auto"/>
      </w:pPr>
      <w:r>
        <w:rPr>
          <w:rFonts w:ascii="Times New Roman" w:hAnsi="Times New Roman"/>
          <w:i w:val="0"/>
          <w:sz w:val="24"/>
        </w:rPr>
        <w:t>Four options survived Sunday night.</w:t>
      </w:r>
    </w:p>
    <w:p>
      <w:pPr>
        <w:spacing w:after="200" w:line="276" w:lineRule="auto"/>
      </w:pPr>
      <w:r>
        <w:rPr>
          <w:rFonts w:ascii="Times New Roman" w:hAnsi="Times New Roman"/>
          <w:i w:val="0"/>
          <w:sz w:val="24"/>
        </w:rPr>
        <w:t>One: pre-commit, in a Board policy, to remain quarterly even if the election exists. Buy credibility. Spend option value.</w:t>
      </w:r>
    </w:p>
    <w:p>
      <w:pPr>
        <w:spacing w:after="200" w:line="276" w:lineRule="auto"/>
      </w:pPr>
      <w:r>
        <w:rPr>
          <w:rFonts w:ascii="Times New Roman" w:hAnsi="Times New Roman"/>
          <w:i w:val="0"/>
          <w:sz w:val="24"/>
        </w:rPr>
        <w:t>Two: elect at the first window, keep the press release and the call, amend the banks. Capture the filing save. Accept the first-mover discount if there is one.</w:t>
      </w:r>
    </w:p>
    <w:p>
      <w:pPr>
        <w:spacing w:after="200" w:line="276" w:lineRule="auto"/>
      </w:pPr>
      <w:r>
        <w:rPr>
          <w:rFonts w:ascii="Times New Roman" w:hAnsi="Times New Roman"/>
          <w:i w:val="0"/>
          <w:sz w:val="24"/>
        </w:rPr>
        <w:t>Three: wait for the adopting release and for a first cohort. Build the architecture. Make no vow. The lead director told her not to bring a process. This is a process with better vocabulary.</w:t>
      </w:r>
    </w:p>
    <w:p>
      <w:pPr>
        <w:spacing w:after="200" w:line="276" w:lineRule="auto"/>
      </w:pPr>
      <w:r>
        <w:rPr>
          <w:rFonts w:ascii="Times New Roman" w:hAnsi="Times New Roman"/>
          <w:i w:val="0"/>
          <w:sz w:val="24"/>
        </w:rPr>
        <w:t>Four: a liquidity trigger. Remain quarterly unless two of the five largest active holders stay quiet, the bank amendment costs no more than twelve and a half basis points, and one analyst commits to coverage. Elegant. And a hostage to counterparties.</w:t>
      </w:r>
    </w:p>
    <w:p>
      <w:pPr>
        <w:spacing w:after="200" w:line="276" w:lineRule="auto"/>
      </w:pPr>
      <w:r>
        <w:rPr>
          <w:rFonts w:ascii="Times New Roman" w:hAnsi="Times New Roman"/>
          <w:i w:val="0"/>
          <w:sz w:val="24"/>
        </w:rPr>
        <w:t>Future C F O two thousand thirty-five does not resolve the case for you. The philosophy is the method, not the answer. Artificial intelligence generates the comment tracker and the peer matrix overnight. Data informs — ninety-seven percent opposition, thirty-two percent expected voluntary filing, an eighteen-basis-point spread, two analysts. Finance measures the one hundred and ninety-eight thousand dollars against a forty-basis-point widening in the earnings yield on a six-billion-dollar cap. Accounting verifies that a press release is not a reviewed ten-Q. Human judgment decides.</w:t>
      </w:r>
    </w:p>
    <w:p>
      <w:pPr>
        <w:spacing w:after="200" w:line="276" w:lineRule="auto"/>
      </w:pPr>
      <w:r>
        <w:rPr>
          <w:rFonts w:ascii="Times New Roman" w:hAnsi="Times New Roman"/>
          <w:i w:val="0"/>
          <w:sz w:val="24"/>
        </w:rPr>
        <w:t>You are the C F O. You have eleven days. Write no more than two pages. Name the option. Put two numbers on slide one of the Board pack. Give investor relations one public sentence if a reporter calls tomorrow. And write down what you will refuse to trade away even if the Chief Executive asks again.</w:t>
      </w:r>
    </w:p>
    <w:p>
      <w:pPr>
        <w:spacing w:after="200" w:line="276" w:lineRule="auto"/>
      </w:pPr>
      <w:r>
        <w:rPr>
          <w:rFonts w:ascii="Times New Roman" w:hAnsi="Times New Roman"/>
          <w:i w:val="0"/>
          <w:sz w:val="24"/>
        </w:rPr>
        <w:t>This has been Future C F O two thousand thirty-five for the first of September, two thousand twenty-six. Created and copyright by Doctor Debasis Pahi, Assistant Professor, Model Degree College Malkangiri, Doctor of Philosophy, Indian Institute of Technology Kharagpur. Thank you for thinking before you file.</w:t>
      </w:r>
    </w:p>
    <w:p>
      <w:r>
        <w:rPr>
          <w:rFonts w:ascii="Times New Roman" w:hAnsi="Times New Roman"/>
          <w:b/>
          <w:color w:val="0B1F3A"/>
          <w:sz w:val="32"/>
        </w:rPr>
        <w:t>END OF SCRIPT</w:t>
      </w:r>
    </w:p>
    <w:p>
      <w:pPr>
        <w:spacing w:after="200" w:line="276" w:lineRule="auto"/>
      </w:pPr>
      <w:r>
        <w:rPr>
          <w:rFonts w:ascii="Times New Roman" w:hAnsi="Times New Roman"/>
          <w:i/>
          <w:sz w:val="24"/>
        </w:rPr>
        <w:t>Approximate spoken length at a measured Indian-English news pace: eight minutes.</w:t>
      </w:r>
    </w:p>
    <w:p>
      <w:pPr>
        <w:spacing w:after="200" w:line="276" w:lineRule="auto"/>
      </w:pPr>
      <w:r>
        <w:rPr>
          <w:rFonts w:ascii="Times New Roman" w:hAnsi="Times New Roman"/>
          <w:i w:val="0"/>
          <w:sz w:val="24"/>
        </w:rPr>
        <w:t>Created and Copyright by Dr. Debasis Pahi | Future CFO 2035 | 1 September 2026</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1F3A"/>
        <w:sz w:val="16"/>
      </w:rPr>
      <w:t>Created and Copyright by Dr. Debasis Pahi | Future CFO 2035 | 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