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1F3A"/>
          <w:sz w:val="22"/>
        </w:rPr>
        <w:t>FUTURE CFO_DP</w:t>
      </w:r>
    </w:p>
    <w:p>
      <w:r>
        <w:rPr>
          <w:b/>
          <w:color w:val="0B1F3A"/>
          <w:sz w:val="40"/>
        </w:rPr>
        <w:t>Voice script — 3 October 2026</w:t>
      </w:r>
    </w:p>
    <w:p>
      <w:r>
        <w:rPr>
          <w:i/>
          <w:sz w:val="24"/>
        </w:rPr>
        <w:t>Rupee at 96: The CFO Brief</w:t>
      </w:r>
    </w:p>
    <w:p>
      <w:r>
        <w:rPr>
          <w:sz w:val="20"/>
        </w:rPr>
        <w:t>Indian English narration · target 7–9 minutes · male voice · Created and Copyright by Dr. Debasis Pahi</w:t>
      </w:r>
    </w:p>
    <w:p>
      <w:r>
        <w:t>Words: 908. Read at a measured pace. Figures are spoken in words so the voice model does not stumble.</w:t>
      </w:r>
    </w:p>
    <w:p>
      <w:pPr>
        <w:spacing w:after="160"/>
      </w:pPr>
      <w:r>
        <w:rPr>
          <w:rFonts w:ascii="Calibri" w:hAnsi="Calibri"/>
          <w:sz w:val="24"/>
        </w:rPr>
        <w:t>Good morning. This is Future CFO_DP, for Saturday, the third of October, 2026. I am speaking to business students who want the job of the chief financial officer, not the job of the headline reader.</w:t>
      </w:r>
    </w:p>
    <w:p>
      <w:pPr>
        <w:spacing w:after="160"/>
      </w:pPr>
      <w:r>
        <w:rPr>
          <w:rFonts w:ascii="Calibri" w:hAnsi="Calibri"/>
          <w:sz w:val="24"/>
        </w:rPr>
        <w:t>Markets were closed yesterday. Friday was Gandhi Jayanti. Equity, debt, and derivatives did not trade. So anything you do with this brief is a Monday plan, not a journal entry.</w:t>
      </w:r>
    </w:p>
    <w:p>
      <w:pPr>
        <w:spacing w:after="160"/>
      </w:pPr>
      <w:r>
        <w:rPr>
          <w:rFonts w:ascii="Calibri" w:hAnsi="Calibri"/>
          <w:sz w:val="24"/>
        </w:rPr>
        <w:t>Three public numbers are on the desk.</w:t>
      </w:r>
    </w:p>
    <w:p>
      <w:pPr>
        <w:spacing w:after="160"/>
      </w:pPr>
      <w:r>
        <w:rPr>
          <w:rFonts w:ascii="Calibri" w:hAnsi="Calibri"/>
          <w:sz w:val="24"/>
        </w:rPr>
        <w:t>First, the rupee. Briefs drawn from the Economic Times put the currency at about ninety-six point three one five zero to the dollar, weaker by roughly half a percent, a two-month low. The reasons given were foreign portfolio selling and higher American yields. If you import, an unhedged payable just got more expensive in rupees. If you export, the next invoice looks richer, until the buyer asks for a discount. Write those as two different risks.</w:t>
      </w:r>
    </w:p>
    <w:p>
      <w:pPr>
        <w:spacing w:after="160"/>
      </w:pPr>
      <w:r>
        <w:rPr>
          <w:rFonts w:ascii="Calibri" w:hAnsi="Calibri"/>
          <w:sz w:val="24"/>
        </w:rPr>
        <w:t>Second, tax. September gross GST collections were reported at two lakh four thousand crore rupees, up fourteen point seven percent. The briefs tie that to activity and to pre-festive stocking. Maruti's total monthly sales were reported up twenty-four percent, to two lakh thirty-six thousand units. Hero MotoCorp was reported up twelve percent, to seven lakh sixty-six thousand units. Gross is not net. National stocking is not your customer's sell-through. Do not lift a cash forecast because the country had a good tax month.</w:t>
      </w:r>
    </w:p>
    <w:p>
      <w:pPr>
        <w:spacing w:after="160"/>
      </w:pPr>
      <w:r>
        <w:rPr>
          <w:rFonts w:ascii="Calibri" w:hAnsi="Calibri"/>
          <w:sz w:val="24"/>
        </w:rPr>
        <w:t>Third, flows. Foreign portfolio investors were reported to have sold about thirty-six thousand crore rupees of equities in September. In the same month, UPI transactions rose twenty-three percent, to twenty-four point zero seven billion. Domestic payment rails and foreign portfolio money can move in opposite directions. A consumer business watches both. An exporter does not pretend they are the same pipe.</w:t>
      </w:r>
    </w:p>
    <w:p>
      <w:pPr>
        <w:spacing w:after="160"/>
      </w:pPr>
      <w:r>
        <w:rPr>
          <w:rFonts w:ascii="Calibri" w:hAnsi="Calibri"/>
          <w:sz w:val="24"/>
        </w:rPr>
        <w:t>Now the people news, because counterparty is a finance topic.</w:t>
      </w:r>
    </w:p>
    <w:p>
      <w:pPr>
        <w:spacing w:after="160"/>
      </w:pPr>
      <w:r>
        <w:rPr>
          <w:rFonts w:ascii="Calibri" w:hAnsi="Calibri"/>
          <w:sz w:val="24"/>
        </w:rPr>
        <w:t>HDFC Bank received Reserve Bank clearance to appoint Anup Bagchi as managing director and chief executive, for a three-year term. He moves across from ICICI Prudential Life. The bank's American depositary receipts were reported up more than five percent after the announcement. Economic Times, this morning, framed his test as winning back investor trust. ICICI Prudential Life has appointed Sidharatha Mishra, an ICICI Bank veteran, as its managing director and chief executive, for five years.</w:t>
      </w:r>
    </w:p>
    <w:p>
      <w:pPr>
        <w:spacing w:after="160"/>
      </w:pPr>
      <w:r>
        <w:rPr>
          <w:rFonts w:ascii="Calibri" w:hAnsi="Calibri"/>
          <w:sz w:val="24"/>
        </w:rPr>
        <w:t>If your working-capital line sits with HDFC Bank, you do not reprice the loan off an ADR pop. You open the sanction. In most borrower covenants, change of management means change at your firm, not at the lender. You still log the name. Coverage, credit memo, reset date. That is the memo.</w:t>
      </w:r>
    </w:p>
    <w:p>
      <w:pPr>
        <w:spacing w:after="160"/>
      </w:pPr>
      <w:r>
        <w:rPr>
          <w:rFonts w:ascii="Calibri" w:hAnsi="Calibri"/>
          <w:sz w:val="24"/>
        </w:rPr>
        <w:t>A separate item: the NCLT admitted Kotak Mahindra Bank's insolvency plea against Unity Realty and Developers. That is a named debtor and a legal process. It is not a comment on every bank in the country. Keep your stories in separate folders.</w:t>
      </w:r>
    </w:p>
    <w:p>
      <w:pPr>
        <w:spacing w:after="160"/>
      </w:pPr>
      <w:r>
        <w:rPr>
          <w:rFonts w:ascii="Calibri" w:hAnsi="Calibri"/>
          <w:sz w:val="24"/>
        </w:rPr>
        <w:t>Two regulator threads, then a compliance one.</w:t>
      </w:r>
    </w:p>
    <w:p>
      <w:pPr>
        <w:spacing w:after="160"/>
      </w:pPr>
      <w:r>
        <w:rPr>
          <w:rFonts w:ascii="Calibri" w:hAnsi="Calibri"/>
          <w:sz w:val="24"/>
        </w:rPr>
        <w:t>Commentary this week still describes the repo rate at five point two five percent, with a neutral stance, and inflation for the year around four point six percent. A pause is predictability. It is not cheap money. Your floating rate moves on the reset date in the agreement.</w:t>
      </w:r>
    </w:p>
    <w:p>
      <w:pPr>
        <w:spacing w:after="160"/>
      </w:pPr>
      <w:r>
        <w:rPr>
          <w:rFonts w:ascii="Calibri" w:hAnsi="Calibri"/>
          <w:sz w:val="24"/>
        </w:rPr>
        <w:t>The Reserve Bank has also eased the path for mutual funds, insurers, and pension funds buying bank shares: a one-time approval, and room up to ten percent, instead of a permission every time. That is ownership plumbing. It does not change your drawing power.</w:t>
      </w:r>
    </w:p>
    <w:p>
      <w:pPr>
        <w:spacing w:after="160"/>
      </w:pPr>
      <w:r>
        <w:rPr>
          <w:rFonts w:ascii="Calibri" w:hAnsi="Calibri"/>
          <w:sz w:val="24"/>
        </w:rPr>
        <w:t>Closer to the students who freelance: from the first of October, service exporters, including consultants and digital creators earning foreign currency, are being brought under monthly Export Declaration Form filing. Invoice, credit advice, EDF, GST export row. Same month. Same folder. Ask the authorised dealer before you teach the form as already perfect.</w:t>
      </w:r>
    </w:p>
    <w:p>
      <w:pPr>
        <w:spacing w:after="160"/>
      </w:pPr>
      <w:r>
        <w:rPr>
          <w:rFonts w:ascii="Calibri" w:hAnsi="Calibri"/>
          <w:sz w:val="24"/>
        </w:rPr>
        <w:t>Let me put a person in the room. She is composite. Do not look her up.</w:t>
      </w:r>
    </w:p>
    <w:p>
      <w:pPr>
        <w:spacing w:after="160"/>
      </w:pPr>
      <w:r>
        <w:rPr>
          <w:rFonts w:ascii="Calibri" w:hAnsi="Calibri"/>
          <w:sz w:val="24"/>
        </w:rPr>
        <w:t>Meera runs finance for an apparel exporter in Bhubaneswar. Call the firm Eastern Loom. Open dollar payables: one point eight million, forty-five days, unhedged. Dollar receivables: two point four million, sixty days, forty percent already sold forward at ninety-four point eight zero. The line is with HDFC Bank.</w:t>
      </w:r>
    </w:p>
    <w:p>
      <w:pPr>
        <w:spacing w:after="160"/>
      </w:pPr>
      <w:r>
        <w:rPr>
          <w:rFonts w:ascii="Calibri" w:hAnsi="Calibri"/>
          <w:sz w:val="24"/>
        </w:rPr>
        <w:t>The promoter asks: the rupee is at ninety-six, GST is strong, should we hold the payable and celebrate?</w:t>
      </w:r>
    </w:p>
    <w:p>
      <w:pPr>
        <w:spacing w:after="160"/>
      </w:pPr>
      <w:r>
        <w:rPr>
          <w:rFonts w:ascii="Calibri" w:hAnsi="Calibri"/>
          <w:sz w:val="24"/>
        </w:rPr>
        <w:t>Meera's answer is no. The payable falls due before the receivable. Netting is not a hedge. A teaching rate of ninety-six point three zero against her old forward of ninety-four point eight zero is about twenty-seven lakh rupees of extra cost on that payable. She does not book it. She prices a cover on Monday off the dealing desk. She leaves the thirteen-week cash forecast alone until a letter of credit is amended. She files the chief executive change in the bank memo and does not ask for a cheaper spread because a receipt in New York moved.</w:t>
      </w:r>
    </w:p>
    <w:p>
      <w:pPr>
        <w:spacing w:after="160"/>
      </w:pPr>
      <w:r>
        <w:rPr>
          <w:rFonts w:ascii="Calibri" w:hAnsi="Calibri"/>
          <w:sz w:val="24"/>
        </w:rPr>
        <w:t>That is the craft. AI can draft the sentence. Data tells you the rupee print and the tax print disagreed in tone. Finance measures the unhedged amount. Accounting will not verify anything until there is a debit advice. Human judgment decides whether to cover.</w:t>
      </w:r>
    </w:p>
    <w:p>
      <w:pPr>
        <w:spacing w:after="160"/>
      </w:pPr>
      <w:r>
        <w:rPr>
          <w:rFonts w:ascii="Calibri" w:hAnsi="Calibri"/>
          <w:sz w:val="24"/>
        </w:rPr>
        <w:t>Before you cite this in an interview, open the Reserve Bank reference rate, the GST press note, and the exchange filing on the appointment. Aggregators mis-state. Primary documents do not negotiate.</w:t>
      </w:r>
    </w:p>
    <w:p>
      <w:pPr>
        <w:spacing w:after="160"/>
      </w:pPr>
      <w:r>
        <w:rPr>
          <w:rFonts w:ascii="Calibri" w:hAnsi="Calibri"/>
          <w:sz w:val="24"/>
        </w:rPr>
        <w:t>I am Dr. Debasis Pahi. This series is Future CFO_DP. AI generates. Data informs. Finance measures. Accounting verifies. Human judgment decides.</w:t>
      </w:r>
    </w:p>
    <w:p>
      <w:pPr>
        <w:spacing w:after="160"/>
      </w:pPr>
      <w:r>
        <w:rPr>
          <w:rFonts w:ascii="Calibri" w:hAnsi="Calibri"/>
          <w:sz w:val="24"/>
        </w:rPr>
        <w:t>Not investment advice. See you Monday, with the open.</w:t>
      </w:r>
    </w:p>
    <w:p>
      <w:r>
        <w:t>End of script. Philosophy: AI generates. Data informs. Finance measures. Accounting verifies. Human judgment decides.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