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Future CFO_DP — Spoken script</w:t>
      </w:r>
    </w:p>
    <w:p>
      <w:r>
        <w:rPr>
          <w:i/>
          <w:iCs/>
        </w:rPr>
        <w:t xml:space="preserve">9 October 2026  ·  Repo at 5.50%: The First Hike Since February 2023</w:t>
      </w:r>
    </w:p>
    <w:p>
      <w:r>
        <w:t xml:space="preserve">Voice: Indian English, male (Naksh). Target length 7–9 minutes. Composite case labelled in the script.</w:t>
      </w:r>
    </w:p>
    <w:p>
      <w:r>
        <w:t xml:space="preserve">Created and Copyright by Dr. Debasis Pahi, Assistant Professor, Model Degree College Malkangiri, Ph.D., IIT Kharagpur.</w:t>
      </w:r>
    </w:p>
    <w:p>
      <w:pPr>
        <w:spacing w:after="200"/>
      </w:pPr>
      <w:r>
        <w:t xml:space="preserve">Good morning. This is Future CFO_DP, for Friday, the ninth of October, 2026. I am walking you through a decision that landed on Indian finance desks two days ago, when the Reserve Bank of India raised the policy repo rate.</w:t>
      </w:r>
    </w:p>
    <w:p>
      <w:pPr>
        <w:spacing w:after="200"/>
      </w:pPr>
      <w:r>
        <w:t xml:space="preserve">On the seventh of October, the Monetary Policy Committee finished its sixty-third meeting. Governor Sanjay Malhotra said the committee voted unanimously to increase the policy repo rate under the liquidity adjustment facility by twenty-five basis points, to five point five zero percent. The standing deposit facility rate is now five point two five percent. The marginal standing facility rate and the Bank Rate are five point seven five percent. The stance moved from neutral to calibrated tightening. Business Standard reported that the rate vote was unanimous and the stance vote was four to two.</w:t>
      </w:r>
    </w:p>
    <w:p>
      <w:pPr>
        <w:spacing w:after="200"/>
      </w:pPr>
      <w:r>
        <w:t xml:space="preserve">That is the first repo increase since February 2023. The Hindu noted that the easing cycle had taken the rate down by one hundred and twenty-five basis points, from six point five zero percent to five point two five percent, with the last cut in December 2025, and then four holds. Cuts, the Governor said, are off the table in the near term. The next action can only be a hike or a pause.</w:t>
      </w:r>
    </w:p>
    <w:p>
      <w:pPr>
        <w:spacing w:after="200"/>
      </w:pPr>
      <w:r>
        <w:t xml:space="preserve">Why now, when growth looks firm? Because the inflation story has changed. The Governor said headline CPI is expected to average almost five point eight percent over the next three quarters, and core inflation is projected at four point four percent for this financial year. The Reserve Bank raised its FY27 real GDP forecast to seven point one percent, from six point seven, and raised the FY27 CPI projection to five point two percent, from five point zero. Businessworld reported quarterly growth of seven point two, six point nine and six point eight percent for the second, third and fourth quarters of FY27. CNBC-TV18 reported the inflation path at four point nine, six point zero and five point seven percent across those same quarters, and five point six percent in the first quarter of FY28.</w:t>
      </w:r>
    </w:p>
    <w:p>
      <w:pPr>
        <w:spacing w:after="200"/>
      </w:pPr>
      <w:r>
        <w:t xml:space="preserve">August already showed the turn. The Governor noted CPI inflation at four point eight percent in August, up from four point five percent in July, with food and fuel leading, and core also picking up. That is not a crisis print. It is a broadening print. And broadening is what a CFO has to price.</w:t>
      </w:r>
    </w:p>
    <w:p>
      <w:pPr>
        <w:spacing w:after="200"/>
      </w:pPr>
      <w:r>
        <w:t xml:space="preserve">The external account is not the weak link. Mint reported that Governor Malhotra cited foreign exchange reserves of seven hundred thirty-four point six billion dollars as of the second of October, about eleven months of import cover, and cover equal to ninety-four point four percent of external debt. Net FDI inflows rose to thirteen point eight billion dollars between April and August 2026, against nine point six billion a year earlier. Foreign portfolio investors, though, have been cautious: the same report put FPI outflows at ten point three billion dollars. Reserves buy time. They do not freeze your borrowing cost.</w:t>
      </w:r>
    </w:p>
    <w:p>
      <w:pPr>
        <w:spacing w:after="200"/>
      </w:pPr>
      <w:r>
        <w:t xml:space="preserve">Credit is running hot. Mint put bank credit growth at eighteen point one percent. In the post-policy press interaction reported by BusinessLine, Deputy Governor Swaminathan J said credit growth is already eighteen to nineteen percent, while twelve to fourteen percent is the rate generally seen as sustainable. On the seventh itself, RBI money-market data showed overnight volume of about seven lakh six thousand crore rupees, with a weighted average rate of five point three three percent. The call rate was five point three six. Triparty repo was five point three two. The standing deposit facility absorbed one lakh seventy-two thousand two hundred sixty-seven crore rupees at five point two five percent. A one-day variable-rate reverse repo took two lakh fifty-five thousand eight hundred twenty-seven crore at a cut-off of five point four nine. Policy moved. The market had already started to live near the new corridor.</w:t>
      </w:r>
    </w:p>
    <w:p>
      <w:pPr>
        <w:spacing w:after="200"/>
      </w:pPr>
      <w:r>
        <w:t xml:space="preserve">Now the teaching case. Malabar Consumer Products Limited is a composite firm, built only for the classroom. It is not a real company and not a forecast of any named issuer. Meera Iyer is its composite chief financial officer. On the morning of the ninth of October she has a live decision.</w:t>
      </w:r>
    </w:p>
    <w:p>
      <w:pPr>
        <w:spacing w:after="200"/>
      </w:pPr>
      <w:r>
        <w:t xml:space="preserve">Malabar makes packaged foods and home-care products, sold through general trade and modern retail. Revenue last year was four thousand eight hundred crore rupees. Net debt is one thousand six hundred crore. Of that, one thousand two hundred crore is a floating-rate rupee facility: four hundred crore of working capital linked to the repo, and eight hundred crore of term loan linked to the three-month treasury bill plus a spread of one hundred eighty basis points. The facility resets on the fifteenth of October. The bank has offered a six-month extension on the same grid, or a refinance into a two-year fixed rate of eight point nine zero percent all-in. The treasurer has a quote for a one-year overnight-index swap that would lock the floating leg at about five point seven two percent, before the credit spread.</w:t>
      </w:r>
    </w:p>
    <w:p>
      <w:pPr>
        <w:spacing w:after="200"/>
      </w:pPr>
      <w:r>
        <w:t xml:space="preserve">Meera's board meets on the sixteenth. The audit committee wants a one-page answer to three questions. First, what does a twenty-five basis point hike do to interest cost if nothing is hedged? Second, is the fixed-rate refinance cheap insurance or expensive regret if the Governor pauses in December? Third, how should the firm talk about this in the half-year commentary, without pretending the case facts are Malabar's statutory numbers?</w:t>
      </w:r>
    </w:p>
    <w:p>
      <w:pPr>
        <w:spacing w:after="200"/>
      </w:pPr>
      <w:r>
        <w:t xml:space="preserve">Run the arithmetic in public. Twenty-five basis points on one thousand two hundred crore is three crore rupees a year, before tax. That is not the whole story. If the stance means one more hike of the same size before March, the unhedged bill is six crore. Against last year's profit before tax of three hundred ten crore, six crore is about two percent of pre-tax profit. Material to the margin bridge. Not material enough to panic the covenant pack. The interest cover is five point four times. A further fifty basis points takes it to roughly five point one. Still inside the four times covenant. The danger is not default. The danger is a sloppy explanation.</w:t>
      </w:r>
    </w:p>
    <w:p>
      <w:pPr>
        <w:spacing w:after="200"/>
      </w:pPr>
      <w:r>
        <w:t xml:space="preserve">Working capital is the quieter risk. Malabar's debtor days are fifty-two. General trade asks for festival credit every October. If banks reprice working-capital lines and slow sanction on the back of eighteen percent system credit growth, the firm can be right on the P and L and wrong on the cash book. Deputy Governor Swaminathan's caution on hot credit growth is a signal to treasurers: do not assume the line you had in June is the line you will have in December.</w:t>
      </w:r>
    </w:p>
    <w:p>
      <w:pPr>
        <w:spacing w:after="200"/>
      </w:pPr>
      <w:r>
        <w:t xml:space="preserve">So what should Meera decide? The case does not hand you the answer. It hands you the trade-off. Locking the whole one thousand two hundred crore at eight point nine percent buys certainty and gives away upside if the committee pauses. Swapping only the eight hundred crore term loan for one year, and leaving working capital floating, matches the tenor of the debt you actually know. Keeping a written pause case, with the trigger being the next CPI print and the December resolution, is the judgment layer no model will sign.</w:t>
      </w:r>
    </w:p>
    <w:p>
      <w:pPr>
        <w:spacing w:after="200"/>
      </w:pPr>
      <w:r>
        <w:t xml:space="preserve">Three classroom rules follow. Finance measures the three crore and the six crore. Accounting verifies that hedge documentation, if she swaps, meets the standard her auditor will test. Human judgment decides how much regret the board can stand. AI can draft the sensitivity. It cannot sit in front of the audit committee.</w:t>
      </w:r>
    </w:p>
    <w:p>
      <w:pPr>
        <w:spacing w:after="200"/>
      </w:pPr>
      <w:r>
        <w:t xml:space="preserve">That is the pack for today. Repo at five point five zero. Stance, calibrated tightening. Growth up, inflation up, reserves large, credit fast. The CFO's job is not to guess the Governor. It is to know the bill, name the covenant, and choose the hedge with open eyes.</w:t>
      </w:r>
    </w:p>
    <w:p>
      <w:pPr>
        <w:spacing w:after="200"/>
      </w:pPr>
      <w:r>
        <w:t xml:space="preserve">Philosophy, as always. AI generates. Data informs. Finance measures. Accounting verifies. Human judgment decides.</w:t>
      </w:r>
    </w:p>
    <w:p>
      <w:pPr>
        <w:spacing w:after="200"/>
      </w:pPr>
      <w:r>
        <w:t xml:space="preserve">This briefing is created and copyright by Dr Debasis Pahi, Assistant Professor, Model Degree College Malkangiri, PhD, IIT Kharagpur. Future CFO_DP. Preparing business students for the AI-powered economy.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6"/>
        <w:szCs w:val="16"/>
      </w:rPr>
      <w:t xml:space="preserve">Created and Copyright by Dr. Debasis Pahi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0B1F33"/>
        <w:sz w:val="18"/>
        <w:szCs w:val="18"/>
      </w:rPr>
      <w:t xml:space="preserve">Future CFO_DP  ·  Daily script  ·  9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2026-10-09T00:24:42.401Z</dcterms:created>
  <dcterms:modified xsi:type="dcterms:W3CDTF">2026-10-09T00:24:42.401Z</dcterms:modified>
</cp:coreProperties>
</file>

<file path=docProps/custom.xml><?xml version="1.0" encoding="utf-8"?>
<Properties xmlns="http://schemas.openxmlformats.org/officeDocument/2006/custom-properties" xmlns:vt="http://schemas.openxmlformats.org/officeDocument/2006/docPropsVTypes"/>
</file>