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Future CFO_DP — Narration script</w:t>
      </w:r>
    </w:p>
    <w:p>
      <w:r>
        <w:rPr>
          <w:rFonts w:ascii="Calibri" w:cs="Calibri" w:eastAsia="Calibri" w:hAnsi="Calibri"/>
          <w:i/>
          <w:iCs/>
          <w:sz w:val="22"/>
          <w:szCs w:val="22"/>
        </w:rPr>
        <w:t xml:space="preserve">5 October 2026 · Indian English male · en-IN-PrabhatNeural · paced to about 8 minutes 46 seconds</w:t>
      </w:r>
    </w:p>
    <w:p>
      <w:pPr>
        <w:spacing w:after="200"/>
      </w:pPr>
      <w:r>
        <w:rPr>
          <w:rFonts w:ascii="Calibri" w:cs="Calibri" w:eastAsia="Calibri" w:hAnsi="Calibri"/>
          <w:sz w:val="20"/>
          <w:szCs w:val="20"/>
        </w:rPr>
        <w:t xml:space="preserve">Created and Copyright by Dr. Debasis Pahi. Not investment advice.</w:t>
      </w:r>
    </w:p>
    <w:p>
      <w:pPr>
        <w:spacing w:after="160"/>
      </w:pPr>
      <w:r>
        <w:rPr>
          <w:rFonts w:ascii="Calibri" w:cs="Calibri" w:eastAsia="Calibri" w:hAnsi="Calibri"/>
          <w:sz w:val="24"/>
          <w:szCs w:val="24"/>
        </w:rPr>
        <w:t xml:space="preserve">Good morning. This is Future CFO_DP for Monday, the fifth of October, 2026. I am speaking to business students who want the finance seat, not just the finance vocabulary.</w:t>
      </w:r>
    </w:p>
    <w:p>
      <w:pPr>
        <w:spacing w:after="160"/>
      </w:pPr>
      <w:r>
        <w:rPr>
          <w:rFonts w:ascii="Calibri" w:cs="Calibri" w:eastAsia="Calibri" w:hAnsi="Calibri"/>
          <w:sz w:val="24"/>
          <w:szCs w:val="24"/>
        </w:rPr>
        <w:t xml:space="preserve">Today's line comes from the Reserve Bank. On Saturday, at the Fifth Kautilya Economic Conclave, Governor Sanjay Malhotra said that today's resilience may not necessarily imply tomorrow's immunity. Hold that sentence. It is the whole brief.</w:t>
      </w:r>
    </w:p>
    <w:p>
      <w:pPr>
        <w:spacing w:after="160"/>
      </w:pPr>
      <w:r>
        <w:rPr>
          <w:rFonts w:ascii="Calibri" w:cs="Calibri" w:eastAsia="Calibri" w:hAnsi="Calibri"/>
          <w:sz w:val="24"/>
          <w:szCs w:val="24"/>
        </w:rPr>
        <w:t xml:space="preserve">The conclave is organised by the Institute of Economic Growth and the Union finance ministry. Malhotra was not describing a weak India. He said the economy is navigating the West Asia crisis from a position of strength. Retail inflation averaged two percent last year. Bank and non-bank balance sheets are healthy. And still he asked for vigilance. Strong macros are a cushion. They are not a guarantee.</w:t>
      </w:r>
    </w:p>
    <w:p>
      <w:pPr>
        <w:spacing w:after="160"/>
      </w:pPr>
      <w:r>
        <w:rPr>
          <w:rFonts w:ascii="Calibri" w:cs="Calibri" w:eastAsia="Calibri" w:hAnsi="Calibri"/>
          <w:sz w:val="24"/>
          <w:szCs w:val="24"/>
        </w:rPr>
        <w:t xml:space="preserve">What sits on the risk list? Elevated global debt. Stretched asset valuations, particularly in anything tied to artificial intelligence. High leverage. Private credit. Cyber threats that AI can compound. And the West Asia conflict, which reaches India through commodity prices and the external account. Indian equities, he noted, have fallen in recent months from high valuations, but the move has been orderly. Orderly is a compliment to the market's plumbing. It is not a promise about your firm's cash flow.</w:t>
      </w:r>
    </w:p>
    <w:p>
      <w:pPr>
        <w:spacing w:after="160"/>
      </w:pPr>
      <w:r>
        <w:rPr>
          <w:rFonts w:ascii="Calibri" w:cs="Calibri" w:eastAsia="Calibri" w:hAnsi="Calibri"/>
          <w:sz w:val="24"/>
          <w:szCs w:val="24"/>
        </w:rPr>
        <w:t xml:space="preserve">Now the AI point, because this brand exists for an AI-powered economy. Malhotra said the AI investment cycle has been a major support for global markets. Computing infrastructure, data centres, advanced semiconductors: that spending has held up valuations. The warning is the mirror image. If AI investment slows, or if earnings disappoint, financial assets along that value chain can reprice sharply. A correction in advanced economies, he added, may actually help emerging markets such as India, by releasing capital that looks for a home. Positive spillover is possible. It is not a plan. A future CFO does not budget a capital inflow. A future CFO budgets a rate, a spread, and a hedge.</w:t>
      </w:r>
    </w:p>
    <w:p>
      <w:pPr>
        <w:spacing w:after="160"/>
      </w:pPr>
      <w:r>
        <w:rPr>
          <w:rFonts w:ascii="Calibri" w:cs="Calibri" w:eastAsia="Calibri" w:hAnsi="Calibri"/>
          <w:sz w:val="24"/>
          <w:szCs w:val="24"/>
        </w:rPr>
        <w:t xml:space="preserve">Translate that into the desk. If your company sells into the AI supply chain, your revenue forecast is now a macro variable. If you only buy software, your risk is different: vendor concentration, cyber, and the cost of capital if global risk appetite turns. Either way, the model is not the decision. The model is a draft.</w:t>
      </w:r>
    </w:p>
    <w:p>
      <w:pPr>
        <w:spacing w:after="160"/>
      </w:pPr>
      <w:r>
        <w:rPr>
          <w:rFonts w:ascii="Calibri" w:cs="Calibri" w:eastAsia="Calibri" w:hAnsi="Calibri"/>
          <w:sz w:val="24"/>
          <w:szCs w:val="24"/>
        </w:rPr>
        <w:t xml:space="preserve">Second channel: commodities. Malhotra was plain. India remains exposed to higher commodity prices and external-sector pressure. The policy answer he listed is practical. Diversify import sources. Build energy sufficiency. Strategic petroleum reserves. A faster energy transition. More competitive domestic manufacturing. Deeper links into global value chains. Trade pacts that widen market access. For a student, the lesson is narrower. Ask what a ten-dollar move in crude does to gross margin, to freight, and to the working-capital cycle. If you cannot answer, you do not yet have a forecast. You have a hope.</w:t>
      </w:r>
    </w:p>
    <w:p>
      <w:pPr>
        <w:spacing w:after="160"/>
      </w:pPr>
      <w:r>
        <w:rPr>
          <w:rFonts w:ascii="Calibri" w:cs="Calibri" w:eastAsia="Calibri" w:hAnsi="Calibri"/>
          <w:sz w:val="24"/>
          <w:szCs w:val="24"/>
        </w:rPr>
        <w:t xml:space="preserve">Third exhibit: Crisil Ratings, reported on the fourth of October. A rate hike of up to fifty basis points would be largely manageable for India Inc. Some sectors would feel it. The median gearing of rated companies is about zero point five. That is a strong balance sheet in the aggregate. A twenty-five basis point hike would cut median interest coverage by only about ten basis points. Fifty basis points would cut it by about twenty. Coverage could remain near five point one times, or about five times. Infrastructure looks relatively resilient, helped by debt-protection metrics, tariff pass-through, and government capital expenditure. Commercial real estate could see a moderate hit to debt-service cover in the fifty basis point case. Crisil expects bank credit growth of fourteen and a half to fifteen and a half percent in FY twenty-seven. The credit-quality outlook for FY twenty-seven stays stable. The risks they still name are the ones Malhotra named: prolonged geopolitical tension, supply-chain disruption, elevated crude, and a demand hit if inflation and rates surprise.</w:t>
      </w:r>
    </w:p>
    <w:p>
      <w:pPr>
        <w:spacing w:after="160"/>
      </w:pPr>
      <w:r>
        <w:rPr>
          <w:rFonts w:ascii="Calibri" w:cs="Calibri" w:eastAsia="Calibri" w:hAnsi="Calibri"/>
          <w:sz w:val="24"/>
          <w:szCs w:val="24"/>
        </w:rPr>
        <w:t xml:space="preserve">Do not worship the median. A median gearing of zero point five hides the borrower at two point five. Your job is the firm in front of you, its covenants, its fixed versus floating mix, and the date the next reset falls.</w:t>
      </w:r>
    </w:p>
    <w:p>
      <w:pPr>
        <w:spacing w:after="160"/>
      </w:pPr>
      <w:r>
        <w:rPr>
          <w:rFonts w:ascii="Calibri" w:cs="Calibri" w:eastAsia="Calibri" w:hAnsi="Calibri"/>
          <w:sz w:val="24"/>
          <w:szCs w:val="24"/>
        </w:rPr>
        <w:t xml:space="preserve">Fourth exhibit: HDFC Bank's provisional numbers as on the thirtieth of September, released over the weekend and reported by the Financial Express. Gross advances stood at thirty-two point two zero lakh crore rupees, up sixteen point three percent year on year. Deposits stood at thirty-three point two eight lakh crore, up eighteen point eight percent. Deposit growth outran loan growth. That is the sentence. Advances under management were thirty-three point zero eight lakh crore, up fifteen point three percent. Average advances under management in the quarter rose fourteen percent to thirty-one point eight seven lakh crore. Average deposits rose sixteen point eight percent to thirty-one point six seven lakh crore.</w:t>
      </w:r>
    </w:p>
    <w:p>
      <w:pPr>
        <w:spacing w:after="160"/>
      </w:pPr>
      <w:r>
        <w:rPr>
          <w:rFonts w:ascii="Calibri" w:cs="Calibri" w:eastAsia="Calibri" w:hAnsi="Calibri"/>
          <w:sz w:val="24"/>
          <w:szCs w:val="24"/>
        </w:rPr>
        <w:t xml:space="preserve">Look inside the deposit book. Time deposits rose twenty-two point eight percent to twenty-two point seven six lakh crore. CASA rose ten point eight percent to ten point five two lakh crore. Growth is real. The mix is tilting toward costlier money. The bank also mobilised eleven point five billion dollars of foreign-currency deposits under the Reserve Bank's FCNR swap facility introduced in June. Against those deposits, overseas branches extended loans of five point seven billion dollars, and the bank issued standby letters of credit of three point one billion dollars. Between June and August it raised two point five billion dollars in dollar senior unsecured bonds. Diversified funding is a strength. It is also a diary of rollover dates.</w:t>
      </w:r>
    </w:p>
    <w:p>
      <w:pPr>
        <w:spacing w:after="160"/>
      </w:pPr>
      <w:r>
        <w:rPr>
          <w:rFonts w:ascii="Calibri" w:cs="Calibri" w:eastAsia="Calibri" w:hAnsi="Calibri"/>
          <w:sz w:val="24"/>
          <w:szCs w:val="24"/>
        </w:rPr>
        <w:t xml:space="preserve">Around this, the market tape is not calm. Business Today reported on the second of October that the Nifty and the Sensex had logged an eighth straight weekly loss, and that sixty-nine companies still raised about ninety thousand five hundred crore rupees through initial public offers in the September quarter. Primary markets can stay open while secondary markets bleed. A CFO raising equity should not confuse a successful book with a cheap cost of capital.</w:t>
      </w:r>
    </w:p>
    <w:p>
      <w:pPr>
        <w:spacing w:after="160"/>
      </w:pPr>
      <w:r>
        <w:rPr>
          <w:rFonts w:ascii="Calibri" w:cs="Calibri" w:eastAsia="Calibri" w:hAnsi="Calibri"/>
          <w:sz w:val="24"/>
          <w:szCs w:val="24"/>
        </w:rPr>
        <w:t xml:space="preserve">Malhotra offered policymakers a frame that travels well to the finance function. Financial stability is not the prevention of every shock. It is the capacity to face shocks. The next crisis may not start in a bank. It may start with a geopolitical event, a cyber attack, or a technology failure, and then enter finance through several doors. Monitoring needs granular data, not a smoother chart. Resilience has to be system-wide: markets, payments, technology vendors, critical third parties, cross-border networks. And the system has to survive shocks we cannot yet name.</w:t>
      </w:r>
    </w:p>
    <w:p>
      <w:pPr>
        <w:spacing w:after="160"/>
      </w:pPr>
      <w:r>
        <w:rPr>
          <w:rFonts w:ascii="Calibri" w:cs="Calibri" w:eastAsia="Calibri" w:hAnsi="Calibri"/>
          <w:sz w:val="24"/>
          <w:szCs w:val="24"/>
        </w:rPr>
        <w:t xml:space="preserve">So what do you do on a Monday morning in class? Four calculations. One: interest coverage, earnings before interest and tax divided by interest, restated at plus twenty-five and plus fifty basis points. Two: gearing, and the covenant that sits on top of it. Three: the liability mix, CASA against time deposits against foreign currency, because cost of funds follows the mix. Four: commodity beta, crude to margin to working capital. Then you write one sentence a machine should not write for you: what you will hedge, what you will hold, and what you will tell the board if the AI valuation cycle turns.</w:t>
      </w:r>
    </w:p>
    <w:p>
      <w:pPr>
        <w:spacing w:after="160"/>
      </w:pPr>
      <w:r>
        <w:rPr>
          <w:rFonts w:ascii="Calibri" w:cs="Calibri" w:eastAsia="Calibri" w:hAnsi="Calibri"/>
          <w:sz w:val="24"/>
          <w:szCs w:val="24"/>
        </w:rPr>
        <w:t xml:space="preserve">AI generates. Data informs. Finance measures. Accounting verifies. Human judgment decides. That is the close. I am Dr. Debasis Pahi's classroom voice for Future CFO_DP. We will be here tomorrow.</w:t>
      </w:r>
    </w:p>
    <w:sectPr>
      <w:headerReference w:type="default" r:id="rId6"/>
      <w:footerReference w:type="default" r:id="rId7"/>
      <w:pgSz w:w="11906" w:h="16838" w:orient="portrait"/>
      <w:pgMar w:top="1008" w:right="1080" w:bottom="1008"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sz w:val="18"/>
        <w:szCs w:val="18"/>
      </w:rPr>
      <w:t xml:space="preserve">Created and Copyright by Dr. Debasis Pahi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sz w:val="18"/>
        <w:szCs w:val="18"/>
      </w:rPr>
      <w:t xml:space="preserve">Future CFO_DP · Daily script · 5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2026-10-05T00:37:55.505Z</dcterms:created>
  <dcterms:modified xsi:type="dcterms:W3CDTF">2026-10-05T00:37:55.505Z</dcterms:modified>
</cp:coreProperties>
</file>

<file path=docProps/custom.xml><?xml version="1.0" encoding="utf-8"?>
<Properties xmlns="http://schemas.openxmlformats.org/officeDocument/2006/custom-properties" xmlns:vt="http://schemas.openxmlformats.org/officeDocument/2006/docPropsVTypes"/>
</file>