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0B1F3A"/>
          <w:sz w:val="32"/>
          <w:szCs w:val="32"/>
        </w:rPr>
        <w:t xml:space="preserve">Future CFO_DP — Daily narration script</w:t>
      </w:r>
    </w:p>
    <w:p>
      <w:pPr>
        <w:spacing w:after="200"/>
      </w:pPr>
      <w:r>
        <w:rPr>
          <w:rFonts w:ascii="Calibri" w:cs="Calibri" w:eastAsia="Calibri" w:hAnsi="Calibri"/>
          <w:i/>
          <w:iCs/>
          <w:color w:val="0E7C7B"/>
          <w:sz w:val="22"/>
          <w:szCs w:val="22"/>
        </w:rPr>
        <w:t xml:space="preserve">5 October 2026  ·  Indian English  ·  about 7.5 minutes</w:t>
      </w:r>
    </w:p>
    <w:p>
      <w:pPr>
        <w:spacing w:after="200"/>
      </w:pPr>
      <w:r>
        <w:rPr>
          <w:rFonts w:ascii="Calibri" w:cs="Calibri" w:eastAsia="Calibri" w:hAnsi="Calibri"/>
          <w:sz w:val="22"/>
          <w:szCs w:val="22"/>
        </w:rPr>
        <w:t xml:space="preserve">Title: The rate did not move. The risk did.</w:t>
      </w:r>
    </w:p>
    <w:p>
      <w:pPr>
        <w:spacing w:after="280"/>
      </w:pPr>
      <w:r>
        <w:rPr>
          <w:rFonts w:ascii="Calibri" w:cs="Calibri" w:eastAsia="Calibri" w:hAnsi="Calibri"/>
          <w:i/>
          <w:iCs/>
          <w:color w:val="5C6B7A"/>
          <w:sz w:val="20"/>
          <w:szCs w:val="20"/>
        </w:rPr>
        <w:t xml:space="preserve">Voice: Naksh, Indian English male. Brand: Future CFO_DP. Created and Copyright by Dr. Debasis Pahi.</w:t>
      </w:r>
    </w:p>
    <w:p>
      <w:pPr>
        <w:spacing w:after="200" w:line="360"/>
      </w:pPr>
      <w:r>
        <w:rPr>
          <w:rFonts w:ascii="Calibri" w:cs="Calibri" w:eastAsia="Calibri" w:hAnsi="Calibri"/>
          <w:sz w:val="24"/>
          <w:szCs w:val="24"/>
        </w:rPr>
        <w:t xml:space="preserve">The rate did not move. The risk did.</w:t>
      </w:r>
    </w:p>
    <w:p>
      <w:pPr>
        <w:spacing w:after="200" w:line="360"/>
      </w:pPr>
      <w:r>
        <w:rPr>
          <w:rFonts w:ascii="Calibri" w:cs="Calibri" w:eastAsia="Calibri" w:hAnsi="Calibri"/>
          <w:sz w:val="24"/>
          <w:szCs w:val="24"/>
        </w:rPr>
        <w:t xml:space="preserve">Good morning. This is Future CFO_DP for Monday, the fifth of October, 2026. I am speaking to business students who want the finance seat, not the slideshow seat.</w:t>
      </w:r>
    </w:p>
    <w:p>
      <w:pPr>
        <w:spacing w:after="200" w:line="360"/>
      </w:pPr>
      <w:r>
        <w:rPr>
          <w:rFonts w:ascii="Calibri" w:cs="Calibri" w:eastAsia="Calibri" w:hAnsi="Calibri"/>
          <w:sz w:val="24"/>
          <w:szCs w:val="24"/>
        </w:rPr>
        <w:t xml:space="preserve">Over the weekend the trade press reported that the Reserve Bank of India’s Monetary Policy Committee had again left the policy repo rate at 5.25 per cent, and had kept a neutral stance. Businessworld’s CFO World described it as the fourth consecutive pause after the February 2026 hold. Lenders called that useful. Borrowing costs stay predictable. Credit to retail and MSME books can keep moving. That part is real, and a treasurer should bank it.</w:t>
      </w:r>
    </w:p>
    <w:p>
      <w:pPr>
        <w:spacing w:after="200" w:line="360"/>
      </w:pPr>
      <w:r>
        <w:rPr>
          <w:rFonts w:ascii="Calibri" w:cs="Calibri" w:eastAsia="Calibri" w:hAnsi="Calibri"/>
          <w:sz w:val="24"/>
          <w:szCs w:val="24"/>
        </w:rPr>
        <w:t xml:space="preserve">It is not the whole story.</w:t>
      </w:r>
    </w:p>
    <w:p>
      <w:pPr>
        <w:spacing w:after="200" w:line="360"/>
      </w:pPr>
      <w:r>
        <w:rPr>
          <w:rFonts w:ascii="Calibri" w:cs="Calibri" w:eastAsia="Calibri" w:hAnsi="Calibri"/>
          <w:sz w:val="24"/>
          <w:szCs w:val="24"/>
        </w:rPr>
        <w:t xml:space="preserve">On Saturday, at the Fifth Kautilya Economic Conclave, Governor Sanjay Malhotra said India’s financial system remains resilient, with healthy balance sheets across banks and non-banks. Then he said the sentence you should write at the top of a board pack. Today’s resilience may not necessarily imply tomorrow’s immunity. He pointed to the West Asia conflict, higher commodity prices, elevated global debt, stretched valuations — particularly in anything tied to artificial intelligence — private credit, and cyber threats that AI itself makes worse. The Economic Times carried those remarks on the fourth of October. The same page showed the Nifty at 22,421.95, down 198.5. One session is not a trend. It is enough to stop you saying markets are calm because the repo did not move.</w:t>
      </w:r>
    </w:p>
    <w:p>
      <w:pPr>
        <w:spacing w:after="200" w:line="360"/>
      </w:pPr>
      <w:r>
        <w:rPr>
          <w:rFonts w:ascii="Calibri" w:cs="Calibri" w:eastAsia="Calibri" w:hAnsi="Calibri"/>
          <w:sz w:val="24"/>
          <w:szCs w:val="24"/>
        </w:rPr>
        <w:t xml:space="preserve">So here is the Monday question. A plant director wants a one hundred and forty crore rupee press line signed on Wednesday, because the cost of money, he says, has not changed. You are the CFO of a teaching firm we call Godavari Precision Components. It is not a real company. The habit we are practising is real.</w:t>
      </w:r>
    </w:p>
    <w:p>
      <w:pPr>
        <w:spacing w:after="200" w:line="360"/>
      </w:pPr>
      <w:r>
        <w:rPr>
          <w:rFonts w:ascii="Calibri" w:cs="Calibri" w:eastAsia="Calibri" w:hAnsi="Calibri"/>
          <w:sz w:val="24"/>
          <w:szCs w:val="24"/>
        </w:rPr>
        <w:t xml:space="preserve">Separate three kinds of number.</w:t>
      </w:r>
    </w:p>
    <w:p>
      <w:pPr>
        <w:spacing w:after="200" w:line="360"/>
      </w:pPr>
      <w:r>
        <w:rPr>
          <w:rFonts w:ascii="Calibri" w:cs="Calibri" w:eastAsia="Calibri" w:hAnsi="Calibri"/>
          <w:sz w:val="24"/>
          <w:szCs w:val="24"/>
        </w:rPr>
        <w:t xml:space="preserve">First, primary policy. The last full resolution on the desk, from the third to the fifth of August 2026, set the repo at 5.25 per cent, the standing deposit facility at 5.00, and the marginal standing facility and the Bank Rate at 5.50, with a neutral stance. Until you have read the October resolution PDF, that corridor is what you footnote. One line in the weekend magazine puts the deposit facility at 5.5 per cent. That conflicts with August. Do not quote it.</w:t>
      </w:r>
    </w:p>
    <w:p>
      <w:pPr>
        <w:spacing w:after="200" w:line="360"/>
      </w:pPr>
      <w:r>
        <w:rPr>
          <w:rFonts w:ascii="Calibri" w:cs="Calibri" w:eastAsia="Calibri" w:hAnsi="Calibri"/>
          <w:sz w:val="24"/>
          <w:szCs w:val="24"/>
        </w:rPr>
        <w:t xml:space="preserve">Second, named commentary. Shilpa Bhatter, CFO of UGRO Capital, said CPI inflation projected at 4.6 per cent for FY27, and core around 4.4, keeps real rates modestly positive. She also flagged two plumbing changes that may matter more than the hold itself: NBFCs in the term money market, and easier onboarding on the TReDS receivables platform. MSMEs, she noted, are nearly 30 per cent of GDP. Vinod Francis, CFO of South Indian Bank, said the hold was data-led, that West Asia commodities are an upside risk to inflation, and that steady rates should support retail and MSME credit. Arun Poddar of Choice International put growth at 6.7 to 6.9 per cent and forex reserves close to 697 billion dollars. Useful. Labelled. Not a resolution.</w:t>
      </w:r>
    </w:p>
    <w:p>
      <w:pPr>
        <w:spacing w:after="200" w:line="360"/>
      </w:pPr>
      <w:r>
        <w:rPr>
          <w:rFonts w:ascii="Calibri" w:cs="Calibri" w:eastAsia="Calibri" w:hAnsi="Calibri"/>
          <w:sz w:val="24"/>
          <w:szCs w:val="24"/>
        </w:rPr>
        <w:t xml:space="preserve">Third, system comfort. On the fourth of October, Business Today reported that Crisil Ratings thinks India Inc can absorb a hike of up to 50 basis points. Balance sheets are stronger. Leverage is lower. Earlier hike cycles did limited damage to sector credit profiles. Some sectors can still feel it. That sentence is about the median firm. It is not a covenant waiver for yours.</w:t>
      </w:r>
    </w:p>
    <w:p>
      <w:pPr>
        <w:spacing w:after="200" w:line="360"/>
      </w:pPr>
      <w:r>
        <w:rPr>
          <w:rFonts w:ascii="Calibri" w:cs="Calibri" w:eastAsia="Calibri" w:hAnsi="Calibri"/>
          <w:sz w:val="24"/>
          <w:szCs w:val="24"/>
        </w:rPr>
        <w:t xml:space="preserve">Now run the arithmetic a model will skip, because the repo input did not change.</w:t>
      </w:r>
    </w:p>
    <w:p>
      <w:pPr>
        <w:spacing w:after="200" w:line="360"/>
      </w:pPr>
      <w:r>
        <w:rPr>
          <w:rFonts w:ascii="Calibri" w:cs="Calibri" w:eastAsia="Calibri" w:hAnsi="Calibri"/>
          <w:sz w:val="24"/>
          <w:szCs w:val="24"/>
        </w:rPr>
        <w:t xml:space="preserve">In the teaching file, debt is 460 crore, equity book is 900, so debt is about 34 per cent of capital. Tax is 25 per cent. The floating coupon is 9.4 per cent. Cost of equity is 13.2. Weighted average cost of capital lands near 11.1 per cent. Close to the 11 the plant director froze in August.</w:t>
      </w:r>
    </w:p>
    <w:p>
      <w:pPr>
        <w:spacing w:after="200" w:line="360"/>
      </w:pPr>
      <w:r>
        <w:rPr>
          <w:rFonts w:ascii="Calibri" w:cs="Calibri" w:eastAsia="Calibri" w:hAnsi="Calibri"/>
          <w:sz w:val="24"/>
          <w:szCs w:val="24"/>
        </w:rPr>
        <w:t xml:space="preserve">Leave the repo at 5.25 and still move the hurdle rate. A pure 50 basis point benchmark pass-through, Crisil’s what-if, barely shifts WACC, to about 11.2. Add a 40 basis point wider credit spread and a higher equity risk premium, and you are nearer 11.5 to 12. On 322 crore of floating debt, 90 basis points of all-in increase is about 2.9 crore of extra annual interest. Interest cover slips from 5.1 times to about 4.8. The covenant floor is 3. Still fine. Not nothing.</w:t>
      </w:r>
    </w:p>
    <w:p>
      <w:pPr>
        <w:spacing w:after="200" w:line="360"/>
      </w:pPr>
      <w:r>
        <w:rPr>
          <w:rFonts w:ascii="Calibri" w:cs="Calibri" w:eastAsia="Calibri" w:hAnsi="Calibri"/>
          <w:sz w:val="24"/>
          <w:szCs w:val="24"/>
        </w:rPr>
        <w:t xml:space="preserve">Then look at the line that never enters WACC. About 22 per cent of cost is imported, aluminium alloys and electronics, and the dollar payables are only partly hedged for 90 days. Call the exposed cost roughly 280 crore. A 12 per cent adverse move in the landed rupee cost — metal plus currency — is about 34 crore. Larger than the interest hit. Malhotra’s West Asia sentence belongs in the gross-margin bridge.</w:t>
      </w:r>
    </w:p>
    <w:p>
      <w:pPr>
        <w:spacing w:after="200" w:line="360"/>
      </w:pPr>
      <w:r>
        <w:rPr>
          <w:rFonts w:ascii="Calibri" w:cs="Calibri" w:eastAsia="Calibri" w:hAnsi="Calibri"/>
          <w:sz w:val="24"/>
          <w:szCs w:val="24"/>
        </w:rPr>
        <w:t xml:space="preserve">That is the judgement. Three options, each with an owner. Approve the press line, but gate the second drawdown on a hedge policy. Defer a quarter, extend the floating book while the pause lasts, and put a collar on the metal. Or order only the long-lead tooling from cash, and come back after two dates you already have: the GST Council meeting reported for the seventh of October, and the day the October resolution is actually in the data room.</w:t>
      </w:r>
    </w:p>
    <w:p>
      <w:pPr>
        <w:spacing w:after="200" w:line="360"/>
      </w:pPr>
      <w:r>
        <w:rPr>
          <w:rFonts w:ascii="Calibri" w:cs="Calibri" w:eastAsia="Calibri" w:hAnsi="Calibri"/>
          <w:sz w:val="24"/>
          <w:szCs w:val="24"/>
        </w:rPr>
        <w:t xml:space="preserve">There is a fourth option you will not put on the page. The RBI held, so we are fine.</w:t>
      </w:r>
    </w:p>
    <w:p>
      <w:pPr>
        <w:spacing w:after="200" w:line="360"/>
      </w:pPr>
      <w:r>
        <w:rPr>
          <w:rFonts w:ascii="Calibri" w:cs="Calibri" w:eastAsia="Calibri" w:hAnsi="Calibri"/>
          <w:sz w:val="24"/>
          <w:szCs w:val="24"/>
        </w:rPr>
        <w:t xml:space="preserve">Arvind Kumar Talan, CFO of Energy Efficiency Services, has a line for that option. AI does not weaken the CFO. It removes the safety net. A forecasting agent will reprint August, because the repo cell is unchanged. Your job is to notice what the agent was not given: the commodity path, the hedge gap past 90 days, and the difference between a magazine sentence and a resolution.</w:t>
      </w:r>
    </w:p>
    <w:p>
      <w:pPr>
        <w:spacing w:after="200" w:line="360"/>
      </w:pPr>
      <w:r>
        <w:rPr>
          <w:rFonts w:ascii="Calibri" w:cs="Calibri" w:eastAsia="Calibri" w:hAnsi="Calibri"/>
          <w:sz w:val="24"/>
          <w:szCs w:val="24"/>
        </w:rPr>
        <w:t xml:space="preserve">One more tape, so you do not think this is only a manufacturer’s problem. Through mid-2026, at least eight large banks changed a senior finance or governance officer. The RBI’s 2025 governance directions now require a bank CFO to be a chartered accountant with fifteen years’ experience. In June, Emirates NBD put about 26,850 crore rupees into RBL Bank for a 60 per cent stake. The person across your credit table may be new. The rulebook under them is tighter. Price that.</w:t>
      </w:r>
    </w:p>
    <w:p>
      <w:pPr>
        <w:spacing w:after="200" w:line="360"/>
      </w:pPr>
      <w:r>
        <w:rPr>
          <w:rFonts w:ascii="Calibri" w:cs="Calibri" w:eastAsia="Calibri" w:hAnsi="Calibri"/>
          <w:sz w:val="24"/>
          <w:szCs w:val="24"/>
        </w:rPr>
        <w:t xml:space="preserve">And if your customer is in the top thousand listed firms, SEBI’s BRSR Core assurance phase, from FY 2026-27, will arrive as a purchase-order condition even if your own name is not on the regulation.</w:t>
      </w:r>
    </w:p>
    <w:p>
      <w:pPr>
        <w:spacing w:after="200" w:line="360"/>
      </w:pPr>
      <w:r>
        <w:rPr>
          <w:rFonts w:ascii="Calibri" w:cs="Calibri" w:eastAsia="Calibri" w:hAnsi="Calibri"/>
          <w:sz w:val="24"/>
          <w:szCs w:val="24"/>
        </w:rPr>
        <w:t xml:space="preserve">So the close is short.</w:t>
      </w:r>
    </w:p>
    <w:p>
      <w:pPr>
        <w:spacing w:after="200" w:line="360"/>
      </w:pPr>
      <w:r>
        <w:rPr>
          <w:rFonts w:ascii="Calibri" w:cs="Calibri" w:eastAsia="Calibri" w:hAnsi="Calibri"/>
          <w:sz w:val="24"/>
          <w:szCs w:val="24"/>
        </w:rPr>
        <w:t xml:space="preserve">Hold the rate in the model. Do not hold the world. Read the primary document before you quote the corridor. Put the commodity shock next to the interest shock, and see which one actually decides the project. Let the machine draft. You decide.</w:t>
      </w:r>
    </w:p>
    <w:p>
      <w:pPr>
        <w:spacing w:after="200" w:line="360"/>
      </w:pPr>
      <w:r>
        <w:rPr>
          <w:rFonts w:ascii="Calibri" w:cs="Calibri" w:eastAsia="Calibri" w:hAnsi="Calibri"/>
          <w:sz w:val="24"/>
          <w:szCs w:val="24"/>
        </w:rPr>
        <w:t xml:space="preserve">This was Future CFO_DP. Created and copyright by Dr Debasis Pahi. Preparing business students for the AI-powered economy.</w:t>
      </w:r>
    </w:p>
    <w:p>
      <w:pPr>
        <w:spacing w:after="200" w:line="360"/>
      </w:pPr>
      <w:r>
        <w:rPr>
          <w:rFonts w:ascii="Calibri" w:cs="Calibri" w:eastAsia="Calibri" w:hAnsi="Calibri"/>
          <w:sz w:val="24"/>
          <w:szCs w:val="24"/>
        </w:rPr>
        <w:t xml:space="preserve">AI generates. Data informs. Finance measures. Accounting verifies. Human judgement decides. </w:t>
      </w:r>
    </w:p>
    <w:p>
      <w:pPr>
        <w:pBdr>
          <w:top w:val="single" w:color="C4A35A" w:sz="8" w:space="8"/>
        </w:pBdr>
        <w:spacing w:before="300"/>
      </w:pPr>
      <w:r>
        <w:rPr>
          <w:rFonts w:ascii="Calibri" w:cs="Calibri" w:eastAsia="Calibri" w:hAnsi="Calibri"/>
          <w:i/>
          <w:iCs/>
          <w:color w:val="5C6B7A"/>
          <w:sz w:val="18"/>
          <w:szCs w:val="18"/>
        </w:rPr>
        <w:t xml:space="preserve">Sources named in the script: RBI Monetary Policy Statement, 3–5 August 2026; BW CFO World, ~4–5 October 2026; The Economic Times, 4 October 2026; Business Today / Crisil, 4 October 2026; BW People, September 2026; ETCFO, 22 December 2025.</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C6B7A"/>
        <w:sz w:val="18"/>
        <w:szCs w:val="18"/>
      </w:rPr>
      <w:t xml:space="preserve">Created and Copyright by Dr. Debasis Pahi  ·  Page </w:t>
    </w:r>
    <w:r>
      <w:rPr>
        <w:rFonts w:ascii="Calibri" w:cs="Calibri" w:eastAsia="Calibri" w:hAnsi="Calibri"/>
        <w:color w:val="5C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0B1F3A"/>
        <w:sz w:val="18"/>
        <w:szCs w:val="18"/>
      </w:rPr>
      <w:t xml:space="preserve">Future CFO_DP  ·  Narration script  ·  5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CFO_DP Daily Script 2026-10-05</dc:title>
  <dc:creator>Dr. Debasis Pahi</dc:creator>
  <cp:lastModifiedBy>Un-named</cp:lastModifiedBy>
  <cp:revision>1</cp:revision>
  <dcterms:created xsi:type="dcterms:W3CDTF">2026-10-05T00:39:42.211Z</dcterms:created>
  <dcterms:modified xsi:type="dcterms:W3CDTF">2026-10-05T00:39:42.211Z</dcterms:modified>
</cp:coreProperties>
</file>

<file path=docProps/custom.xml><?xml version="1.0" encoding="utf-8"?>
<Properties xmlns="http://schemas.openxmlformats.org/officeDocument/2006/custom-properties" xmlns:vt="http://schemas.openxmlformats.org/officeDocument/2006/docPropsVTypes"/>
</file>