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6fxiynwr0aa5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KPLABS</w:t>
      </w:r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 Course </w:t>
      </w:r>
    </w:p>
    <w:p w:rsidR="00000000" w:rsidDel="00000000" w:rsidP="00000000" w:rsidRDefault="00000000" w:rsidRPr="00000000" w14:paraId="00000003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ed8c8ns4fgez" w:id="2"/>
      <w:bookmarkEnd w:id="2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HashiCorp Certified: Terraform Associate</w:t>
      </w:r>
    </w:p>
    <w:p w:rsidR="00000000" w:rsidDel="00000000" w:rsidP="00000000" w:rsidRDefault="00000000" w:rsidRPr="00000000" w14:paraId="00000005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color w:val="595959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8"/>
          <w:szCs w:val="48"/>
          <w:rtl w:val="0"/>
        </w:rPr>
        <w:t xml:space="preserve">Domain 3 - Terraform Provisioners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49zr39fjsidi" w:id="3"/>
      <w:bookmarkEnd w:id="3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ISSUED BY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Zeal</w:t>
      </w:r>
    </w:p>
    <w:p w:rsidR="00000000" w:rsidDel="00000000" w:rsidP="00000000" w:rsidRDefault="00000000" w:rsidRPr="00000000" w14:paraId="00000013">
      <w:pPr>
        <w:spacing w:line="312" w:lineRule="auto"/>
        <w:ind w:left="-6.666666666666762" w:hanging="83.33333333333323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7yzzupsqdvc" w:id="4"/>
      <w:bookmarkEnd w:id="4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REPRESENTATIVE</w:t>
      </w:r>
    </w:p>
    <w:p w:rsidR="00000000" w:rsidDel="00000000" w:rsidP="00000000" w:rsidRDefault="00000000" w:rsidRPr="00000000" w14:paraId="00000015">
      <w:pPr>
        <w:spacing w:line="312" w:lineRule="auto"/>
        <w:rPr/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instructors@kplabs.in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="312" w:lineRule="auto"/>
        <w:ind w:left="-6.666666666666762" w:firstLine="0"/>
        <w:rPr/>
      </w:pPr>
      <w:bookmarkStart w:colFirst="0" w:colLast="0" w:name="_9sw3g3xehmtc" w:id="5"/>
      <w:bookmarkEnd w:id="5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x4bhoe14uzw9" w:id="6"/>
      <w:bookmarkEnd w:id="6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1: Understanding Provisioners in Terraform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1.1 Understanding the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Till now we have been working only on the creation and destruction of infrastructure scenarios.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Let’s take an example: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 created a web-server EC2 instance with Terraform.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Problem:  It is only an EC2 instance, it does not have any software installed.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What if we want a complete end to end solution?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1.2 Introducing Terraform Provisioners</w:t>
      </w:r>
    </w:p>
    <w:p w:rsidR="00000000" w:rsidDel="00000000" w:rsidP="00000000" w:rsidRDefault="00000000" w:rsidRPr="00000000" w14:paraId="0000003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Provisioners are used to execute scripts on a local or remote machine as part of resource creation or destruction.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Let’s take an example: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On creation of Web-Server, execute a script which installs Nginx web-server.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0563" cy="1038591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038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u3dns13c4t2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rlhwxne230w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7mk3o0zg4mg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258p7gjzwyn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yel64to695gh" w:id="11"/>
      <w:bookmarkEnd w:id="11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2: Types of Provisioners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Terraform has the capability to turn provisioners both at the time of resource creation as well as destruction.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There are two main types of provisioners: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7932" cy="1452563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7932" cy="145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2.1 Local Exec Provisioners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local-exec provisioners allow us to invoke a local executable after the resource is created.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One of the most used approaches of local-exec is to run ansible-playbooks on the created server after the resource is created.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Let’s take an example: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provisioner "local-exec"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command = "echo ${aws_instance.web.private_ip} &gt;&gt; private_ips.txt"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2.2 Remote Exec Provisioners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Remote-exec provisioners allow invoking scripts directly on the remote server.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Let’s take an example: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resource "aws_instance" "web"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# …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provisioner "remote-exec"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…………………………...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30"/>
          <w:szCs w:val="30"/>
        </w:rPr>
      </w:pPr>
      <w:bookmarkStart w:colFirst="0" w:colLast="0" w:name="_wauwhhdgvjf7" w:id="12"/>
      <w:bookmarkEnd w:id="12"/>
      <w:r w:rsidDel="00000000" w:rsidR="00000000" w:rsidRPr="00000000">
        <w:rPr>
          <w:rFonts w:ascii="Lato" w:cs="Lato" w:eastAsia="Lato" w:hAnsi="Lato"/>
          <w:b w:val="1"/>
          <w:color w:val="1a1a1a"/>
          <w:sz w:val="30"/>
          <w:szCs w:val="30"/>
          <w:rtl w:val="0"/>
        </w:rPr>
        <w:t xml:space="preserve">Module 3: Provisioner Types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There are two primary types of provisioners:</w:t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If when = destroy is specified, the provisioner will run when the resource it is defined within is destroyed.</w:t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4318099" cy="2042425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099" cy="204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Lato" w:cs="Lato" w:eastAsia="Lato" w:hAnsi="Lato"/>
          <w:b w:val="1"/>
          <w:color w:val="1a1a1a"/>
          <w:sz w:val="30"/>
          <w:szCs w:val="30"/>
        </w:rPr>
      </w:pPr>
      <w:r w:rsidDel="00000000" w:rsidR="00000000" w:rsidRPr="00000000">
        <w:rPr>
          <w:rFonts w:ascii="Lato" w:cs="Lato" w:eastAsia="Lato" w:hAnsi="Lato"/>
          <w:b w:val="1"/>
          <w:color w:val="1a1a1a"/>
          <w:sz w:val="30"/>
          <w:szCs w:val="30"/>
          <w:rtl w:val="0"/>
        </w:rPr>
        <w:t xml:space="preserve">Module 4: Failure Behavior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By default, provisioners that fail will also cause the terraform apply itself to fail.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on_failure setting can be used to change this. The allowed values are: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13" Type="http://schemas.openxmlformats.org/officeDocument/2006/relationships/image" Target="media/image3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mailto:instructors@kplabs.in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