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4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4 - Terraform Modules &amp; Workspaces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g9pjb7xdfbs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the DRY principle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software engineering, don't repeat yourself (DRY) is a principle of software development aimed at reducing repetition of software patterns.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earlier lecture, we were making static content into variables so that there can be a single source of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9050" distT="19050" distL="19050" distR="19050">
            <wp:extent cx="4894274" cy="2018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274" cy="201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Generic Scenario: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do repeat multiple times various terraform resources for multiple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EC2 Resource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resource "aws_instance" "myweb" {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 ami = "ami-bf5540df"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instance_type = "t2.micro"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security_groups = ["default"]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Instead of repeating a resource block multiple times, we can make use of a centralized structure.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Centralized Structure: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can centralize the terraform resources and can call out from TF files whenever required.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223072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22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uiwfegvjfw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bc3j47qgacx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oyd4tet0oc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wjufw3skqb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yjx5hxeeh4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xxz4w3lgz0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sax34difb4cl" w:id="14"/>
      <w:bookmarkEnd w:id="1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l9a9zgdbh2t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6xcph7kcuulz" w:id="16"/>
      <w:bookmarkEnd w:id="1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Challenges with Terraform Modules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One common need for infrastructure management is to build environments like staging, production with a similar setup but keeping environment variables different.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3738" cy="1176561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17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When we use modules directly, the resources will be a replica of code in the module.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18960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8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ppfih88na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9ikc9lg5is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a06yygjazt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8rz5qpacbr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3f535f24uc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5hr132gd1o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867rdhhmqj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1yyuqymjnaf5" w:id="24"/>
      <w:bookmarkEnd w:id="2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Terraform Registry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Terraform Registry is a repository of modules written by the Terraform community.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registry can help you get started with Terraform more quickly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9050" distT="19050" distL="19050" distR="19050">
            <wp:extent cx="4508924" cy="18962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924" cy="18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Module Location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we intend to use a module, we need to define the path where the module files are present.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module files can be stored in multiple locations, some of these include: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Path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Registry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URLs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Verified Modules in Terraform Registry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Within Terraform Registry, you can find verified modules that are maintained by various third-party vendors.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These modules are available for various resources like AWS VPC, RDS, ELB, and others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9050" distT="19050" distL="19050" distR="19050">
            <wp:extent cx="4100513" cy="1496133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49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Verified modules are reviewed by HashiCorp and actively maintained by contributors to stay up-to-date and compatible with both Terraform and their respective providers.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blue verification badge appears next to modules that are verified.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 verification is currently a manual process restricted to a small group of trusted HashiCorp partners.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3.3 Using Registry Modules in Terraform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use Terraform Registry module within the code, we can make use of the source argument that contains the module path.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Below code references to the EC2 Instance module within terraform registry.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module "ec2-instance"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source  = "terraform-aws-modules/ec2-instance/aws"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version = "2.13.0"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# insert the 10 required variables here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ws8m3zedy0v8" w:id="25"/>
      <w:bookmarkEnd w:id="2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Terraform Workspace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Terraform allows us to have multiple workspaces, with each of the workspaces we can have a different set of environment variables associated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99383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9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Terraform starts with a single workspace named "default".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 workspace is special both because it is the default and also because it cannot ever be deleted.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you've never explicitly used workspaces, then you've only ever worked on the "default" workspace.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Workspaces are managed with the terraform workspace set of commands.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To create a new workspace and switch to it, you can use terraform workspace new; to switch workspaces you can use terraform workspace select; etc.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4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jpg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