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6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6 - Security Primer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wn2o88ofyt14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 Provider Configuration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now, we have been hardcoding the aws-region parameter within the providers.tf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means that resources would be created in the region specified in the providers.tf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default, resources use a default provider configuration inferred from the first word of the resource type name.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example, a resource of type aws_instance uses the default (un-aliased) aws provider configuration unless otherwise stated.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select an aliased provider for a resource or data source, set its provider meta-argument to a &lt;PROVIDER NAME&gt;.&lt;ALIAS&gt; reference: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107203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07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gkh4k3ly7s4v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Handling Multiple AWS Profiles in Terraform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can optionally define multiple configurations for the same provider, and select which one to use on a per-resource or per-module basis.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primary reason for this is to support multiple regions for a cloud platform.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include multiple configurations for a given provider, include multiple provider blocks with the same provider name, but set the alias meta-argument to an alias name to use for each additional configuration. For 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2413" cy="177079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77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provider block without alias set is known as the default provider configuration.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an alias is set, it creates an additional provider configuration.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providers that have no required configuration arguments, the implied empty configuration is considered to be the default provider configuration.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pc09a70hlo2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Sensitive Parameter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 the organization managing its entire infrastructure in terraform, it is likely that you will see some sensitive information embedded in the code.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working with a field that contains information likely to be considered sensitive, it is best to set the Sensitive property on its schema to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9050" distT="19050" distL="19050" distR="19050">
            <wp:extent cx="4262438" cy="118284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18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Setting the sensitive to “true” will prevent the field's values from showing up in CLI output and in Terraform Cloud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will not encrypt or obscure the value in the state, however.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9050" distT="19050" distL="19050" distR="19050">
            <wp:extent cx="5681051" cy="1443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051" cy="14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