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07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5"/>
        <w:gridCol w:w="6315"/>
        <w:tblGridChange w:id="0">
          <w:tblGrid>
            <w:gridCol w:w="10755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c9daf8" w:val="clear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cfe2f3" w:val="clear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769.15999999999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cfe2f3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Перевірити, що застосунок відтворює відео на дисплеї 1920х1080 (1 тест-кейс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0e0e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0e0e3" w:val="clear"/>
                <w:rtl w:val="0"/>
              </w:rPr>
              <w:t xml:space="preserve">Перевірити, що застосунок відтворює відео на дисплеях всіх розмірів, вказаних увимогах (4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  <w:shd w:fill="d0e0e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 вважаю що умова наявності  різної розподільної здатності і є розподілом на класи еквівалентності.Достатньо протестувати будь які пристрій з групи з указаними розподільними здатностями.</w:t>
            </w:r>
          </w:p>
        </w:tc>
      </w:tr>
      <w:tr>
        <w:trPr>
          <w:cantSplit w:val="0"/>
          <w:trHeight w:val="2157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-15.000000000000213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-15.000000000000213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-15.000000000000213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Вимоги: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Поле коментарів включає букви,символи та цифри від 3 до 50 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Мінімальний розмір зображення має бути 32 КВ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Максимальний розмір зображення має бути 2 МВ</w:t>
            </w:r>
          </w:p>
        </w:tc>
      </w:tr>
      <w:tr>
        <w:trPr>
          <w:cantSplit w:val="0"/>
          <w:trHeight w:val="675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