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AED88" w14:textId="02C23DBD" w:rsidR="00F66501" w:rsidRPr="0039036B" w:rsidRDefault="00000000" w:rsidP="0039036B">
      <w:pPr>
        <w:pStyle w:val="BodyText"/>
        <w:tabs>
          <w:tab w:val="left" w:pos="2770"/>
        </w:tabs>
        <w:ind w:left="0"/>
        <w:jc w:val="center"/>
        <w:rPr>
          <w:rFonts w:ascii="Arial Black" w:hAnsi="Arial Black"/>
          <w:b/>
          <w:color w:val="365F91"/>
          <w:spacing w:val="-2"/>
          <w:sz w:val="48"/>
          <w:szCs w:val="48"/>
        </w:rPr>
      </w:pPr>
      <w:r w:rsidRPr="0039036B">
        <w:rPr>
          <w:rFonts w:ascii="Arial Black" w:hAnsi="Arial Black"/>
          <w:noProof/>
          <w:sz w:val="48"/>
          <w:szCs w:val="48"/>
        </w:rPr>
        <mc:AlternateContent>
          <mc:Choice Requires="wpg">
            <w:drawing>
              <wp:anchor distT="0" distB="0" distL="0" distR="0" simplePos="0" relativeHeight="251656704" behindDoc="1" locked="0" layoutInCell="1" allowOverlap="1" wp14:anchorId="097B9B57" wp14:editId="6603008A">
                <wp:simplePos x="0" y="0"/>
                <wp:positionH relativeFrom="page">
                  <wp:posOffset>307847</wp:posOffset>
                </wp:positionH>
                <wp:positionV relativeFrom="page">
                  <wp:posOffset>228600</wp:posOffset>
                </wp:positionV>
                <wp:extent cx="7162800" cy="95281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528175"/>
                          <a:chOff x="0" y="0"/>
                          <a:chExt cx="7162800" cy="9528175"/>
                        </a:xfrm>
                      </wpg:grpSpPr>
                      <wps:wsp>
                        <wps:cNvPr id="2" name="Graphic 2"/>
                        <wps:cNvSpPr/>
                        <wps:spPr>
                          <a:xfrm>
                            <a:off x="5917691" y="0"/>
                            <a:ext cx="45085" cy="75565"/>
                          </a:xfrm>
                          <a:custGeom>
                            <a:avLst/>
                            <a:gdLst/>
                            <a:ahLst/>
                            <a:cxnLst/>
                            <a:rect l="l" t="t" r="r" b="b"/>
                            <a:pathLst>
                              <a:path w="45085" h="75565">
                                <a:moveTo>
                                  <a:pt x="45085" y="0"/>
                                </a:moveTo>
                                <a:lnTo>
                                  <a:pt x="0" y="0"/>
                                </a:lnTo>
                                <a:lnTo>
                                  <a:pt x="0" y="75565"/>
                                </a:lnTo>
                                <a:lnTo>
                                  <a:pt x="45085" y="75565"/>
                                </a:lnTo>
                                <a:lnTo>
                                  <a:pt x="45085" y="0"/>
                                </a:lnTo>
                                <a:close/>
                              </a:path>
                            </a:pathLst>
                          </a:custGeom>
                          <a:solidFill>
                            <a:srgbClr val="4F81BC"/>
                          </a:solidFill>
                        </wps:spPr>
                        <wps:bodyPr wrap="square" lIns="0" tIns="0" rIns="0" bIns="0" rtlCol="0">
                          <a:prstTxWarp prst="textNoShape">
                            <a:avLst/>
                          </a:prstTxWarp>
                          <a:noAutofit/>
                        </wps:bodyPr>
                      </wps:wsp>
                      <wps:wsp>
                        <wps:cNvPr id="3" name="Graphic 3"/>
                        <wps:cNvSpPr/>
                        <wps:spPr>
                          <a:xfrm>
                            <a:off x="0" y="79247"/>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7EA118" id="Group 1" o:spid="_x0000_s1026" style="position:absolute;margin-left:24.25pt;margin-top:18pt;width:564pt;height:750.25pt;z-index:-251659776;mso-wrap-distance-left:0;mso-wrap-distance-right:0;mso-position-horizontal-relative:page;mso-position-vertical-relative:page" coordsize="71628,95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">
                <v:shape id="Graphic 2" o:spid="_x0000_s1027" style="position:absolute;left:59176;width:451;height:755;visibility:visible;mso-wrap-style:square;v-text-anchor:top" coordsize="4508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" path="m45085,l,,,75565r45085,l45085,xe" fillcolor="#4f81bc" stroked="f">
                  <v:path arrowok="t"/>
                </v:shape>
                <v:shape id="Graphic 3" o:spid="_x0000_s1028" style="position:absolute;top:792;width:71628;height:94488;visibility:visible;mso-wrap-style:square;v-text-anchor:top" coordsize="716280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v:shape>
                <w10:wrap anchorx="page" anchory="page"/>
              </v:group>
            </w:pict>
          </mc:Fallback>
        </mc:AlternateContent>
      </w:r>
      <w:r w:rsidRPr="0039036B">
        <w:rPr>
          <w:rFonts w:ascii="Arial Black" w:hAnsi="Arial Black"/>
          <w:b/>
          <w:noProof/>
          <w:sz w:val="48"/>
          <w:szCs w:val="48"/>
        </w:rPr>
        <mc:AlternateContent>
          <mc:Choice Requires="wps">
            <w:drawing>
              <wp:anchor distT="0" distB="0" distL="0" distR="0" simplePos="0" relativeHeight="251660800" behindDoc="1" locked="0" layoutInCell="1" allowOverlap="1" wp14:anchorId="2B13A0C9" wp14:editId="2B0C1005">
                <wp:simplePos x="0" y="0"/>
                <wp:positionH relativeFrom="page">
                  <wp:posOffset>307848</wp:posOffset>
                </wp:positionH>
                <wp:positionV relativeFrom="page">
                  <wp:posOffset>307847</wp:posOffset>
                </wp:positionV>
                <wp:extent cx="7162800" cy="94488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67F863" id="Graphic 5" o:spid="_x0000_s1026" style="position:absolute;margin-left:24.25pt;margin-top:24.25pt;width:564pt;height:744pt;z-index:-251655680;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bookmarkStart w:id="0" w:name="Intrinsic_Equity_Valuation_of_Infosys_Lt"/>
      <w:bookmarkEnd w:id="0"/>
      <w:r w:rsidRPr="0039036B">
        <w:rPr>
          <w:rFonts w:ascii="Arial Black" w:hAnsi="Arial Black"/>
          <w:b/>
          <w:color w:val="365F91"/>
          <w:sz w:val="48"/>
          <w:szCs w:val="48"/>
        </w:rPr>
        <w:t>Intrinsic</w:t>
      </w:r>
      <w:r w:rsidRPr="0039036B">
        <w:rPr>
          <w:rFonts w:ascii="Arial Black" w:hAnsi="Arial Black"/>
          <w:b/>
          <w:color w:val="365F91"/>
          <w:spacing w:val="-4"/>
          <w:sz w:val="48"/>
          <w:szCs w:val="48"/>
        </w:rPr>
        <w:t xml:space="preserve"> </w:t>
      </w:r>
      <w:r w:rsidRPr="0039036B">
        <w:rPr>
          <w:rFonts w:ascii="Arial Black" w:hAnsi="Arial Black"/>
          <w:b/>
          <w:color w:val="365F91"/>
          <w:sz w:val="48"/>
          <w:szCs w:val="48"/>
        </w:rPr>
        <w:t>Equity</w:t>
      </w:r>
      <w:r w:rsidRPr="0039036B">
        <w:rPr>
          <w:rFonts w:ascii="Arial Black" w:hAnsi="Arial Black"/>
          <w:b/>
          <w:color w:val="365F91"/>
          <w:spacing w:val="-3"/>
          <w:sz w:val="48"/>
          <w:szCs w:val="48"/>
        </w:rPr>
        <w:t xml:space="preserve"> </w:t>
      </w:r>
      <w:r w:rsidRPr="0039036B">
        <w:rPr>
          <w:rFonts w:ascii="Arial Black" w:hAnsi="Arial Black"/>
          <w:b/>
          <w:color w:val="365F91"/>
          <w:sz w:val="48"/>
          <w:szCs w:val="48"/>
        </w:rPr>
        <w:t>Valuation</w:t>
      </w:r>
      <w:r w:rsidRPr="0039036B">
        <w:rPr>
          <w:rFonts w:ascii="Arial Black" w:hAnsi="Arial Black"/>
          <w:b/>
          <w:color w:val="365F91"/>
          <w:spacing w:val="-3"/>
          <w:sz w:val="48"/>
          <w:szCs w:val="48"/>
        </w:rPr>
        <w:t xml:space="preserve"> </w:t>
      </w:r>
      <w:r w:rsidRPr="0039036B">
        <w:rPr>
          <w:rFonts w:ascii="Arial Black" w:hAnsi="Arial Black"/>
          <w:b/>
          <w:color w:val="365F91"/>
          <w:sz w:val="48"/>
          <w:szCs w:val="48"/>
        </w:rPr>
        <w:t>of</w:t>
      </w:r>
      <w:r w:rsidRPr="0039036B">
        <w:rPr>
          <w:rFonts w:ascii="Arial Black" w:hAnsi="Arial Black"/>
          <w:b/>
          <w:color w:val="365F91"/>
          <w:spacing w:val="-6"/>
          <w:sz w:val="48"/>
          <w:szCs w:val="48"/>
        </w:rPr>
        <w:t xml:space="preserve"> </w:t>
      </w:r>
      <w:r w:rsidRPr="0039036B">
        <w:rPr>
          <w:rFonts w:ascii="Arial Black" w:hAnsi="Arial Black"/>
          <w:b/>
          <w:color w:val="365F91"/>
          <w:sz w:val="48"/>
          <w:szCs w:val="48"/>
        </w:rPr>
        <w:t>Infosys</w:t>
      </w:r>
      <w:r w:rsidRPr="0039036B">
        <w:rPr>
          <w:rFonts w:ascii="Arial Black" w:hAnsi="Arial Black"/>
          <w:b/>
          <w:color w:val="365F91"/>
          <w:spacing w:val="-5"/>
          <w:sz w:val="48"/>
          <w:szCs w:val="48"/>
        </w:rPr>
        <w:t xml:space="preserve"> </w:t>
      </w:r>
      <w:r w:rsidRPr="0039036B">
        <w:rPr>
          <w:rFonts w:ascii="Arial Black" w:hAnsi="Arial Black"/>
          <w:b/>
          <w:color w:val="365F91"/>
          <w:sz w:val="48"/>
          <w:szCs w:val="48"/>
        </w:rPr>
        <w:t>Ltd.</w:t>
      </w:r>
      <w:r w:rsidRPr="0039036B">
        <w:rPr>
          <w:rFonts w:ascii="Arial Black" w:hAnsi="Arial Black"/>
          <w:b/>
          <w:color w:val="365F91"/>
          <w:spacing w:val="-2"/>
          <w:sz w:val="48"/>
          <w:szCs w:val="48"/>
        </w:rPr>
        <w:t xml:space="preserve"> </w:t>
      </w:r>
      <w:r w:rsidRPr="0039036B">
        <w:rPr>
          <w:rFonts w:ascii="Arial Black" w:hAnsi="Arial Black"/>
          <w:b/>
          <w:color w:val="365F91"/>
          <w:sz w:val="48"/>
          <w:szCs w:val="48"/>
        </w:rPr>
        <w:t>Using</w:t>
      </w:r>
      <w:r w:rsidRPr="0039036B">
        <w:rPr>
          <w:rFonts w:ascii="Arial Black" w:hAnsi="Arial Black"/>
          <w:b/>
          <w:color w:val="365F91"/>
          <w:spacing w:val="-3"/>
          <w:sz w:val="48"/>
          <w:szCs w:val="48"/>
        </w:rPr>
        <w:t xml:space="preserve"> </w:t>
      </w:r>
      <w:r w:rsidRPr="0039036B">
        <w:rPr>
          <w:rFonts w:ascii="Arial Black" w:hAnsi="Arial Black"/>
          <w:b/>
          <w:color w:val="365F91"/>
          <w:sz w:val="48"/>
          <w:szCs w:val="48"/>
        </w:rPr>
        <w:t>the</w:t>
      </w:r>
      <w:r w:rsidRPr="0039036B">
        <w:rPr>
          <w:rFonts w:ascii="Arial Black" w:hAnsi="Arial Black"/>
          <w:b/>
          <w:color w:val="365F91"/>
          <w:spacing w:val="-4"/>
          <w:sz w:val="48"/>
          <w:szCs w:val="48"/>
        </w:rPr>
        <w:t xml:space="preserve"> </w:t>
      </w:r>
      <w:r w:rsidRPr="0039036B">
        <w:rPr>
          <w:rFonts w:ascii="Arial Black" w:hAnsi="Arial Black"/>
          <w:b/>
          <w:color w:val="365F91"/>
          <w:sz w:val="48"/>
          <w:szCs w:val="48"/>
        </w:rPr>
        <w:t>Free</w:t>
      </w:r>
      <w:r w:rsidRPr="0039036B">
        <w:rPr>
          <w:rFonts w:ascii="Arial Black" w:hAnsi="Arial Black"/>
          <w:b/>
          <w:color w:val="365F91"/>
          <w:spacing w:val="-4"/>
          <w:sz w:val="48"/>
          <w:szCs w:val="48"/>
        </w:rPr>
        <w:t xml:space="preserve"> </w:t>
      </w:r>
      <w:r w:rsidRPr="0039036B">
        <w:rPr>
          <w:rFonts w:ascii="Arial Black" w:hAnsi="Arial Black"/>
          <w:b/>
          <w:color w:val="365F91"/>
          <w:sz w:val="48"/>
          <w:szCs w:val="48"/>
        </w:rPr>
        <w:t>Cash</w:t>
      </w:r>
      <w:r w:rsidRPr="0039036B">
        <w:rPr>
          <w:rFonts w:ascii="Arial Black" w:hAnsi="Arial Black"/>
          <w:b/>
          <w:color w:val="365F91"/>
          <w:spacing w:val="-3"/>
          <w:sz w:val="48"/>
          <w:szCs w:val="48"/>
        </w:rPr>
        <w:t xml:space="preserve"> </w:t>
      </w:r>
      <w:r w:rsidRPr="0039036B">
        <w:rPr>
          <w:rFonts w:ascii="Arial Black" w:hAnsi="Arial Black"/>
          <w:b/>
          <w:color w:val="365F91"/>
          <w:sz w:val="48"/>
          <w:szCs w:val="48"/>
        </w:rPr>
        <w:t>Flow</w:t>
      </w:r>
      <w:r w:rsidRPr="0039036B">
        <w:rPr>
          <w:rFonts w:ascii="Arial Black" w:hAnsi="Arial Black"/>
          <w:b/>
          <w:color w:val="365F91"/>
          <w:spacing w:val="-4"/>
          <w:sz w:val="48"/>
          <w:szCs w:val="48"/>
        </w:rPr>
        <w:t xml:space="preserve"> </w:t>
      </w:r>
      <w:r w:rsidRPr="0039036B">
        <w:rPr>
          <w:rFonts w:ascii="Arial Black" w:hAnsi="Arial Black"/>
          <w:b/>
          <w:color w:val="365F91"/>
          <w:sz w:val="48"/>
          <w:szCs w:val="48"/>
        </w:rPr>
        <w:t>to</w:t>
      </w:r>
      <w:r w:rsidRPr="0039036B">
        <w:rPr>
          <w:rFonts w:ascii="Arial Black" w:hAnsi="Arial Black"/>
          <w:b/>
          <w:color w:val="365F91"/>
          <w:spacing w:val="-3"/>
          <w:sz w:val="48"/>
          <w:szCs w:val="48"/>
        </w:rPr>
        <w:t xml:space="preserve"> </w:t>
      </w:r>
      <w:r w:rsidRPr="0039036B">
        <w:rPr>
          <w:rFonts w:ascii="Arial Black" w:hAnsi="Arial Black"/>
          <w:b/>
          <w:color w:val="365F91"/>
          <w:sz w:val="48"/>
          <w:szCs w:val="48"/>
        </w:rPr>
        <w:t>Equity</w:t>
      </w:r>
      <w:r w:rsidRPr="0039036B">
        <w:rPr>
          <w:rFonts w:ascii="Arial Black" w:hAnsi="Arial Black"/>
          <w:b/>
          <w:color w:val="365F91"/>
          <w:spacing w:val="-8"/>
          <w:sz w:val="48"/>
          <w:szCs w:val="48"/>
        </w:rPr>
        <w:t xml:space="preserve"> </w:t>
      </w:r>
      <w:r w:rsidRPr="0039036B">
        <w:rPr>
          <w:rFonts w:ascii="Arial Black" w:hAnsi="Arial Black"/>
          <w:b/>
          <w:color w:val="365F91"/>
          <w:sz w:val="48"/>
          <w:szCs w:val="48"/>
        </w:rPr>
        <w:t xml:space="preserve">(FCFE) </w:t>
      </w:r>
      <w:r w:rsidRPr="0039036B">
        <w:rPr>
          <w:rFonts w:ascii="Arial Black" w:hAnsi="Arial Black"/>
          <w:b/>
          <w:color w:val="365F91"/>
          <w:spacing w:val="-2"/>
          <w:sz w:val="48"/>
          <w:szCs w:val="48"/>
        </w:rPr>
        <w:t>Model</w:t>
      </w:r>
    </w:p>
    <w:p w14:paraId="282A8878" w14:textId="77777777" w:rsidR="0039036B" w:rsidRPr="0039036B" w:rsidRDefault="0039036B" w:rsidP="0039036B">
      <w:pPr>
        <w:pStyle w:val="BodyText"/>
        <w:tabs>
          <w:tab w:val="left" w:pos="2770"/>
        </w:tabs>
        <w:ind w:left="0"/>
        <w:rPr>
          <w:b/>
          <w:sz w:val="44"/>
          <w:szCs w:val="44"/>
        </w:rPr>
      </w:pPr>
    </w:p>
    <w:p w14:paraId="304730A8" w14:textId="77777777" w:rsidR="00F66501" w:rsidRPr="0039036B" w:rsidRDefault="00000000">
      <w:pPr>
        <w:pStyle w:val="Heading1"/>
        <w:spacing w:before="238"/>
        <w:rPr>
          <w:sz w:val="32"/>
          <w:szCs w:val="32"/>
        </w:rPr>
      </w:pPr>
      <w:r w:rsidRPr="0039036B">
        <w:rPr>
          <w:sz w:val="32"/>
          <w:szCs w:val="32"/>
        </w:rPr>
        <w:t>Table</w:t>
      </w:r>
      <w:r w:rsidRPr="0039036B">
        <w:rPr>
          <w:spacing w:val="-3"/>
          <w:sz w:val="32"/>
          <w:szCs w:val="32"/>
        </w:rPr>
        <w:t xml:space="preserve"> </w:t>
      </w:r>
      <w:r w:rsidRPr="0039036B">
        <w:rPr>
          <w:sz w:val="32"/>
          <w:szCs w:val="32"/>
        </w:rPr>
        <w:t>of</w:t>
      </w:r>
      <w:r w:rsidRPr="0039036B">
        <w:rPr>
          <w:spacing w:val="-4"/>
          <w:sz w:val="32"/>
          <w:szCs w:val="32"/>
        </w:rPr>
        <w:t xml:space="preserve"> </w:t>
      </w:r>
      <w:r w:rsidRPr="0039036B">
        <w:rPr>
          <w:spacing w:val="-2"/>
          <w:sz w:val="32"/>
          <w:szCs w:val="32"/>
        </w:rPr>
        <w:t>Contents</w:t>
      </w:r>
    </w:p>
    <w:sdt>
      <w:sdtPr>
        <w:id w:val="706693037"/>
        <w:docPartObj>
          <w:docPartGallery w:val="Table of Contents"/>
          <w:docPartUnique/>
        </w:docPartObj>
      </w:sdtPr>
      <w:sdtContent>
        <w:p w14:paraId="362263FD" w14:textId="77777777" w:rsidR="00F66501" w:rsidRDefault="00F66501">
          <w:pPr>
            <w:pStyle w:val="TOC1"/>
            <w:tabs>
              <w:tab w:val="right" w:leader="dot" w:pos="10074"/>
            </w:tabs>
            <w:spacing w:before="137"/>
            <w:ind w:left="720" w:firstLine="0"/>
          </w:pPr>
          <w:hyperlink w:anchor="_bookmark0" w:history="1">
            <w:r>
              <w:rPr>
                <w:spacing w:val="-2"/>
              </w:rPr>
              <w:t>Introduction</w:t>
            </w:r>
            <w:r>
              <w:tab/>
            </w:r>
            <w:r>
              <w:rPr>
                <w:spacing w:val="-10"/>
              </w:rPr>
              <w:t>1</w:t>
            </w:r>
          </w:hyperlink>
        </w:p>
        <w:p w14:paraId="6062BB46" w14:textId="77777777" w:rsidR="00F66501" w:rsidRDefault="00F66501">
          <w:pPr>
            <w:pStyle w:val="TOC1"/>
            <w:numPr>
              <w:ilvl w:val="0"/>
              <w:numId w:val="3"/>
            </w:numPr>
            <w:tabs>
              <w:tab w:val="left" w:pos="964"/>
              <w:tab w:val="right" w:leader="dot" w:pos="10074"/>
            </w:tabs>
            <w:ind w:hanging="244"/>
          </w:pPr>
          <w:hyperlink w:anchor="_bookmark1" w:history="1">
            <w:r>
              <w:t>Research</w:t>
            </w:r>
            <w:r>
              <w:rPr>
                <w:spacing w:val="-11"/>
              </w:rPr>
              <w:t xml:space="preserve"> </w:t>
            </w:r>
            <w:r>
              <w:rPr>
                <w:spacing w:val="-2"/>
              </w:rPr>
              <w:t>Methodology</w:t>
            </w:r>
            <w:r>
              <w:tab/>
            </w:r>
            <w:r>
              <w:rPr>
                <w:spacing w:val="-10"/>
              </w:rPr>
              <w:t>1</w:t>
            </w:r>
          </w:hyperlink>
        </w:p>
        <w:p w14:paraId="46B74884" w14:textId="77777777" w:rsidR="00F66501" w:rsidRDefault="00F66501">
          <w:pPr>
            <w:pStyle w:val="TOC2"/>
            <w:numPr>
              <w:ilvl w:val="1"/>
              <w:numId w:val="3"/>
            </w:numPr>
            <w:tabs>
              <w:tab w:val="left" w:pos="1305"/>
              <w:tab w:val="right" w:leader="dot" w:pos="10074"/>
            </w:tabs>
            <w:ind w:hanging="364"/>
          </w:pPr>
          <w:hyperlink w:anchor="_bookmark2" w:history="1">
            <w:r>
              <w:t>Valuation</w:t>
            </w:r>
            <w:r>
              <w:rPr>
                <w:spacing w:val="-7"/>
              </w:rPr>
              <w:t xml:space="preserve"> </w:t>
            </w:r>
            <w:r>
              <w:t>Model</w:t>
            </w:r>
            <w:r>
              <w:rPr>
                <w:spacing w:val="-9"/>
              </w:rPr>
              <w:t xml:space="preserve"> </w:t>
            </w:r>
            <w:r>
              <w:rPr>
                <w:spacing w:val="-2"/>
              </w:rPr>
              <w:t>Selection</w:t>
            </w:r>
            <w:r>
              <w:tab/>
            </w:r>
            <w:r>
              <w:rPr>
                <w:spacing w:val="-12"/>
              </w:rPr>
              <w:t>2</w:t>
            </w:r>
          </w:hyperlink>
        </w:p>
        <w:p w14:paraId="0065D2DD" w14:textId="77777777" w:rsidR="00F66501" w:rsidRDefault="00F66501">
          <w:pPr>
            <w:pStyle w:val="TOC2"/>
            <w:numPr>
              <w:ilvl w:val="1"/>
              <w:numId w:val="3"/>
            </w:numPr>
            <w:tabs>
              <w:tab w:val="left" w:pos="1305"/>
              <w:tab w:val="right" w:leader="dot" w:pos="10074"/>
            </w:tabs>
            <w:spacing w:before="237"/>
            <w:ind w:hanging="364"/>
          </w:pPr>
          <w:hyperlink w:anchor="_bookmark3" w:history="1">
            <w:r>
              <w:t>Data</w:t>
            </w:r>
            <w:r>
              <w:rPr>
                <w:spacing w:val="-2"/>
              </w:rPr>
              <w:t xml:space="preserve"> </w:t>
            </w:r>
            <w:r>
              <w:t>Sources</w:t>
            </w:r>
            <w:r>
              <w:rPr>
                <w:spacing w:val="-3"/>
              </w:rPr>
              <w:t xml:space="preserve"> </w:t>
            </w:r>
            <w:r>
              <w:t>and</w:t>
            </w:r>
            <w:r>
              <w:rPr>
                <w:spacing w:val="-1"/>
              </w:rPr>
              <w:t xml:space="preserve"> </w:t>
            </w:r>
            <w:r>
              <w:t>Key</w:t>
            </w:r>
            <w:r>
              <w:rPr>
                <w:spacing w:val="-5"/>
              </w:rPr>
              <w:t xml:space="preserve"> </w:t>
            </w:r>
            <w:r>
              <w:rPr>
                <w:spacing w:val="-2"/>
              </w:rPr>
              <w:t>Assumptions</w:t>
            </w:r>
            <w:r>
              <w:tab/>
            </w:r>
            <w:r>
              <w:rPr>
                <w:spacing w:val="-10"/>
              </w:rPr>
              <w:t>2</w:t>
            </w:r>
          </w:hyperlink>
        </w:p>
        <w:p w14:paraId="5D5712C5" w14:textId="77777777" w:rsidR="00F66501" w:rsidRDefault="00F66501">
          <w:pPr>
            <w:pStyle w:val="TOC2"/>
            <w:numPr>
              <w:ilvl w:val="1"/>
              <w:numId w:val="3"/>
            </w:numPr>
            <w:tabs>
              <w:tab w:val="left" w:pos="1305"/>
              <w:tab w:val="right" w:leader="dot" w:pos="10074"/>
            </w:tabs>
            <w:ind w:hanging="364"/>
          </w:pPr>
          <w:hyperlink w:anchor="_bookmark4" w:history="1">
            <w:r>
              <w:t>Forecast</w:t>
            </w:r>
            <w:r>
              <w:rPr>
                <w:spacing w:val="1"/>
              </w:rPr>
              <w:t xml:space="preserve"> </w:t>
            </w:r>
            <w:r>
              <w:t>Period</w:t>
            </w:r>
            <w:r>
              <w:rPr>
                <w:spacing w:val="-3"/>
              </w:rPr>
              <w:t xml:space="preserve"> </w:t>
            </w:r>
            <w:r>
              <w:t>and</w:t>
            </w:r>
            <w:r>
              <w:rPr>
                <w:spacing w:val="-4"/>
              </w:rPr>
              <w:t xml:space="preserve"> </w:t>
            </w:r>
            <w:r>
              <w:t>Terminal</w:t>
            </w:r>
            <w:r>
              <w:rPr>
                <w:spacing w:val="-11"/>
              </w:rPr>
              <w:t xml:space="preserve"> </w:t>
            </w:r>
            <w:r>
              <w:t>Value</w:t>
            </w:r>
            <w:r>
              <w:rPr>
                <w:spacing w:val="-4"/>
              </w:rPr>
              <w:t xml:space="preserve"> </w:t>
            </w:r>
            <w:r>
              <w:rPr>
                <w:spacing w:val="-2"/>
              </w:rPr>
              <w:t>Estimation</w:t>
            </w:r>
            <w:r>
              <w:tab/>
            </w:r>
            <w:r>
              <w:rPr>
                <w:spacing w:val="-10"/>
              </w:rPr>
              <w:t>3</w:t>
            </w:r>
          </w:hyperlink>
        </w:p>
        <w:p w14:paraId="7077E908" w14:textId="77777777" w:rsidR="00F66501" w:rsidRDefault="00F66501">
          <w:pPr>
            <w:pStyle w:val="TOC1"/>
            <w:numPr>
              <w:ilvl w:val="0"/>
              <w:numId w:val="3"/>
            </w:numPr>
            <w:tabs>
              <w:tab w:val="left" w:pos="964"/>
              <w:tab w:val="right" w:leader="dot" w:pos="10074"/>
            </w:tabs>
            <w:spacing w:before="237"/>
            <w:ind w:hanging="244"/>
          </w:pPr>
          <w:hyperlink w:anchor="_bookmark5" w:history="1">
            <w:r>
              <w:t>Numerical</w:t>
            </w:r>
            <w:r>
              <w:rPr>
                <w:spacing w:val="-11"/>
              </w:rPr>
              <w:t xml:space="preserve"> </w:t>
            </w:r>
            <w:r>
              <w:rPr>
                <w:spacing w:val="-2"/>
              </w:rPr>
              <w:t>Results</w:t>
            </w:r>
            <w:r>
              <w:tab/>
            </w:r>
            <w:r>
              <w:rPr>
                <w:spacing w:val="-10"/>
              </w:rPr>
              <w:t>3</w:t>
            </w:r>
          </w:hyperlink>
        </w:p>
        <w:p w14:paraId="4333BB7C" w14:textId="77777777" w:rsidR="00F66501" w:rsidRDefault="00F66501">
          <w:pPr>
            <w:pStyle w:val="TOC2"/>
            <w:numPr>
              <w:ilvl w:val="1"/>
              <w:numId w:val="3"/>
            </w:numPr>
            <w:tabs>
              <w:tab w:val="left" w:pos="1305"/>
              <w:tab w:val="right" w:leader="dot" w:pos="10074"/>
            </w:tabs>
            <w:spacing w:before="239"/>
            <w:ind w:hanging="364"/>
          </w:pPr>
          <w:hyperlink w:anchor="_bookmark6" w:history="1">
            <w:r>
              <w:t>Projected</w:t>
            </w:r>
            <w:r>
              <w:rPr>
                <w:spacing w:val="-3"/>
              </w:rPr>
              <w:t xml:space="preserve"> </w:t>
            </w:r>
            <w:r>
              <w:t>Free</w:t>
            </w:r>
            <w:r>
              <w:rPr>
                <w:spacing w:val="-4"/>
              </w:rPr>
              <w:t xml:space="preserve"> </w:t>
            </w:r>
            <w:r>
              <w:t>Cash</w:t>
            </w:r>
            <w:r>
              <w:rPr>
                <w:spacing w:val="-7"/>
              </w:rPr>
              <w:t xml:space="preserve"> </w:t>
            </w:r>
            <w:r>
              <w:t>Flows</w:t>
            </w:r>
            <w:r>
              <w:rPr>
                <w:spacing w:val="-5"/>
              </w:rPr>
              <w:t xml:space="preserve"> </w:t>
            </w:r>
            <w:r>
              <w:rPr>
                <w:spacing w:val="-2"/>
              </w:rPr>
              <w:t>(FCFE)</w:t>
            </w:r>
            <w:r>
              <w:tab/>
            </w:r>
            <w:r>
              <w:rPr>
                <w:spacing w:val="-10"/>
              </w:rPr>
              <w:t>3</w:t>
            </w:r>
          </w:hyperlink>
        </w:p>
        <w:p w14:paraId="32AC6D52" w14:textId="77777777" w:rsidR="00F66501" w:rsidRDefault="00F66501">
          <w:pPr>
            <w:pStyle w:val="TOC2"/>
            <w:numPr>
              <w:ilvl w:val="1"/>
              <w:numId w:val="3"/>
            </w:numPr>
            <w:tabs>
              <w:tab w:val="left" w:pos="1305"/>
              <w:tab w:val="right" w:leader="dot" w:pos="10074"/>
            </w:tabs>
            <w:spacing w:before="237"/>
            <w:ind w:hanging="364"/>
          </w:pPr>
          <w:hyperlink w:anchor="_bookmark7" w:history="1">
            <w:r>
              <w:t>Discount</w:t>
            </w:r>
            <w:r>
              <w:rPr>
                <w:spacing w:val="1"/>
              </w:rPr>
              <w:t xml:space="preserve"> </w:t>
            </w:r>
            <w:r>
              <w:t>Factors</w:t>
            </w:r>
            <w:r>
              <w:rPr>
                <w:spacing w:val="-4"/>
              </w:rPr>
              <w:t xml:space="preserve"> </w:t>
            </w:r>
            <w:r>
              <w:t>and</w:t>
            </w:r>
            <w:r>
              <w:rPr>
                <w:spacing w:val="-3"/>
              </w:rPr>
              <w:t xml:space="preserve"> </w:t>
            </w:r>
            <w:r>
              <w:t>Present</w:t>
            </w:r>
            <w:r>
              <w:rPr>
                <w:spacing w:val="2"/>
              </w:rPr>
              <w:t xml:space="preserve"> </w:t>
            </w:r>
            <w:r>
              <w:t>Value</w:t>
            </w:r>
            <w:r>
              <w:rPr>
                <w:spacing w:val="-4"/>
              </w:rPr>
              <w:t xml:space="preserve"> </w:t>
            </w:r>
            <w:r>
              <w:t>(PV)</w:t>
            </w:r>
            <w:r>
              <w:rPr>
                <w:spacing w:val="-2"/>
              </w:rPr>
              <w:t xml:space="preserve"> </w:t>
            </w:r>
            <w:r>
              <w:t>of</w:t>
            </w:r>
            <w:r>
              <w:rPr>
                <w:spacing w:val="-10"/>
              </w:rPr>
              <w:t xml:space="preserve"> </w:t>
            </w:r>
            <w:r>
              <w:t>Cash</w:t>
            </w:r>
            <w:r>
              <w:rPr>
                <w:spacing w:val="-2"/>
              </w:rPr>
              <w:t xml:space="preserve"> Flows</w:t>
            </w:r>
            <w:r>
              <w:tab/>
            </w:r>
            <w:r>
              <w:rPr>
                <w:spacing w:val="-10"/>
              </w:rPr>
              <w:t>4</w:t>
            </w:r>
          </w:hyperlink>
        </w:p>
        <w:p w14:paraId="1BEAC480" w14:textId="77777777" w:rsidR="00F66501" w:rsidRDefault="00F66501">
          <w:pPr>
            <w:pStyle w:val="TOC2"/>
            <w:numPr>
              <w:ilvl w:val="1"/>
              <w:numId w:val="3"/>
            </w:numPr>
            <w:tabs>
              <w:tab w:val="left" w:pos="1306"/>
              <w:tab w:val="right" w:leader="dot" w:pos="10074"/>
            </w:tabs>
            <w:ind w:left="1306"/>
          </w:pPr>
          <w:hyperlink w:anchor="_bookmark8" w:history="1">
            <w:r>
              <w:t>Equity</w:t>
            </w:r>
            <w:r>
              <w:rPr>
                <w:spacing w:val="-10"/>
              </w:rPr>
              <w:t xml:space="preserve"> </w:t>
            </w:r>
            <w:r>
              <w:t>Valuation</w:t>
            </w:r>
            <w:r>
              <w:rPr>
                <w:spacing w:val="-5"/>
              </w:rPr>
              <w:t xml:space="preserve"> </w:t>
            </w:r>
            <w:r>
              <w:rPr>
                <w:spacing w:val="-2"/>
              </w:rPr>
              <w:t>Summary</w:t>
            </w:r>
            <w:r>
              <w:tab/>
            </w:r>
            <w:r>
              <w:rPr>
                <w:spacing w:val="-10"/>
              </w:rPr>
              <w:t>4</w:t>
            </w:r>
          </w:hyperlink>
        </w:p>
        <w:p w14:paraId="18811095" w14:textId="77777777" w:rsidR="00F66501" w:rsidRDefault="00F66501">
          <w:pPr>
            <w:pStyle w:val="TOC2"/>
            <w:numPr>
              <w:ilvl w:val="1"/>
              <w:numId w:val="3"/>
            </w:numPr>
            <w:tabs>
              <w:tab w:val="left" w:pos="1305"/>
              <w:tab w:val="right" w:leader="dot" w:pos="10074"/>
            </w:tabs>
            <w:ind w:hanging="364"/>
          </w:pPr>
          <w:hyperlink w:anchor="_bookmark9" w:history="1">
            <w:r>
              <w:t>Sensitivity</w:t>
            </w:r>
            <w:r>
              <w:rPr>
                <w:spacing w:val="-14"/>
              </w:rPr>
              <w:t xml:space="preserve"> </w:t>
            </w:r>
            <w:r>
              <w:rPr>
                <w:spacing w:val="-2"/>
              </w:rPr>
              <w:t>Analysis</w:t>
            </w:r>
            <w:r>
              <w:tab/>
            </w:r>
            <w:r>
              <w:rPr>
                <w:spacing w:val="-10"/>
              </w:rPr>
              <w:t>5</w:t>
            </w:r>
          </w:hyperlink>
        </w:p>
        <w:p w14:paraId="2A65F2CE" w14:textId="77777777" w:rsidR="00F66501" w:rsidRDefault="00F66501">
          <w:pPr>
            <w:pStyle w:val="TOC2"/>
            <w:numPr>
              <w:ilvl w:val="1"/>
              <w:numId w:val="3"/>
            </w:numPr>
            <w:tabs>
              <w:tab w:val="left" w:pos="1305"/>
              <w:tab w:val="right" w:leader="dot" w:pos="10074"/>
            </w:tabs>
            <w:ind w:hanging="364"/>
          </w:pPr>
          <w:hyperlink w:anchor="_bookmark10" w:history="1">
            <w:r>
              <w:t>Key</w:t>
            </w:r>
            <w:r>
              <w:rPr>
                <w:spacing w:val="-12"/>
              </w:rPr>
              <w:t xml:space="preserve"> </w:t>
            </w:r>
            <w:r>
              <w:t>Risk</w:t>
            </w:r>
            <w:r>
              <w:rPr>
                <w:spacing w:val="1"/>
              </w:rPr>
              <w:t xml:space="preserve"> </w:t>
            </w:r>
            <w:r>
              <w:rPr>
                <w:spacing w:val="-2"/>
              </w:rPr>
              <w:t>Factors</w:t>
            </w:r>
            <w:r>
              <w:tab/>
            </w:r>
            <w:r>
              <w:rPr>
                <w:spacing w:val="-12"/>
              </w:rPr>
              <w:t>7</w:t>
            </w:r>
          </w:hyperlink>
        </w:p>
        <w:p w14:paraId="2420980A" w14:textId="77777777" w:rsidR="00F66501" w:rsidRDefault="00F66501">
          <w:pPr>
            <w:pStyle w:val="TOC1"/>
            <w:numPr>
              <w:ilvl w:val="0"/>
              <w:numId w:val="3"/>
            </w:numPr>
            <w:tabs>
              <w:tab w:val="left" w:pos="964"/>
              <w:tab w:val="right" w:leader="dot" w:pos="10074"/>
            </w:tabs>
            <w:spacing w:before="242"/>
            <w:ind w:hanging="244"/>
          </w:pPr>
          <w:hyperlink w:anchor="_bookmark11" w:history="1">
            <w:r>
              <w:rPr>
                <w:spacing w:val="-2"/>
              </w:rPr>
              <w:t>Conclusion</w:t>
            </w:r>
            <w:r>
              <w:tab/>
            </w:r>
            <w:r>
              <w:rPr>
                <w:spacing w:val="-10"/>
              </w:rPr>
              <w:t>8</w:t>
            </w:r>
          </w:hyperlink>
        </w:p>
        <w:p w14:paraId="11756AE3" w14:textId="77777777" w:rsidR="00F66501" w:rsidRDefault="00F66501">
          <w:pPr>
            <w:pStyle w:val="TOC1"/>
            <w:numPr>
              <w:ilvl w:val="0"/>
              <w:numId w:val="3"/>
            </w:numPr>
            <w:tabs>
              <w:tab w:val="left" w:pos="902"/>
              <w:tab w:val="right" w:leader="dot" w:pos="10074"/>
            </w:tabs>
            <w:ind w:left="902" w:hanging="182"/>
          </w:pPr>
          <w:hyperlink w:anchor="_bookmark12" w:history="1">
            <w:r>
              <w:rPr>
                <w:spacing w:val="-2"/>
              </w:rPr>
              <w:t>References</w:t>
            </w:r>
            <w:r>
              <w:tab/>
            </w:r>
            <w:r>
              <w:rPr>
                <w:spacing w:val="-10"/>
              </w:rPr>
              <w:t>9</w:t>
            </w:r>
          </w:hyperlink>
        </w:p>
      </w:sdtContent>
    </w:sdt>
    <w:p w14:paraId="6092433B" w14:textId="77777777" w:rsidR="00F66501" w:rsidRDefault="00F66501">
      <w:pPr>
        <w:pStyle w:val="TOC1"/>
        <w:sectPr w:rsidR="00F66501">
          <w:pgSz w:w="12240" w:h="15840"/>
          <w:pgMar w:top="1360" w:right="720" w:bottom="280" w:left="720" w:header="720" w:footer="720" w:gutter="0"/>
          <w:cols w:space="720"/>
        </w:sectPr>
      </w:pPr>
    </w:p>
    <w:p w14:paraId="662A142F" w14:textId="77777777" w:rsidR="00F66501" w:rsidRDefault="00000000">
      <w:pPr>
        <w:pStyle w:val="BodyText"/>
        <w:ind w:left="0"/>
      </w:pPr>
      <w:r>
        <w:rPr>
          <w:noProof/>
        </w:rPr>
        <w:lastRenderedPageBreak/>
        <mc:AlternateContent>
          <mc:Choice Requires="wps">
            <w:drawing>
              <wp:anchor distT="0" distB="0" distL="0" distR="0" simplePos="0" relativeHeight="487357952" behindDoc="1" locked="0" layoutInCell="1" allowOverlap="1" wp14:anchorId="08CF50DC" wp14:editId="145DAE83">
                <wp:simplePos x="0" y="0"/>
                <wp:positionH relativeFrom="page">
                  <wp:posOffset>307848</wp:posOffset>
                </wp:positionH>
                <wp:positionV relativeFrom="page">
                  <wp:posOffset>307847</wp:posOffset>
                </wp:positionV>
                <wp:extent cx="7162800" cy="94488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DEF03C" id="Graphic 7" o:spid="_x0000_s1026" style="position:absolute;margin-left:24.25pt;margin-top:24.25pt;width:564pt;height:744pt;z-index:-15958528;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p w14:paraId="77554289" w14:textId="77777777" w:rsidR="00F66501" w:rsidRDefault="00F66501">
      <w:pPr>
        <w:pStyle w:val="BodyText"/>
        <w:ind w:left="0"/>
      </w:pPr>
    </w:p>
    <w:p w14:paraId="1CE67E74" w14:textId="77777777" w:rsidR="00F66501" w:rsidRDefault="00F66501">
      <w:pPr>
        <w:pStyle w:val="BodyText"/>
        <w:ind w:left="0"/>
      </w:pPr>
    </w:p>
    <w:p w14:paraId="518DE535" w14:textId="77777777" w:rsidR="00F66501" w:rsidRDefault="00F66501">
      <w:pPr>
        <w:pStyle w:val="BodyText"/>
        <w:spacing w:before="117"/>
        <w:ind w:left="0"/>
      </w:pPr>
    </w:p>
    <w:p w14:paraId="4B9EFD84" w14:textId="77777777" w:rsidR="00F66501" w:rsidRDefault="00000000">
      <w:pPr>
        <w:pStyle w:val="Heading1"/>
      </w:pPr>
      <w:bookmarkStart w:id="1" w:name="Introduction"/>
      <w:bookmarkStart w:id="2" w:name="_bookmark0"/>
      <w:bookmarkEnd w:id="1"/>
      <w:bookmarkEnd w:id="2"/>
      <w:r>
        <w:rPr>
          <w:spacing w:val="-2"/>
        </w:rPr>
        <w:t>Introduction</w:t>
      </w:r>
    </w:p>
    <w:p w14:paraId="2D7093EF" w14:textId="77777777" w:rsidR="00F66501" w:rsidRDefault="00000000">
      <w:pPr>
        <w:pStyle w:val="BodyText"/>
        <w:spacing w:before="215" w:line="360" w:lineRule="auto"/>
        <w:ind w:right="758" w:firstLine="720"/>
      </w:pPr>
      <w:r>
        <w:rPr>
          <w:color w:val="0D0F1A"/>
        </w:rPr>
        <w:t>Equity</w:t>
      </w:r>
      <w:r>
        <w:rPr>
          <w:color w:val="0D0F1A"/>
          <w:spacing w:val="-8"/>
        </w:rPr>
        <w:t xml:space="preserve"> </w:t>
      </w:r>
      <w:r>
        <w:rPr>
          <w:color w:val="0D0F1A"/>
        </w:rPr>
        <w:t>valuation</w:t>
      </w:r>
      <w:r>
        <w:rPr>
          <w:color w:val="0D0F1A"/>
          <w:spacing w:val="-4"/>
        </w:rPr>
        <w:t xml:space="preserve"> </w:t>
      </w:r>
      <w:r>
        <w:rPr>
          <w:color w:val="0D0F1A"/>
        </w:rPr>
        <w:t>is</w:t>
      </w:r>
      <w:r>
        <w:rPr>
          <w:color w:val="0D0F1A"/>
          <w:spacing w:val="-6"/>
        </w:rPr>
        <w:t xml:space="preserve"> </w:t>
      </w:r>
      <w:r>
        <w:rPr>
          <w:color w:val="0D0F1A"/>
        </w:rPr>
        <w:t>an</w:t>
      </w:r>
      <w:r>
        <w:rPr>
          <w:color w:val="0D0F1A"/>
          <w:spacing w:val="-8"/>
        </w:rPr>
        <w:t xml:space="preserve"> </w:t>
      </w:r>
      <w:r>
        <w:rPr>
          <w:color w:val="0D0F1A"/>
        </w:rPr>
        <w:t>essential</w:t>
      </w:r>
      <w:r>
        <w:rPr>
          <w:color w:val="0D0F1A"/>
          <w:spacing w:val="-12"/>
        </w:rPr>
        <w:t xml:space="preserve"> </w:t>
      </w:r>
      <w:r>
        <w:rPr>
          <w:color w:val="0D0F1A"/>
        </w:rPr>
        <w:t>process in</w:t>
      </w:r>
      <w:r>
        <w:rPr>
          <w:color w:val="0D0F1A"/>
          <w:spacing w:val="-4"/>
        </w:rPr>
        <w:t xml:space="preserve"> </w:t>
      </w:r>
      <w:r>
        <w:rPr>
          <w:color w:val="0D0F1A"/>
        </w:rPr>
        <w:t>financial</w:t>
      </w:r>
      <w:r>
        <w:rPr>
          <w:color w:val="0D0F1A"/>
          <w:spacing w:val="-4"/>
        </w:rPr>
        <w:t xml:space="preserve"> </w:t>
      </w:r>
      <w:r>
        <w:rPr>
          <w:color w:val="0D0F1A"/>
        </w:rPr>
        <w:t>analysis</w:t>
      </w:r>
      <w:r>
        <w:rPr>
          <w:color w:val="0D0F1A"/>
          <w:spacing w:val="-2"/>
        </w:rPr>
        <w:t xml:space="preserve"> </w:t>
      </w:r>
      <w:r>
        <w:rPr>
          <w:color w:val="0D0F1A"/>
        </w:rPr>
        <w:t>because it helps</w:t>
      </w:r>
      <w:r>
        <w:rPr>
          <w:color w:val="0D0F1A"/>
          <w:spacing w:val="-2"/>
        </w:rPr>
        <w:t xml:space="preserve"> </w:t>
      </w:r>
      <w:r>
        <w:rPr>
          <w:color w:val="0D0F1A"/>
        </w:rPr>
        <w:t>investors, portfolio managers, and corporate executives make informed decisions about allocating resources, assessing investment opportunities, and guiding corporate</w:t>
      </w:r>
      <w:r>
        <w:rPr>
          <w:color w:val="0D0F1A"/>
          <w:spacing w:val="-2"/>
        </w:rPr>
        <w:t xml:space="preserve"> </w:t>
      </w:r>
      <w:r>
        <w:rPr>
          <w:color w:val="0D0F1A"/>
        </w:rPr>
        <w:t xml:space="preserve">strategy. </w:t>
      </w:r>
      <w:r>
        <w:t xml:space="preserve">The Free Cash Flow to Equity model is one of the </w:t>
      </w:r>
      <w:proofErr w:type="gramStart"/>
      <w:r>
        <w:t>most commonly used</w:t>
      </w:r>
      <w:proofErr w:type="gramEnd"/>
      <w:r>
        <w:t xml:space="preserve"> approaches for equity</w:t>
      </w:r>
      <w:r>
        <w:rPr>
          <w:spacing w:val="-1"/>
        </w:rPr>
        <w:t xml:space="preserve"> </w:t>
      </w:r>
      <w:r>
        <w:t>valuation.</w:t>
      </w:r>
    </w:p>
    <w:p w14:paraId="52E80FA4" w14:textId="77777777" w:rsidR="00F66501" w:rsidRDefault="00000000">
      <w:pPr>
        <w:pStyle w:val="BodyText"/>
        <w:spacing w:line="360" w:lineRule="auto"/>
        <w:ind w:right="758"/>
      </w:pPr>
      <w:r>
        <w:t>According</w:t>
      </w:r>
      <w:r>
        <w:rPr>
          <w:spacing w:val="-4"/>
        </w:rPr>
        <w:t xml:space="preserve"> </w:t>
      </w:r>
      <w:r>
        <w:t>to Damodaran</w:t>
      </w:r>
      <w:r>
        <w:rPr>
          <w:spacing w:val="-8"/>
        </w:rPr>
        <w:t xml:space="preserve"> </w:t>
      </w:r>
      <w:r>
        <w:t>(2012),</w:t>
      </w:r>
      <w:r>
        <w:rPr>
          <w:spacing w:val="-6"/>
        </w:rPr>
        <w:t xml:space="preserve"> </w:t>
      </w:r>
      <w:r>
        <w:t>this</w:t>
      </w:r>
      <w:r>
        <w:rPr>
          <w:spacing w:val="-2"/>
        </w:rPr>
        <w:t xml:space="preserve"> </w:t>
      </w:r>
      <w:r>
        <w:t>method</w:t>
      </w:r>
      <w:r>
        <w:rPr>
          <w:spacing w:val="-4"/>
        </w:rPr>
        <w:t xml:space="preserve"> </w:t>
      </w:r>
      <w:proofErr w:type="spellStart"/>
      <w:r>
        <w:t>emphasises</w:t>
      </w:r>
      <w:proofErr w:type="spellEnd"/>
      <w:r>
        <w:rPr>
          <w:spacing w:val="-5"/>
        </w:rPr>
        <w:t xml:space="preserve"> </w:t>
      </w:r>
      <w:r>
        <w:t>the</w:t>
      </w:r>
      <w:r>
        <w:rPr>
          <w:spacing w:val="-5"/>
        </w:rPr>
        <w:t xml:space="preserve"> </w:t>
      </w:r>
      <w:r>
        <w:t>cash</w:t>
      </w:r>
      <w:r>
        <w:rPr>
          <w:spacing w:val="-4"/>
        </w:rPr>
        <w:t xml:space="preserve"> </w:t>
      </w:r>
      <w:proofErr w:type="gramStart"/>
      <w:r>
        <w:t>flows</w:t>
      </w:r>
      <w:proofErr w:type="gramEnd"/>
      <w:r>
        <w:rPr>
          <w:spacing w:val="-6"/>
        </w:rPr>
        <w:t xml:space="preserve"> </w:t>
      </w:r>
      <w:r>
        <w:t xml:space="preserve">that </w:t>
      </w:r>
      <w:proofErr w:type="gramStart"/>
      <w:r>
        <w:t>remain</w:t>
      </w:r>
      <w:proofErr w:type="gramEnd"/>
      <w:r>
        <w:rPr>
          <w:spacing w:val="-4"/>
        </w:rPr>
        <w:t xml:space="preserve"> </w:t>
      </w:r>
      <w:r>
        <w:t>available</w:t>
      </w:r>
      <w:r>
        <w:rPr>
          <w:spacing w:val="-5"/>
        </w:rPr>
        <w:t xml:space="preserve"> </w:t>
      </w:r>
      <w:r>
        <w:t>to equity shareholders after considering operational costs, capital expenditures, and debt obligations</w:t>
      </w:r>
      <w:r>
        <w:rPr>
          <w:color w:val="0D0F1A"/>
        </w:rPr>
        <w:t>. The method above is viable because it provides a more direct and relevant estimate of the value attributable to shareholders, making it useful for equity investors.</w:t>
      </w:r>
    </w:p>
    <w:p w14:paraId="2BACDBEC" w14:textId="77777777" w:rsidR="00F66501" w:rsidRDefault="00000000">
      <w:pPr>
        <w:pStyle w:val="BodyText"/>
        <w:spacing w:before="1" w:line="360" w:lineRule="auto"/>
        <w:ind w:right="758" w:firstLine="720"/>
      </w:pPr>
      <w:r>
        <w:t>This paper will thus focus on Infosys Limited, which is a global leader in technology services and consulting. This company has positioned itself as a key</w:t>
      </w:r>
      <w:r>
        <w:rPr>
          <w:spacing w:val="-2"/>
        </w:rPr>
        <w:t xml:space="preserve"> </w:t>
      </w:r>
      <w:r>
        <w:t>player in the Indian IT sector</w:t>
      </w:r>
      <w:r>
        <w:rPr>
          <w:spacing w:val="-2"/>
        </w:rPr>
        <w:t xml:space="preserve"> </w:t>
      </w:r>
      <w:r>
        <w:t>and</w:t>
      </w:r>
      <w:r>
        <w:rPr>
          <w:spacing w:val="-4"/>
        </w:rPr>
        <w:t xml:space="preserve"> </w:t>
      </w:r>
      <w:r>
        <w:t>offers</w:t>
      </w:r>
      <w:r>
        <w:rPr>
          <w:spacing w:val="-6"/>
        </w:rPr>
        <w:t xml:space="preserve"> </w:t>
      </w:r>
      <w:r>
        <w:t>a</w:t>
      </w:r>
      <w:r>
        <w:rPr>
          <w:spacing w:val="-5"/>
        </w:rPr>
        <w:t xml:space="preserve"> </w:t>
      </w:r>
      <w:r>
        <w:t>range</w:t>
      </w:r>
      <w:r>
        <w:rPr>
          <w:spacing w:val="-4"/>
        </w:rPr>
        <w:t xml:space="preserve"> </w:t>
      </w:r>
      <w:r>
        <w:t>of</w:t>
      </w:r>
      <w:r>
        <w:rPr>
          <w:spacing w:val="-11"/>
        </w:rPr>
        <w:t xml:space="preserve"> </w:t>
      </w:r>
      <w:r>
        <w:t>services, including</w:t>
      </w:r>
      <w:r>
        <w:rPr>
          <w:spacing w:val="-3"/>
        </w:rPr>
        <w:t xml:space="preserve"> </w:t>
      </w:r>
      <w:r>
        <w:t>software</w:t>
      </w:r>
      <w:r>
        <w:rPr>
          <w:spacing w:val="-5"/>
        </w:rPr>
        <w:t xml:space="preserve"> </w:t>
      </w:r>
      <w:r>
        <w:t>development,</w:t>
      </w:r>
      <w:r>
        <w:rPr>
          <w:spacing w:val="-2"/>
        </w:rPr>
        <w:t xml:space="preserve"> </w:t>
      </w:r>
      <w:r>
        <w:t>digital</w:t>
      </w:r>
      <w:r>
        <w:rPr>
          <w:spacing w:val="-12"/>
        </w:rPr>
        <w:t xml:space="preserve"> </w:t>
      </w:r>
      <w:r>
        <w:t>transformation,</w:t>
      </w:r>
      <w:r>
        <w:rPr>
          <w:spacing w:val="-2"/>
        </w:rPr>
        <w:t xml:space="preserve"> </w:t>
      </w:r>
      <w:r>
        <w:t>and consulting. Through these offerings, Infosys has shown consistent revenue growth and operational effectiveness</w:t>
      </w:r>
      <w:r>
        <w:rPr>
          <w:color w:val="0D0F1A"/>
        </w:rPr>
        <w:t xml:space="preserve">. The report from Yahoo fiancé indicates how Infosys is expanding its presence in international markets while also still maintaining its position as a presence in India. </w:t>
      </w:r>
      <w:r>
        <w:t>Infosys</w:t>
      </w:r>
      <w:r>
        <w:rPr>
          <w:spacing w:val="-3"/>
        </w:rPr>
        <w:t xml:space="preserve"> </w:t>
      </w:r>
      <w:r>
        <w:t>Limited (2024) reports</w:t>
      </w:r>
      <w:r>
        <w:rPr>
          <w:spacing w:val="-3"/>
        </w:rPr>
        <w:t xml:space="preserve"> </w:t>
      </w:r>
      <w:r>
        <w:t>indicate</w:t>
      </w:r>
      <w:r>
        <w:rPr>
          <w:spacing w:val="-3"/>
        </w:rPr>
        <w:t xml:space="preserve"> </w:t>
      </w:r>
      <w:r>
        <w:t xml:space="preserve">that </w:t>
      </w:r>
      <w:r>
        <w:rPr>
          <w:color w:val="0D0F1A"/>
        </w:rPr>
        <w:t>it is</w:t>
      </w:r>
      <w:r>
        <w:rPr>
          <w:color w:val="0D0F1A"/>
          <w:spacing w:val="-3"/>
        </w:rPr>
        <w:t xml:space="preserve"> </w:t>
      </w:r>
      <w:r>
        <w:rPr>
          <w:color w:val="0D0F1A"/>
        </w:rPr>
        <w:t>committed</w:t>
      </w:r>
      <w:r>
        <w:rPr>
          <w:color w:val="0D0F1A"/>
          <w:spacing w:val="-6"/>
        </w:rPr>
        <w:t xml:space="preserve"> </w:t>
      </w:r>
      <w:r>
        <w:rPr>
          <w:color w:val="0D0F1A"/>
        </w:rPr>
        <w:t>to innovation</w:t>
      </w:r>
      <w:r>
        <w:rPr>
          <w:color w:val="0D0F1A"/>
          <w:spacing w:val="-6"/>
        </w:rPr>
        <w:t xml:space="preserve"> </w:t>
      </w:r>
      <w:r>
        <w:rPr>
          <w:color w:val="0D0F1A"/>
        </w:rPr>
        <w:t>and</w:t>
      </w:r>
      <w:r>
        <w:rPr>
          <w:color w:val="0D0F1A"/>
          <w:spacing w:val="-1"/>
        </w:rPr>
        <w:t xml:space="preserve"> </w:t>
      </w:r>
      <w:r>
        <w:rPr>
          <w:color w:val="0D0F1A"/>
        </w:rPr>
        <w:t>excellence</w:t>
      </w:r>
      <w:r>
        <w:rPr>
          <w:color w:val="0D0F1A"/>
          <w:spacing w:val="-2"/>
        </w:rPr>
        <w:t xml:space="preserve"> </w:t>
      </w:r>
      <w:r>
        <w:rPr>
          <w:color w:val="0D0F1A"/>
        </w:rPr>
        <w:t>and has a large and diverse client base. These reasons thus make it a relevant subject of</w:t>
      </w:r>
      <w:r>
        <w:rPr>
          <w:color w:val="0D0F1A"/>
          <w:spacing w:val="-3"/>
        </w:rPr>
        <w:t xml:space="preserve"> </w:t>
      </w:r>
      <w:r>
        <w:rPr>
          <w:color w:val="0D0F1A"/>
        </w:rPr>
        <w:t>analysis in the context of equity valuation.</w:t>
      </w:r>
    </w:p>
    <w:p w14:paraId="217DC24E" w14:textId="77777777" w:rsidR="00F66501" w:rsidRDefault="00000000">
      <w:pPr>
        <w:pStyle w:val="BodyText"/>
        <w:spacing w:line="360" w:lineRule="auto"/>
        <w:ind w:right="758" w:firstLine="720"/>
      </w:pPr>
      <w:r>
        <w:rPr>
          <w:color w:val="0D0F1A"/>
        </w:rPr>
        <w:t>This</w:t>
      </w:r>
      <w:r>
        <w:rPr>
          <w:color w:val="0D0F1A"/>
          <w:spacing w:val="-5"/>
        </w:rPr>
        <w:t xml:space="preserve"> </w:t>
      </w:r>
      <w:r>
        <w:rPr>
          <w:color w:val="0D0F1A"/>
        </w:rPr>
        <w:t>report</w:t>
      </w:r>
      <w:r>
        <w:rPr>
          <w:color w:val="0D0F1A"/>
          <w:spacing w:val="-3"/>
        </w:rPr>
        <w:t xml:space="preserve"> </w:t>
      </w:r>
      <w:r>
        <w:rPr>
          <w:color w:val="0D0F1A"/>
        </w:rPr>
        <w:t>aims</w:t>
      </w:r>
      <w:r>
        <w:rPr>
          <w:color w:val="0D0F1A"/>
          <w:spacing w:val="-5"/>
        </w:rPr>
        <w:t xml:space="preserve"> </w:t>
      </w:r>
      <w:r>
        <w:rPr>
          <w:color w:val="0D0F1A"/>
        </w:rPr>
        <w:t>to apply</w:t>
      </w:r>
      <w:r>
        <w:rPr>
          <w:color w:val="0D0F1A"/>
          <w:spacing w:val="-12"/>
        </w:rPr>
        <w:t xml:space="preserve"> </w:t>
      </w:r>
      <w:r>
        <w:rPr>
          <w:color w:val="0D0F1A"/>
        </w:rPr>
        <w:t>the</w:t>
      </w:r>
      <w:r>
        <w:rPr>
          <w:color w:val="0D0F1A"/>
          <w:spacing w:val="-4"/>
        </w:rPr>
        <w:t xml:space="preserve"> </w:t>
      </w:r>
      <w:r>
        <w:rPr>
          <w:color w:val="0D0F1A"/>
        </w:rPr>
        <w:t>FCFE</w:t>
      </w:r>
      <w:r>
        <w:rPr>
          <w:color w:val="0D0F1A"/>
          <w:spacing w:val="-1"/>
        </w:rPr>
        <w:t xml:space="preserve"> </w:t>
      </w:r>
      <w:r>
        <w:rPr>
          <w:color w:val="0D0F1A"/>
        </w:rPr>
        <w:t>valuation</w:t>
      </w:r>
      <w:r>
        <w:rPr>
          <w:color w:val="0D0F1A"/>
          <w:spacing w:val="-3"/>
        </w:rPr>
        <w:t xml:space="preserve"> </w:t>
      </w:r>
      <w:r>
        <w:rPr>
          <w:color w:val="0D0F1A"/>
        </w:rPr>
        <w:t>method</w:t>
      </w:r>
      <w:r>
        <w:rPr>
          <w:color w:val="0D0F1A"/>
          <w:spacing w:val="-12"/>
        </w:rPr>
        <w:t xml:space="preserve"> </w:t>
      </w:r>
      <w:r>
        <w:rPr>
          <w:color w:val="0D0F1A"/>
        </w:rPr>
        <w:t>to Infosys</w:t>
      </w:r>
      <w:r>
        <w:rPr>
          <w:color w:val="0D0F1A"/>
          <w:spacing w:val="-5"/>
        </w:rPr>
        <w:t xml:space="preserve"> </w:t>
      </w:r>
      <w:r>
        <w:rPr>
          <w:color w:val="0D0F1A"/>
        </w:rPr>
        <w:t>Limited</w:t>
      </w:r>
      <w:r>
        <w:rPr>
          <w:color w:val="0D0F1A"/>
          <w:spacing w:val="-3"/>
        </w:rPr>
        <w:t xml:space="preserve"> </w:t>
      </w:r>
      <w:r>
        <w:rPr>
          <w:color w:val="0D0F1A"/>
        </w:rPr>
        <w:t>to determine</w:t>
      </w:r>
      <w:r>
        <w:rPr>
          <w:color w:val="0D0F1A"/>
          <w:spacing w:val="-4"/>
        </w:rPr>
        <w:t xml:space="preserve"> </w:t>
      </w:r>
      <w:r>
        <w:rPr>
          <w:color w:val="0D0F1A"/>
        </w:rPr>
        <w:t>the intrinsic value of its equity. We believe that by</w:t>
      </w:r>
      <w:r>
        <w:rPr>
          <w:color w:val="0D0F1A"/>
          <w:spacing w:val="-3"/>
        </w:rPr>
        <w:t xml:space="preserve"> </w:t>
      </w:r>
      <w:r>
        <w:rPr>
          <w:color w:val="0D0F1A"/>
        </w:rPr>
        <w:t xml:space="preserve">estimating the free cash flows available to shareholders and discounting these cash flows to present value, we will be able to calculate the “true” value per share of Infosys and offer insights into the investment attractiveness of this </w:t>
      </w:r>
      <w:r>
        <w:rPr>
          <w:color w:val="0D0F1A"/>
          <w:spacing w:val="-2"/>
        </w:rPr>
        <w:t>company</w:t>
      </w:r>
      <w:r>
        <w:rPr>
          <w:spacing w:val="-2"/>
        </w:rPr>
        <w:t>.</w:t>
      </w:r>
    </w:p>
    <w:p w14:paraId="7093EE71" w14:textId="77777777" w:rsidR="00F66501" w:rsidRDefault="00F66501">
      <w:pPr>
        <w:pStyle w:val="BodyText"/>
        <w:spacing w:before="88"/>
        <w:ind w:left="0"/>
      </w:pPr>
    </w:p>
    <w:p w14:paraId="762F6985" w14:textId="77777777" w:rsidR="00F66501" w:rsidRDefault="00000000">
      <w:pPr>
        <w:pStyle w:val="Heading1"/>
        <w:numPr>
          <w:ilvl w:val="0"/>
          <w:numId w:val="2"/>
        </w:numPr>
        <w:tabs>
          <w:tab w:val="left" w:pos="964"/>
        </w:tabs>
        <w:ind w:hanging="244"/>
      </w:pPr>
      <w:bookmarkStart w:id="3" w:name="2._Research_Methodology"/>
      <w:bookmarkStart w:id="4" w:name="_bookmark1"/>
      <w:bookmarkEnd w:id="3"/>
      <w:bookmarkEnd w:id="4"/>
      <w:r>
        <w:t>Research</w:t>
      </w:r>
      <w:r>
        <w:rPr>
          <w:spacing w:val="-11"/>
        </w:rPr>
        <w:t xml:space="preserve"> </w:t>
      </w:r>
      <w:r>
        <w:rPr>
          <w:spacing w:val="-2"/>
        </w:rPr>
        <w:t>Methodology</w:t>
      </w:r>
    </w:p>
    <w:p w14:paraId="13F018EB" w14:textId="77777777" w:rsidR="00F66501" w:rsidRDefault="00000000">
      <w:pPr>
        <w:pStyle w:val="BodyText"/>
        <w:spacing w:before="214" w:line="360" w:lineRule="auto"/>
        <w:ind w:right="758"/>
      </w:pPr>
      <w:r>
        <w:t>This</w:t>
      </w:r>
      <w:r>
        <w:rPr>
          <w:spacing w:val="-5"/>
        </w:rPr>
        <w:t xml:space="preserve"> </w:t>
      </w:r>
      <w:r>
        <w:t>analysis</w:t>
      </w:r>
      <w:r>
        <w:rPr>
          <w:spacing w:val="-5"/>
        </w:rPr>
        <w:t xml:space="preserve"> </w:t>
      </w:r>
      <w:r>
        <w:t>adapted a</w:t>
      </w:r>
      <w:r>
        <w:rPr>
          <w:spacing w:val="-4"/>
        </w:rPr>
        <w:t xml:space="preserve"> </w:t>
      </w:r>
      <w:r>
        <w:t>structured</w:t>
      </w:r>
      <w:r>
        <w:rPr>
          <w:spacing w:val="-1"/>
        </w:rPr>
        <w:t xml:space="preserve"> </w:t>
      </w:r>
      <w:r>
        <w:t>approach.</w:t>
      </w:r>
      <w:r>
        <w:rPr>
          <w:spacing w:val="-1"/>
        </w:rPr>
        <w:t xml:space="preserve"> </w:t>
      </w:r>
      <w:r>
        <w:t>This</w:t>
      </w:r>
      <w:r>
        <w:rPr>
          <w:spacing w:val="-1"/>
        </w:rPr>
        <w:t xml:space="preserve"> </w:t>
      </w:r>
      <w:r>
        <w:t>methodology</w:t>
      </w:r>
      <w:r>
        <w:rPr>
          <w:spacing w:val="-8"/>
        </w:rPr>
        <w:t xml:space="preserve"> </w:t>
      </w:r>
      <w:r>
        <w:t>included</w:t>
      </w:r>
      <w:r>
        <w:rPr>
          <w:spacing w:val="-3"/>
        </w:rPr>
        <w:t xml:space="preserve"> </w:t>
      </w:r>
      <w:r>
        <w:t>the</w:t>
      </w:r>
      <w:r>
        <w:rPr>
          <w:spacing w:val="-4"/>
        </w:rPr>
        <w:t xml:space="preserve"> </w:t>
      </w:r>
      <w:r>
        <w:t>selection</w:t>
      </w:r>
      <w:r>
        <w:rPr>
          <w:spacing w:val="-8"/>
        </w:rPr>
        <w:t xml:space="preserve"> </w:t>
      </w:r>
      <w:r>
        <w:t>of</w:t>
      </w:r>
      <w:r>
        <w:rPr>
          <w:spacing w:val="-10"/>
        </w:rPr>
        <w:t xml:space="preserve"> </w:t>
      </w:r>
      <w:r>
        <w:t>the valuation model, identification of relevant data sources, establishment of assumptions, and construction of financial forecasts.</w:t>
      </w:r>
    </w:p>
    <w:p w14:paraId="7CF89DC0" w14:textId="77777777" w:rsidR="00F66501" w:rsidRDefault="00F66501">
      <w:pPr>
        <w:pStyle w:val="BodyText"/>
        <w:spacing w:line="360" w:lineRule="auto"/>
        <w:sectPr w:rsidR="00F66501">
          <w:headerReference w:type="default" r:id="rId8"/>
          <w:pgSz w:w="12240" w:h="15840"/>
          <w:pgMar w:top="980" w:right="720" w:bottom="280" w:left="720" w:header="723" w:footer="0" w:gutter="0"/>
          <w:pgNumType w:start="1"/>
          <w:cols w:space="720"/>
        </w:sectPr>
      </w:pPr>
    </w:p>
    <w:p w14:paraId="68C8B94C" w14:textId="77777777" w:rsidR="00F66501" w:rsidRDefault="00000000">
      <w:pPr>
        <w:pStyle w:val="BodyText"/>
        <w:spacing w:before="172"/>
        <w:ind w:left="0"/>
      </w:pPr>
      <w:r>
        <w:rPr>
          <w:noProof/>
        </w:rPr>
        <w:lastRenderedPageBreak/>
        <mc:AlternateContent>
          <mc:Choice Requires="wps">
            <w:drawing>
              <wp:anchor distT="0" distB="0" distL="0" distR="0" simplePos="0" relativeHeight="487358976" behindDoc="1" locked="0" layoutInCell="1" allowOverlap="1" wp14:anchorId="68FC9FF8" wp14:editId="3E91D8C4">
                <wp:simplePos x="0" y="0"/>
                <wp:positionH relativeFrom="page">
                  <wp:posOffset>307848</wp:posOffset>
                </wp:positionH>
                <wp:positionV relativeFrom="page">
                  <wp:posOffset>307847</wp:posOffset>
                </wp:positionV>
                <wp:extent cx="7162800" cy="94488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6C31D7" id="Graphic 8" o:spid="_x0000_s1026" style="position:absolute;margin-left:24.25pt;margin-top:24.25pt;width:564pt;height:744pt;z-index:-15957504;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p w14:paraId="77797DD6" w14:textId="77777777" w:rsidR="00F66501" w:rsidRDefault="00000000">
      <w:pPr>
        <w:pStyle w:val="Heading1"/>
        <w:numPr>
          <w:ilvl w:val="1"/>
          <w:numId w:val="2"/>
        </w:numPr>
        <w:tabs>
          <w:tab w:val="left" w:pos="1084"/>
        </w:tabs>
        <w:spacing w:before="1"/>
        <w:ind w:hanging="364"/>
      </w:pPr>
      <w:bookmarkStart w:id="5" w:name="2.1_Valuation_Model_Selection"/>
      <w:bookmarkStart w:id="6" w:name="_bookmark2"/>
      <w:bookmarkEnd w:id="5"/>
      <w:bookmarkEnd w:id="6"/>
      <w:r>
        <w:t>Valuation</w:t>
      </w:r>
      <w:r>
        <w:rPr>
          <w:spacing w:val="-3"/>
        </w:rPr>
        <w:t xml:space="preserve"> </w:t>
      </w:r>
      <w:r>
        <w:t>Model</w:t>
      </w:r>
      <w:r>
        <w:rPr>
          <w:spacing w:val="-4"/>
        </w:rPr>
        <w:t xml:space="preserve"> </w:t>
      </w:r>
      <w:r>
        <w:rPr>
          <w:spacing w:val="-2"/>
        </w:rPr>
        <w:t>Selection</w:t>
      </w:r>
    </w:p>
    <w:p w14:paraId="0ADD63CC" w14:textId="77777777" w:rsidR="00F66501" w:rsidRDefault="00000000">
      <w:pPr>
        <w:pStyle w:val="BodyText"/>
        <w:spacing w:before="213" w:line="360" w:lineRule="auto"/>
        <w:ind w:right="834"/>
      </w:pPr>
      <w:r>
        <w:t>The</w:t>
      </w:r>
      <w:r>
        <w:rPr>
          <w:spacing w:val="-3"/>
        </w:rPr>
        <w:t xml:space="preserve"> </w:t>
      </w:r>
      <w:r>
        <w:t>Free</w:t>
      </w:r>
      <w:r>
        <w:rPr>
          <w:spacing w:val="-3"/>
        </w:rPr>
        <w:t xml:space="preserve"> </w:t>
      </w:r>
      <w:r>
        <w:t>Cash</w:t>
      </w:r>
      <w:r>
        <w:rPr>
          <w:spacing w:val="-7"/>
        </w:rPr>
        <w:t xml:space="preserve"> </w:t>
      </w:r>
      <w:r>
        <w:t>Flow</w:t>
      </w:r>
      <w:r>
        <w:rPr>
          <w:spacing w:val="-3"/>
        </w:rPr>
        <w:t xml:space="preserve"> </w:t>
      </w:r>
      <w:r>
        <w:t>to Equity</w:t>
      </w:r>
      <w:r>
        <w:rPr>
          <w:spacing w:val="-7"/>
        </w:rPr>
        <w:t xml:space="preserve"> </w:t>
      </w:r>
      <w:r>
        <w:t>model</w:t>
      </w:r>
      <w:r>
        <w:rPr>
          <w:spacing w:val="-9"/>
        </w:rPr>
        <w:t xml:space="preserve"> </w:t>
      </w:r>
      <w:r>
        <w:t>was</w:t>
      </w:r>
      <w:r>
        <w:rPr>
          <w:spacing w:val="-4"/>
        </w:rPr>
        <w:t xml:space="preserve"> </w:t>
      </w:r>
      <w:r>
        <w:t>chosen</w:t>
      </w:r>
      <w:r>
        <w:rPr>
          <w:spacing w:val="-2"/>
        </w:rPr>
        <w:t xml:space="preserve"> </w:t>
      </w:r>
      <w:r>
        <w:t>for</w:t>
      </w:r>
      <w:r>
        <w:rPr>
          <w:spacing w:val="-9"/>
        </w:rPr>
        <w:t xml:space="preserve"> </w:t>
      </w:r>
      <w:r>
        <w:t>the</w:t>
      </w:r>
      <w:r>
        <w:rPr>
          <w:spacing w:val="-3"/>
        </w:rPr>
        <w:t xml:space="preserve"> </w:t>
      </w:r>
      <w:r>
        <w:t>valuation</w:t>
      </w:r>
      <w:r>
        <w:rPr>
          <w:spacing w:val="-7"/>
        </w:rPr>
        <w:t xml:space="preserve"> </w:t>
      </w:r>
      <w:r>
        <w:t>of</w:t>
      </w:r>
      <w:r>
        <w:rPr>
          <w:spacing w:val="-9"/>
        </w:rPr>
        <w:t xml:space="preserve"> </w:t>
      </w:r>
      <w:r>
        <w:t>Infosys Limited because it focuses directly on the cash flows available to equity</w:t>
      </w:r>
      <w:r>
        <w:rPr>
          <w:spacing w:val="-1"/>
        </w:rPr>
        <w:t xml:space="preserve"> </w:t>
      </w:r>
      <w:r>
        <w:t>shareholders. This model, as Damodaran (2012) claims, provides a more accurate reflection of the value attributable to the equity investors, as it directly</w:t>
      </w:r>
      <w:r>
        <w:rPr>
          <w:spacing w:val="-3"/>
        </w:rPr>
        <w:t xml:space="preserve"> </w:t>
      </w:r>
      <w:r>
        <w:t xml:space="preserve">accounts for the funds that can be distributed to shareholders after all other financial obligations are met. Unlike the FCFF model, which values the entire firm and adjusts for debt, </w:t>
      </w:r>
      <w:proofErr w:type="spellStart"/>
      <w:r>
        <w:rPr>
          <w:color w:val="212121"/>
        </w:rPr>
        <w:t>Gnap</w:t>
      </w:r>
      <w:proofErr w:type="spellEnd"/>
      <w:r>
        <w:rPr>
          <w:color w:val="212121"/>
        </w:rPr>
        <w:t xml:space="preserve"> &amp; Pitera (2023) </w:t>
      </w:r>
      <w:r>
        <w:t>state</w:t>
      </w:r>
      <w:r>
        <w:rPr>
          <w:spacing w:val="-1"/>
        </w:rPr>
        <w:t xml:space="preserve"> </w:t>
      </w:r>
      <w:r>
        <w:t>that FCFE focuses on the equity</w:t>
      </w:r>
      <w:r>
        <w:rPr>
          <w:spacing w:val="-1"/>
        </w:rPr>
        <w:t xml:space="preserve"> </w:t>
      </w:r>
      <w:r>
        <w:t>value by considering the impact of debt payments.</w:t>
      </w:r>
    </w:p>
    <w:p w14:paraId="6A4A2FB2" w14:textId="77777777" w:rsidR="00F66501" w:rsidRDefault="00000000">
      <w:pPr>
        <w:pStyle w:val="Heading1"/>
        <w:spacing w:before="3"/>
        <w:rPr>
          <w:b w:val="0"/>
        </w:rPr>
      </w:pPr>
      <w:r>
        <w:t>The</w:t>
      </w:r>
      <w:r>
        <w:rPr>
          <w:spacing w:val="-6"/>
        </w:rPr>
        <w:t xml:space="preserve"> </w:t>
      </w:r>
      <w:r>
        <w:t>FCFE</w:t>
      </w:r>
      <w:r>
        <w:rPr>
          <w:spacing w:val="-4"/>
        </w:rPr>
        <w:t xml:space="preserve"> </w:t>
      </w:r>
      <w:r>
        <w:t>model</w:t>
      </w:r>
      <w:r>
        <w:rPr>
          <w:spacing w:val="-6"/>
        </w:rPr>
        <w:t xml:space="preserve"> </w:t>
      </w:r>
      <w:r>
        <w:t>is</w:t>
      </w:r>
      <w:r>
        <w:rPr>
          <w:spacing w:val="-4"/>
        </w:rPr>
        <w:t xml:space="preserve"> </w:t>
      </w:r>
      <w:r>
        <w:t>mathematically</w:t>
      </w:r>
      <w:r>
        <w:rPr>
          <w:spacing w:val="-2"/>
        </w:rPr>
        <w:t xml:space="preserve"> </w:t>
      </w:r>
      <w:r>
        <w:t>expressed</w:t>
      </w:r>
      <w:r>
        <w:rPr>
          <w:spacing w:val="-2"/>
        </w:rPr>
        <w:t xml:space="preserve"> </w:t>
      </w:r>
      <w:r>
        <w:rPr>
          <w:spacing w:val="-5"/>
        </w:rPr>
        <w:t>as</w:t>
      </w:r>
      <w:r>
        <w:rPr>
          <w:b w:val="0"/>
          <w:spacing w:val="-5"/>
        </w:rPr>
        <w:t>:</w:t>
      </w:r>
    </w:p>
    <w:p w14:paraId="3B14AE69" w14:textId="77777777" w:rsidR="00F66501" w:rsidRDefault="00000000">
      <w:pPr>
        <w:pStyle w:val="BodyText"/>
        <w:spacing w:before="11"/>
        <w:ind w:left="0"/>
        <w:rPr>
          <w:sz w:val="12"/>
        </w:rPr>
      </w:pPr>
      <w:r>
        <w:rPr>
          <w:noProof/>
          <w:sz w:val="12"/>
        </w:rPr>
        <w:drawing>
          <wp:anchor distT="0" distB="0" distL="0" distR="0" simplePos="0" relativeHeight="487589376" behindDoc="1" locked="0" layoutInCell="1" allowOverlap="1" wp14:anchorId="7C35B1B7" wp14:editId="32EFA381">
            <wp:simplePos x="0" y="0"/>
            <wp:positionH relativeFrom="page">
              <wp:posOffset>933450</wp:posOffset>
            </wp:positionH>
            <wp:positionV relativeFrom="paragraph">
              <wp:posOffset>110098</wp:posOffset>
            </wp:positionV>
            <wp:extent cx="5613706" cy="7524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613706" cy="752475"/>
                    </a:xfrm>
                    <a:prstGeom prst="rect">
                      <a:avLst/>
                    </a:prstGeom>
                  </pic:spPr>
                </pic:pic>
              </a:graphicData>
            </a:graphic>
          </wp:anchor>
        </w:drawing>
      </w:r>
    </w:p>
    <w:p w14:paraId="2373B775" w14:textId="77777777" w:rsidR="00F66501" w:rsidRDefault="00000000">
      <w:pPr>
        <w:pStyle w:val="BodyText"/>
        <w:spacing w:before="204"/>
      </w:pPr>
      <w:r>
        <w:rPr>
          <w:spacing w:val="-2"/>
        </w:rPr>
        <w:t>Were,</w:t>
      </w:r>
    </w:p>
    <w:p w14:paraId="2951B7A8" w14:textId="77777777" w:rsidR="00F66501" w:rsidRDefault="00000000">
      <w:pPr>
        <w:pStyle w:val="BodyText"/>
        <w:spacing w:before="142" w:line="360" w:lineRule="auto"/>
        <w:ind w:right="5852"/>
      </w:pPr>
      <w:proofErr w:type="spellStart"/>
      <w:r>
        <w:t>FCFEt</w:t>
      </w:r>
      <w:proofErr w:type="spellEnd"/>
      <w:r>
        <w:t xml:space="preserve"> =</w:t>
      </w:r>
      <w:r>
        <w:rPr>
          <w:spacing w:val="-5"/>
        </w:rPr>
        <w:t xml:space="preserve"> </w:t>
      </w:r>
      <w:r>
        <w:t>Free</w:t>
      </w:r>
      <w:r>
        <w:rPr>
          <w:spacing w:val="-5"/>
        </w:rPr>
        <w:t xml:space="preserve"> </w:t>
      </w:r>
      <w:r>
        <w:t>Cash</w:t>
      </w:r>
      <w:r>
        <w:rPr>
          <w:spacing w:val="-9"/>
        </w:rPr>
        <w:t xml:space="preserve"> </w:t>
      </w:r>
      <w:r>
        <w:t>Flow</w:t>
      </w:r>
      <w:r>
        <w:rPr>
          <w:spacing w:val="-5"/>
        </w:rPr>
        <w:t xml:space="preserve"> </w:t>
      </w:r>
      <w:r>
        <w:t>to</w:t>
      </w:r>
      <w:r>
        <w:rPr>
          <w:spacing w:val="-4"/>
        </w:rPr>
        <w:t xml:space="preserve"> </w:t>
      </w:r>
      <w:r>
        <w:t>Equity</w:t>
      </w:r>
      <w:r>
        <w:rPr>
          <w:spacing w:val="-9"/>
        </w:rPr>
        <w:t xml:space="preserve"> </w:t>
      </w:r>
      <w:r>
        <w:t>in</w:t>
      </w:r>
      <w:r>
        <w:rPr>
          <w:spacing w:val="-4"/>
        </w:rPr>
        <w:t xml:space="preserve"> </w:t>
      </w:r>
      <w:r>
        <w:t>year t r = Cost of equity (discount rate)</w:t>
      </w:r>
    </w:p>
    <w:p w14:paraId="3EFF6BB1" w14:textId="77777777" w:rsidR="00F66501" w:rsidRDefault="00000000">
      <w:pPr>
        <w:pStyle w:val="BodyText"/>
        <w:spacing w:line="274" w:lineRule="exact"/>
      </w:pPr>
      <w:r>
        <w:t>n</w:t>
      </w:r>
      <w:r>
        <w:rPr>
          <w:spacing w:val="-6"/>
        </w:rPr>
        <w:t xml:space="preserve"> </w:t>
      </w:r>
      <w:r>
        <w:t>=</w:t>
      </w:r>
      <w:r>
        <w:rPr>
          <w:spacing w:val="-2"/>
        </w:rPr>
        <w:t xml:space="preserve"> </w:t>
      </w:r>
      <w:r>
        <w:t>Number of</w:t>
      </w:r>
      <w:r>
        <w:rPr>
          <w:spacing w:val="-4"/>
        </w:rPr>
        <w:t xml:space="preserve"> </w:t>
      </w:r>
      <w:r>
        <w:t>years</w:t>
      </w:r>
      <w:r>
        <w:rPr>
          <w:spacing w:val="1"/>
        </w:rPr>
        <w:t xml:space="preserve"> </w:t>
      </w:r>
      <w:r>
        <w:t>in</w:t>
      </w:r>
      <w:r>
        <w:rPr>
          <w:spacing w:val="-5"/>
        </w:rPr>
        <w:t xml:space="preserve"> </w:t>
      </w:r>
      <w:r>
        <w:t>the</w:t>
      </w:r>
      <w:r>
        <w:rPr>
          <w:spacing w:val="3"/>
        </w:rPr>
        <w:t xml:space="preserve"> </w:t>
      </w:r>
      <w:r>
        <w:t>forecast</w:t>
      </w:r>
      <w:r>
        <w:rPr>
          <w:spacing w:val="4"/>
        </w:rPr>
        <w:t xml:space="preserve"> </w:t>
      </w:r>
      <w:r>
        <w:rPr>
          <w:spacing w:val="-2"/>
        </w:rPr>
        <w:t>period</w:t>
      </w:r>
    </w:p>
    <w:p w14:paraId="67D33FF6" w14:textId="77777777" w:rsidR="00F66501" w:rsidRDefault="00000000">
      <w:pPr>
        <w:pStyle w:val="BodyText"/>
        <w:spacing w:before="137"/>
      </w:pPr>
      <w:r>
        <w:t>Terminal</w:t>
      </w:r>
      <w:r>
        <w:rPr>
          <w:spacing w:val="-6"/>
        </w:rPr>
        <w:t xml:space="preserve"> </w:t>
      </w:r>
      <w:r>
        <w:t>Value</w:t>
      </w:r>
      <w:r>
        <w:rPr>
          <w:spacing w:val="-2"/>
        </w:rPr>
        <w:t xml:space="preserve"> </w:t>
      </w:r>
      <w:r>
        <w:t>=</w:t>
      </w:r>
      <w:r>
        <w:rPr>
          <w:spacing w:val="-3"/>
        </w:rPr>
        <w:t xml:space="preserve"> </w:t>
      </w:r>
      <w:r>
        <w:t>Present</w:t>
      </w:r>
      <w:r>
        <w:rPr>
          <w:spacing w:val="4"/>
        </w:rPr>
        <w:t xml:space="preserve"> </w:t>
      </w:r>
      <w:r>
        <w:t>value</w:t>
      </w:r>
      <w:r>
        <w:rPr>
          <w:spacing w:val="-2"/>
        </w:rPr>
        <w:t xml:space="preserve"> </w:t>
      </w:r>
      <w:r>
        <w:t>of</w:t>
      </w:r>
      <w:r>
        <w:rPr>
          <w:spacing w:val="-9"/>
        </w:rPr>
        <w:t xml:space="preserve"> </w:t>
      </w:r>
      <w:r>
        <w:t>all</w:t>
      </w:r>
      <w:r>
        <w:rPr>
          <w:spacing w:val="-9"/>
        </w:rPr>
        <w:t xml:space="preserve"> </w:t>
      </w:r>
      <w:r>
        <w:t>cash</w:t>
      </w:r>
      <w:r>
        <w:rPr>
          <w:spacing w:val="-2"/>
        </w:rPr>
        <w:t xml:space="preserve"> </w:t>
      </w:r>
      <w:r>
        <w:t>flows</w:t>
      </w:r>
      <w:r>
        <w:rPr>
          <w:spacing w:val="-3"/>
        </w:rPr>
        <w:t xml:space="preserve"> </w:t>
      </w:r>
      <w:r>
        <w:t>beyond</w:t>
      </w:r>
      <w:r>
        <w:rPr>
          <w:spacing w:val="-1"/>
        </w:rPr>
        <w:t xml:space="preserve"> </w:t>
      </w:r>
      <w:r>
        <w:t>the</w:t>
      </w:r>
      <w:r>
        <w:rPr>
          <w:spacing w:val="3"/>
        </w:rPr>
        <w:t xml:space="preserve"> </w:t>
      </w:r>
      <w:r>
        <w:t>forecast</w:t>
      </w:r>
      <w:r>
        <w:rPr>
          <w:spacing w:val="4"/>
        </w:rPr>
        <w:t xml:space="preserve"> </w:t>
      </w:r>
      <w:r>
        <w:rPr>
          <w:spacing w:val="-2"/>
        </w:rPr>
        <w:t>period</w:t>
      </w:r>
    </w:p>
    <w:p w14:paraId="2E49B854" w14:textId="77777777" w:rsidR="00F66501" w:rsidRDefault="00F66501">
      <w:pPr>
        <w:pStyle w:val="BodyText"/>
        <w:spacing w:before="28"/>
        <w:ind w:left="0"/>
      </w:pPr>
    </w:p>
    <w:p w14:paraId="5D3140EF" w14:textId="77777777" w:rsidR="00F66501" w:rsidRDefault="00000000">
      <w:pPr>
        <w:pStyle w:val="Heading1"/>
        <w:numPr>
          <w:ilvl w:val="1"/>
          <w:numId w:val="2"/>
        </w:numPr>
        <w:tabs>
          <w:tab w:val="left" w:pos="1084"/>
        </w:tabs>
        <w:spacing w:before="1"/>
        <w:ind w:hanging="364"/>
      </w:pPr>
      <w:bookmarkStart w:id="7" w:name="2.2_Data_Sources_and_Key_Assumptions"/>
      <w:bookmarkStart w:id="8" w:name="_bookmark3"/>
      <w:bookmarkEnd w:id="7"/>
      <w:bookmarkEnd w:id="8"/>
      <w:r>
        <w:t>Data</w:t>
      </w:r>
      <w:r>
        <w:rPr>
          <w:spacing w:val="-4"/>
        </w:rPr>
        <w:t xml:space="preserve"> </w:t>
      </w:r>
      <w:r>
        <w:t>Sources</w:t>
      </w:r>
      <w:r>
        <w:rPr>
          <w:spacing w:val="-1"/>
        </w:rPr>
        <w:t xml:space="preserve"> </w:t>
      </w:r>
      <w:r>
        <w:t>and</w:t>
      </w:r>
      <w:r>
        <w:rPr>
          <w:spacing w:val="-3"/>
        </w:rPr>
        <w:t xml:space="preserve"> </w:t>
      </w:r>
      <w:r>
        <w:t>Key</w:t>
      </w:r>
      <w:r>
        <w:rPr>
          <w:spacing w:val="1"/>
        </w:rPr>
        <w:t xml:space="preserve"> </w:t>
      </w:r>
      <w:r>
        <w:rPr>
          <w:spacing w:val="-2"/>
        </w:rPr>
        <w:t>Assumptions</w:t>
      </w:r>
    </w:p>
    <w:p w14:paraId="45950989" w14:textId="77777777" w:rsidR="00F66501" w:rsidRDefault="00000000">
      <w:pPr>
        <w:pStyle w:val="BodyText"/>
        <w:spacing w:before="214" w:line="360" w:lineRule="auto"/>
        <w:ind w:right="758"/>
      </w:pPr>
      <w:r>
        <w:t>The analysis relied on publicly available data from Infosys Limited's financial reports, Yahoo Finance, investor</w:t>
      </w:r>
      <w:r>
        <w:rPr>
          <w:spacing w:val="-6"/>
        </w:rPr>
        <w:t xml:space="preserve"> </w:t>
      </w:r>
      <w:r>
        <w:t>presentations,</w:t>
      </w:r>
      <w:r>
        <w:rPr>
          <w:spacing w:val="-5"/>
        </w:rPr>
        <w:t xml:space="preserve"> </w:t>
      </w:r>
      <w:r>
        <w:t>and</w:t>
      </w:r>
      <w:r>
        <w:rPr>
          <w:spacing w:val="-7"/>
        </w:rPr>
        <w:t xml:space="preserve"> </w:t>
      </w:r>
      <w:r>
        <w:t>secondary</w:t>
      </w:r>
      <w:r>
        <w:rPr>
          <w:spacing w:val="-11"/>
        </w:rPr>
        <w:t xml:space="preserve"> </w:t>
      </w:r>
      <w:r>
        <w:t>sources,</w:t>
      </w:r>
      <w:r>
        <w:rPr>
          <w:spacing w:val="-5"/>
        </w:rPr>
        <w:t xml:space="preserve"> </w:t>
      </w:r>
      <w:r>
        <w:t>including</w:t>
      </w:r>
      <w:r>
        <w:rPr>
          <w:spacing w:val="-7"/>
        </w:rPr>
        <w:t xml:space="preserve"> </w:t>
      </w:r>
      <w:r>
        <w:t>analyst forecasts.</w:t>
      </w:r>
      <w:r>
        <w:rPr>
          <w:spacing w:val="-2"/>
        </w:rPr>
        <w:t xml:space="preserve"> </w:t>
      </w:r>
      <w:r>
        <w:t>Assumptions were made to project the future free cash flows and determine the appropriate discount rate</w:t>
      </w:r>
    </w:p>
    <w:p w14:paraId="019B9827" w14:textId="77777777" w:rsidR="00F66501" w:rsidRDefault="00000000">
      <w:pPr>
        <w:pStyle w:val="Heading1"/>
        <w:numPr>
          <w:ilvl w:val="0"/>
          <w:numId w:val="1"/>
        </w:numPr>
        <w:tabs>
          <w:tab w:val="left" w:pos="982"/>
        </w:tabs>
        <w:spacing w:before="6"/>
        <w:ind w:left="982" w:hanging="262"/>
      </w:pPr>
      <w:bookmarkStart w:id="9" w:name="a)_Projected_FCFE"/>
      <w:bookmarkEnd w:id="9"/>
      <w:r>
        <w:t>Projected</w:t>
      </w:r>
      <w:r>
        <w:rPr>
          <w:spacing w:val="-10"/>
        </w:rPr>
        <w:t xml:space="preserve"> </w:t>
      </w:r>
      <w:r>
        <w:rPr>
          <w:spacing w:val="-4"/>
        </w:rPr>
        <w:t>FCFE</w:t>
      </w:r>
    </w:p>
    <w:p w14:paraId="4928B94E" w14:textId="77777777" w:rsidR="00F66501" w:rsidRDefault="00000000">
      <w:pPr>
        <w:pStyle w:val="BodyText"/>
        <w:spacing w:before="132" w:line="360" w:lineRule="auto"/>
        <w:ind w:right="834"/>
      </w:pPr>
      <w:r>
        <w:t>Projected Free Cash Flows to Equity</w:t>
      </w:r>
      <w:r>
        <w:rPr>
          <w:spacing w:val="-1"/>
        </w:rPr>
        <w:t xml:space="preserve"> </w:t>
      </w:r>
      <w:r>
        <w:t>were estimated for five years (FY2025–FY2029).</w:t>
      </w:r>
      <w:r>
        <w:rPr>
          <w:spacing w:val="40"/>
        </w:rPr>
        <w:t xml:space="preserve"> </w:t>
      </w:r>
      <w:r>
        <w:t>The elements</w:t>
      </w:r>
      <w:r>
        <w:rPr>
          <w:spacing w:val="-4"/>
        </w:rPr>
        <w:t xml:space="preserve"> </w:t>
      </w:r>
      <w:r>
        <w:t>incorporated</w:t>
      </w:r>
      <w:r>
        <w:rPr>
          <w:spacing w:val="-11"/>
        </w:rPr>
        <w:t xml:space="preserve"> </w:t>
      </w:r>
      <w:r>
        <w:t>included moderate</w:t>
      </w:r>
      <w:r>
        <w:rPr>
          <w:spacing w:val="-7"/>
        </w:rPr>
        <w:t xml:space="preserve"> </w:t>
      </w:r>
      <w:r>
        <w:t>revenue</w:t>
      </w:r>
      <w:r>
        <w:rPr>
          <w:spacing w:val="-7"/>
        </w:rPr>
        <w:t xml:space="preserve"> </w:t>
      </w:r>
      <w:r>
        <w:t>growth</w:t>
      </w:r>
      <w:r>
        <w:rPr>
          <w:spacing w:val="-11"/>
        </w:rPr>
        <w:t xml:space="preserve"> </w:t>
      </w:r>
      <w:r>
        <w:t>assumptions,</w:t>
      </w:r>
      <w:r>
        <w:rPr>
          <w:spacing w:val="-4"/>
        </w:rPr>
        <w:t xml:space="preserve"> </w:t>
      </w:r>
      <w:r>
        <w:t>expected</w:t>
      </w:r>
      <w:r>
        <w:rPr>
          <w:spacing w:val="-6"/>
        </w:rPr>
        <w:t xml:space="preserve"> </w:t>
      </w:r>
      <w:r>
        <w:t>improvements in operational efficiency, and controlled capital expenditures.</w:t>
      </w:r>
    </w:p>
    <w:p w14:paraId="3A59B476" w14:textId="77777777" w:rsidR="00F66501" w:rsidRDefault="00000000">
      <w:pPr>
        <w:pStyle w:val="Heading1"/>
        <w:numPr>
          <w:ilvl w:val="0"/>
          <w:numId w:val="1"/>
        </w:numPr>
        <w:tabs>
          <w:tab w:val="left" w:pos="996"/>
        </w:tabs>
        <w:spacing w:before="7"/>
        <w:ind w:left="996" w:hanging="276"/>
      </w:pPr>
      <w:bookmarkStart w:id="10" w:name="b)_Discount_Rate"/>
      <w:bookmarkEnd w:id="10"/>
      <w:r>
        <w:t>Discount</w:t>
      </w:r>
      <w:r>
        <w:rPr>
          <w:spacing w:val="-5"/>
        </w:rPr>
        <w:t xml:space="preserve"> </w:t>
      </w:r>
      <w:r>
        <w:rPr>
          <w:spacing w:val="-4"/>
        </w:rPr>
        <w:t>Rate</w:t>
      </w:r>
    </w:p>
    <w:p w14:paraId="1E6CF0FB" w14:textId="77777777" w:rsidR="00F66501" w:rsidRDefault="00000000">
      <w:pPr>
        <w:pStyle w:val="BodyText"/>
        <w:spacing w:before="132" w:line="360" w:lineRule="auto"/>
        <w:ind w:right="758"/>
        <w:rPr>
          <w:b/>
        </w:rPr>
      </w:pPr>
      <w:r>
        <w:t>The</w:t>
      </w:r>
      <w:r>
        <w:rPr>
          <w:spacing w:val="-2"/>
        </w:rPr>
        <w:t xml:space="preserve"> </w:t>
      </w:r>
      <w:r>
        <w:t>cost</w:t>
      </w:r>
      <w:r>
        <w:rPr>
          <w:spacing w:val="-5"/>
        </w:rPr>
        <w:t xml:space="preserve"> </w:t>
      </w:r>
      <w:r>
        <w:t>of</w:t>
      </w:r>
      <w:r>
        <w:rPr>
          <w:spacing w:val="-9"/>
        </w:rPr>
        <w:t xml:space="preserve"> </w:t>
      </w:r>
      <w:r>
        <w:t>equity</w:t>
      </w:r>
      <w:r>
        <w:rPr>
          <w:spacing w:val="-11"/>
        </w:rPr>
        <w:t xml:space="preserve"> </w:t>
      </w:r>
      <w:r>
        <w:t>(r) was</w:t>
      </w:r>
      <w:r>
        <w:rPr>
          <w:spacing w:val="-3"/>
        </w:rPr>
        <w:t xml:space="preserve"> </w:t>
      </w:r>
      <w:r>
        <w:t>estimated</w:t>
      </w:r>
      <w:r>
        <w:rPr>
          <w:spacing w:val="-1"/>
        </w:rPr>
        <w:t xml:space="preserve"> </w:t>
      </w:r>
      <w:proofErr w:type="gramStart"/>
      <w:r>
        <w:t>between</w:t>
      </w:r>
      <w:proofErr w:type="gramEnd"/>
      <w:r>
        <w:rPr>
          <w:spacing w:val="-6"/>
        </w:rPr>
        <w:t xml:space="preserve"> </w:t>
      </w:r>
      <w:r>
        <w:t>12% and</w:t>
      </w:r>
      <w:r>
        <w:rPr>
          <w:spacing w:val="-1"/>
        </w:rPr>
        <w:t xml:space="preserve"> </w:t>
      </w:r>
      <w:r>
        <w:t>13%. This</w:t>
      </w:r>
      <w:r>
        <w:rPr>
          <w:spacing w:val="-2"/>
        </w:rPr>
        <w:t xml:space="preserve"> </w:t>
      </w:r>
      <w:r>
        <w:t>percentage</w:t>
      </w:r>
      <w:r>
        <w:rPr>
          <w:spacing w:val="-2"/>
        </w:rPr>
        <w:t xml:space="preserve"> </w:t>
      </w:r>
      <w:r>
        <w:t xml:space="preserve">reflected Infosys's business risk, financial leverage, and the broader market conditions. Additionally, the Capital Asset Pricing Model was </w:t>
      </w:r>
      <w:proofErr w:type="spellStart"/>
      <w:r>
        <w:t>utilised</w:t>
      </w:r>
      <w:proofErr w:type="spellEnd"/>
      <w:r>
        <w:t xml:space="preserve"> using the formula r=Rf+β </w:t>
      </w:r>
      <w:r>
        <w:rPr>
          <w:b/>
        </w:rPr>
        <w:t>(</w:t>
      </w:r>
      <w:r>
        <w:t>Rm−Rf</w:t>
      </w:r>
      <w:r>
        <w:rPr>
          <w:b/>
        </w:rPr>
        <w:t>)</w:t>
      </w:r>
    </w:p>
    <w:p w14:paraId="5465860E" w14:textId="77777777" w:rsidR="00F66501" w:rsidRDefault="00000000">
      <w:pPr>
        <w:pStyle w:val="BodyText"/>
        <w:spacing w:line="273" w:lineRule="exact"/>
      </w:pPr>
      <w:r>
        <w:rPr>
          <w:spacing w:val="-2"/>
        </w:rPr>
        <w:t>Where:</w:t>
      </w:r>
    </w:p>
    <w:p w14:paraId="55D49BC1" w14:textId="77777777" w:rsidR="00F66501" w:rsidRDefault="00F66501">
      <w:pPr>
        <w:pStyle w:val="BodyText"/>
        <w:spacing w:line="273" w:lineRule="exact"/>
        <w:sectPr w:rsidR="00F66501">
          <w:pgSz w:w="12240" w:h="15840"/>
          <w:pgMar w:top="980" w:right="720" w:bottom="280" w:left="720" w:header="723" w:footer="0" w:gutter="0"/>
          <w:cols w:space="720"/>
        </w:sectPr>
      </w:pPr>
    </w:p>
    <w:p w14:paraId="58681EB1" w14:textId="77777777" w:rsidR="00F66501" w:rsidRDefault="00000000">
      <w:pPr>
        <w:pStyle w:val="BodyText"/>
        <w:spacing w:before="168"/>
        <w:ind w:left="0"/>
      </w:pPr>
      <w:r>
        <w:rPr>
          <w:noProof/>
        </w:rPr>
        <w:lastRenderedPageBreak/>
        <mc:AlternateContent>
          <mc:Choice Requires="wps">
            <w:drawing>
              <wp:anchor distT="0" distB="0" distL="0" distR="0" simplePos="0" relativeHeight="487359488" behindDoc="1" locked="0" layoutInCell="1" allowOverlap="1" wp14:anchorId="2E60669A" wp14:editId="434CFA83">
                <wp:simplePos x="0" y="0"/>
                <wp:positionH relativeFrom="page">
                  <wp:posOffset>307848</wp:posOffset>
                </wp:positionH>
                <wp:positionV relativeFrom="page">
                  <wp:posOffset>307847</wp:posOffset>
                </wp:positionV>
                <wp:extent cx="7162800" cy="94488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0F91D8" id="Graphic 10" o:spid="_x0000_s1026" style="position:absolute;margin-left:24.25pt;margin-top:24.25pt;width:564pt;height:744pt;z-index:-15956992;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p w14:paraId="2D6E5580" w14:textId="77777777" w:rsidR="00F66501" w:rsidRDefault="00000000">
      <w:pPr>
        <w:pStyle w:val="BodyText"/>
        <w:spacing w:line="360" w:lineRule="auto"/>
        <w:ind w:left="845" w:right="4718" w:hanging="125"/>
      </w:pPr>
      <w:r>
        <w:t>Rf</w:t>
      </w:r>
      <w:r>
        <w:rPr>
          <w:spacing w:val="-11"/>
        </w:rPr>
        <w:t xml:space="preserve"> </w:t>
      </w:r>
      <w:r>
        <w:t>=</w:t>
      </w:r>
      <w:r>
        <w:rPr>
          <w:spacing w:val="-5"/>
        </w:rPr>
        <w:t xml:space="preserve"> </w:t>
      </w:r>
      <w:r>
        <w:t>Risk-free</w:t>
      </w:r>
      <w:r>
        <w:rPr>
          <w:spacing w:val="-5"/>
        </w:rPr>
        <w:t xml:space="preserve"> </w:t>
      </w:r>
      <w:r>
        <w:t>rate</w:t>
      </w:r>
      <w:r>
        <w:rPr>
          <w:spacing w:val="-5"/>
        </w:rPr>
        <w:t xml:space="preserve"> </w:t>
      </w:r>
      <w:r>
        <w:t>(based</w:t>
      </w:r>
      <w:r>
        <w:rPr>
          <w:spacing w:val="-4"/>
        </w:rPr>
        <w:t xml:space="preserve"> </w:t>
      </w:r>
      <w:r>
        <w:t>on</w:t>
      </w:r>
      <w:r>
        <w:rPr>
          <w:spacing w:val="-9"/>
        </w:rPr>
        <w:t xml:space="preserve"> </w:t>
      </w:r>
      <w:r>
        <w:t>Indian</w:t>
      </w:r>
      <w:r>
        <w:rPr>
          <w:spacing w:val="-9"/>
        </w:rPr>
        <w:t xml:space="preserve"> </w:t>
      </w:r>
      <w:r>
        <w:t>government bonds β = Infosys's equity beta</w:t>
      </w:r>
    </w:p>
    <w:p w14:paraId="7CD2EA3C" w14:textId="77777777" w:rsidR="00F66501" w:rsidRDefault="00000000">
      <w:pPr>
        <w:pStyle w:val="BodyText"/>
        <w:spacing w:line="274" w:lineRule="exact"/>
      </w:pPr>
      <w:r>
        <w:t>Rm</w:t>
      </w:r>
      <w:r>
        <w:rPr>
          <w:spacing w:val="-10"/>
        </w:rPr>
        <w:t xml:space="preserve"> </w:t>
      </w:r>
      <w:r>
        <w:t>=</w:t>
      </w:r>
      <w:r>
        <w:rPr>
          <w:spacing w:val="-1"/>
        </w:rPr>
        <w:t xml:space="preserve"> </w:t>
      </w:r>
      <w:r>
        <w:t>Expected</w:t>
      </w:r>
      <w:r>
        <w:rPr>
          <w:spacing w:val="3"/>
        </w:rPr>
        <w:t xml:space="preserve"> </w:t>
      </w:r>
      <w:r>
        <w:t>market</w:t>
      </w:r>
      <w:r>
        <w:rPr>
          <w:spacing w:val="5"/>
        </w:rPr>
        <w:t xml:space="preserve"> </w:t>
      </w:r>
      <w:r>
        <w:rPr>
          <w:spacing w:val="-2"/>
        </w:rPr>
        <w:t>return</w:t>
      </w:r>
    </w:p>
    <w:p w14:paraId="4270FEBA" w14:textId="77777777" w:rsidR="00F66501" w:rsidRDefault="00000000">
      <w:pPr>
        <w:pStyle w:val="Heading1"/>
        <w:numPr>
          <w:ilvl w:val="0"/>
          <w:numId w:val="1"/>
        </w:numPr>
        <w:tabs>
          <w:tab w:val="left" w:pos="968"/>
        </w:tabs>
        <w:spacing w:before="146"/>
        <w:ind w:left="968" w:hanging="248"/>
      </w:pPr>
      <w:bookmarkStart w:id="11" w:name="c)_Terminal_Value_Assumptions"/>
      <w:bookmarkEnd w:id="11"/>
      <w:r>
        <w:t>Terminal</w:t>
      </w:r>
      <w:r>
        <w:rPr>
          <w:spacing w:val="-7"/>
        </w:rPr>
        <w:t xml:space="preserve"> </w:t>
      </w:r>
      <w:r>
        <w:t>Value</w:t>
      </w:r>
      <w:r>
        <w:rPr>
          <w:spacing w:val="-3"/>
        </w:rPr>
        <w:t xml:space="preserve"> </w:t>
      </w:r>
      <w:r>
        <w:rPr>
          <w:spacing w:val="-2"/>
        </w:rPr>
        <w:t>Assumptions</w:t>
      </w:r>
    </w:p>
    <w:p w14:paraId="03E8F406" w14:textId="77777777" w:rsidR="00F66501" w:rsidRDefault="00000000">
      <w:pPr>
        <w:pStyle w:val="BodyText"/>
        <w:spacing w:before="132" w:line="360" w:lineRule="auto"/>
        <w:ind w:right="758"/>
      </w:pPr>
      <w:r>
        <w:t>The terminal value was calculated at the end of 2029 using the perpetuity growth method, assuming</w:t>
      </w:r>
      <w:r>
        <w:rPr>
          <w:spacing w:val="-2"/>
        </w:rPr>
        <w:t xml:space="preserve"> </w:t>
      </w:r>
      <w:r>
        <w:t>a</w:t>
      </w:r>
      <w:r>
        <w:rPr>
          <w:spacing w:val="-3"/>
        </w:rPr>
        <w:t xml:space="preserve"> </w:t>
      </w:r>
      <w:r>
        <w:t>stable</w:t>
      </w:r>
      <w:r>
        <w:rPr>
          <w:spacing w:val="-3"/>
        </w:rPr>
        <w:t xml:space="preserve"> </w:t>
      </w:r>
      <w:r>
        <w:t>growth</w:t>
      </w:r>
      <w:r>
        <w:rPr>
          <w:spacing w:val="-6"/>
        </w:rPr>
        <w:t xml:space="preserve"> </w:t>
      </w:r>
      <w:r>
        <w:t>rate</w:t>
      </w:r>
      <w:r>
        <w:rPr>
          <w:spacing w:val="-7"/>
        </w:rPr>
        <w:t xml:space="preserve"> </w:t>
      </w:r>
      <w:r>
        <w:t>of</w:t>
      </w:r>
      <w:r>
        <w:rPr>
          <w:spacing w:val="-9"/>
        </w:rPr>
        <w:t xml:space="preserve"> </w:t>
      </w:r>
      <w:r>
        <w:t>5%</w:t>
      </w:r>
      <w:r>
        <w:rPr>
          <w:spacing w:val="-1"/>
        </w:rPr>
        <w:t xml:space="preserve"> </w:t>
      </w:r>
      <w:r>
        <w:t>per</w:t>
      </w:r>
      <w:r>
        <w:rPr>
          <w:spacing w:val="-4"/>
        </w:rPr>
        <w:t xml:space="preserve"> </w:t>
      </w:r>
      <w:r>
        <w:t>annum. This</w:t>
      </w:r>
      <w:r>
        <w:rPr>
          <w:spacing w:val="-4"/>
        </w:rPr>
        <w:t xml:space="preserve"> </w:t>
      </w:r>
      <w:r>
        <w:t>was</w:t>
      </w:r>
      <w:r>
        <w:rPr>
          <w:spacing w:val="-3"/>
        </w:rPr>
        <w:t xml:space="preserve"> </w:t>
      </w:r>
      <w:r>
        <w:t>consistent with</w:t>
      </w:r>
      <w:r>
        <w:rPr>
          <w:spacing w:val="-2"/>
        </w:rPr>
        <w:t xml:space="preserve"> </w:t>
      </w:r>
      <w:r>
        <w:t>long-term</w:t>
      </w:r>
      <w:r>
        <w:rPr>
          <w:spacing w:val="-6"/>
        </w:rPr>
        <w:t xml:space="preserve"> </w:t>
      </w:r>
      <w:r>
        <w:t>nominal GDP growth and Infosys's mature industry status.</w:t>
      </w:r>
    </w:p>
    <w:p w14:paraId="1AE6447A" w14:textId="77777777" w:rsidR="00F66501" w:rsidRDefault="00000000">
      <w:pPr>
        <w:pStyle w:val="Heading1"/>
        <w:numPr>
          <w:ilvl w:val="0"/>
          <w:numId w:val="1"/>
        </w:numPr>
        <w:tabs>
          <w:tab w:val="left" w:pos="996"/>
        </w:tabs>
        <w:spacing w:before="7"/>
        <w:ind w:left="996" w:hanging="276"/>
      </w:pPr>
      <w:bookmarkStart w:id="12" w:name="d)_Number_of_Outstanding_Shares"/>
      <w:bookmarkEnd w:id="12"/>
      <w:r>
        <w:t>Number</w:t>
      </w:r>
      <w:r>
        <w:rPr>
          <w:spacing w:val="-5"/>
        </w:rPr>
        <w:t xml:space="preserve"> </w:t>
      </w:r>
      <w:r>
        <w:t>of</w:t>
      </w:r>
      <w:r>
        <w:rPr>
          <w:spacing w:val="-2"/>
        </w:rPr>
        <w:t xml:space="preserve"> </w:t>
      </w:r>
      <w:r>
        <w:t>Outstanding</w:t>
      </w:r>
      <w:r>
        <w:rPr>
          <w:spacing w:val="-4"/>
        </w:rPr>
        <w:t xml:space="preserve"> </w:t>
      </w:r>
      <w:r>
        <w:rPr>
          <w:spacing w:val="-2"/>
        </w:rPr>
        <w:t>Shares</w:t>
      </w:r>
    </w:p>
    <w:p w14:paraId="0EDDBBF0" w14:textId="77777777" w:rsidR="00F66501" w:rsidRDefault="00000000">
      <w:pPr>
        <w:pStyle w:val="BodyText"/>
        <w:spacing w:before="132" w:line="360" w:lineRule="auto"/>
        <w:ind w:right="834"/>
      </w:pPr>
      <w:r>
        <w:t>Infosys</w:t>
      </w:r>
      <w:r>
        <w:rPr>
          <w:spacing w:val="-6"/>
        </w:rPr>
        <w:t xml:space="preserve"> </w:t>
      </w:r>
      <w:r>
        <w:t>Limited</w:t>
      </w:r>
      <w:r>
        <w:rPr>
          <w:spacing w:val="-4"/>
        </w:rPr>
        <w:t xml:space="preserve"> </w:t>
      </w:r>
      <w:r>
        <w:t>has</w:t>
      </w:r>
      <w:r>
        <w:rPr>
          <w:spacing w:val="-6"/>
        </w:rPr>
        <w:t xml:space="preserve"> </w:t>
      </w:r>
      <w:r>
        <w:t>approximately</w:t>
      </w:r>
      <w:r>
        <w:rPr>
          <w:spacing w:val="-8"/>
        </w:rPr>
        <w:t xml:space="preserve"> </w:t>
      </w:r>
      <w:r>
        <w:t>415.09</w:t>
      </w:r>
      <w:r>
        <w:rPr>
          <w:spacing w:val="-4"/>
        </w:rPr>
        <w:t xml:space="preserve"> </w:t>
      </w:r>
      <w:r>
        <w:t>crore</w:t>
      </w:r>
      <w:r>
        <w:rPr>
          <w:spacing w:val="-5"/>
        </w:rPr>
        <w:t xml:space="preserve"> </w:t>
      </w:r>
      <w:r>
        <w:t>shares</w:t>
      </w:r>
      <w:r>
        <w:rPr>
          <w:spacing w:val="-6"/>
        </w:rPr>
        <w:t xml:space="preserve"> </w:t>
      </w:r>
      <w:r>
        <w:t>outstanding,</w:t>
      </w:r>
      <w:r>
        <w:rPr>
          <w:spacing w:val="-2"/>
        </w:rPr>
        <w:t xml:space="preserve"> </w:t>
      </w:r>
      <w:r>
        <w:t>as</w:t>
      </w:r>
      <w:r>
        <w:rPr>
          <w:spacing w:val="-6"/>
        </w:rPr>
        <w:t xml:space="preserve"> </w:t>
      </w:r>
      <w:r>
        <w:t>per</w:t>
      </w:r>
      <w:r>
        <w:rPr>
          <w:spacing w:val="-3"/>
        </w:rPr>
        <w:t xml:space="preserve"> </w:t>
      </w:r>
      <w:r>
        <w:t xml:space="preserve">the latest annual </w:t>
      </w:r>
      <w:r>
        <w:rPr>
          <w:spacing w:val="-2"/>
        </w:rPr>
        <w:t>report.</w:t>
      </w:r>
    </w:p>
    <w:p w14:paraId="6B7FA1D4" w14:textId="77777777" w:rsidR="00F66501" w:rsidRDefault="00000000">
      <w:pPr>
        <w:pStyle w:val="Heading1"/>
        <w:numPr>
          <w:ilvl w:val="1"/>
          <w:numId w:val="2"/>
        </w:numPr>
        <w:tabs>
          <w:tab w:val="left" w:pos="1084"/>
        </w:tabs>
        <w:spacing w:before="161"/>
        <w:ind w:hanging="364"/>
      </w:pPr>
      <w:bookmarkStart w:id="13" w:name="2.3_Forecast_Period_and_Terminal_Value_E"/>
      <w:bookmarkStart w:id="14" w:name="_bookmark4"/>
      <w:bookmarkEnd w:id="13"/>
      <w:bookmarkEnd w:id="14"/>
      <w:r>
        <w:t>Forecast</w:t>
      </w:r>
      <w:r>
        <w:rPr>
          <w:spacing w:val="-3"/>
        </w:rPr>
        <w:t xml:space="preserve"> </w:t>
      </w:r>
      <w:r>
        <w:t>Period</w:t>
      </w:r>
      <w:r>
        <w:rPr>
          <w:spacing w:val="-3"/>
        </w:rPr>
        <w:t xml:space="preserve"> </w:t>
      </w:r>
      <w:r>
        <w:t>and</w:t>
      </w:r>
      <w:r>
        <w:rPr>
          <w:spacing w:val="-4"/>
        </w:rPr>
        <w:t xml:space="preserve"> </w:t>
      </w:r>
      <w:r>
        <w:t>Terminal</w:t>
      </w:r>
      <w:r>
        <w:rPr>
          <w:spacing w:val="-9"/>
        </w:rPr>
        <w:t xml:space="preserve"> </w:t>
      </w:r>
      <w:r>
        <w:t>Value</w:t>
      </w:r>
      <w:r>
        <w:rPr>
          <w:spacing w:val="-4"/>
        </w:rPr>
        <w:t xml:space="preserve"> </w:t>
      </w:r>
      <w:r>
        <w:rPr>
          <w:spacing w:val="-2"/>
        </w:rPr>
        <w:t>Estimation</w:t>
      </w:r>
    </w:p>
    <w:p w14:paraId="1A703256" w14:textId="77777777" w:rsidR="00F66501" w:rsidRDefault="00000000">
      <w:pPr>
        <w:pStyle w:val="BodyText"/>
        <w:spacing w:before="219" w:line="360" w:lineRule="auto"/>
        <w:ind w:right="765"/>
        <w:jc w:val="both"/>
      </w:pPr>
      <w:r>
        <w:t>The</w:t>
      </w:r>
      <w:r>
        <w:rPr>
          <w:spacing w:val="-5"/>
        </w:rPr>
        <w:t xml:space="preserve"> </w:t>
      </w:r>
      <w:r>
        <w:t>explicit forecast period</w:t>
      </w:r>
      <w:r>
        <w:rPr>
          <w:spacing w:val="-4"/>
        </w:rPr>
        <w:t xml:space="preserve"> </w:t>
      </w:r>
      <w:r>
        <w:t>extends</w:t>
      </w:r>
      <w:r>
        <w:rPr>
          <w:spacing w:val="-2"/>
        </w:rPr>
        <w:t xml:space="preserve"> </w:t>
      </w:r>
      <w:r>
        <w:t>from</w:t>
      </w:r>
      <w:r>
        <w:rPr>
          <w:spacing w:val="-12"/>
        </w:rPr>
        <w:t xml:space="preserve"> </w:t>
      </w:r>
      <w:r>
        <w:t>2025</w:t>
      </w:r>
      <w:r>
        <w:rPr>
          <w:spacing w:val="-4"/>
        </w:rPr>
        <w:t xml:space="preserve"> </w:t>
      </w:r>
      <w:r>
        <w:t>to</w:t>
      </w:r>
      <w:r>
        <w:rPr>
          <w:spacing w:val="-8"/>
        </w:rPr>
        <w:t xml:space="preserve"> </w:t>
      </w:r>
      <w:r>
        <w:t>2029.</w:t>
      </w:r>
      <w:r>
        <w:rPr>
          <w:spacing w:val="-2"/>
        </w:rPr>
        <w:t xml:space="preserve"> </w:t>
      </w:r>
      <w:r>
        <w:t>Beyond</w:t>
      </w:r>
      <w:r>
        <w:rPr>
          <w:spacing w:val="-4"/>
        </w:rPr>
        <w:t xml:space="preserve"> </w:t>
      </w:r>
      <w:r>
        <w:t>2029,</w:t>
      </w:r>
      <w:r>
        <w:rPr>
          <w:spacing w:val="-2"/>
        </w:rPr>
        <w:t xml:space="preserve"> </w:t>
      </w:r>
      <w:r>
        <w:t>cash</w:t>
      </w:r>
      <w:r>
        <w:rPr>
          <w:spacing w:val="-4"/>
        </w:rPr>
        <w:t xml:space="preserve"> </w:t>
      </w:r>
      <w:r>
        <w:t>flows</w:t>
      </w:r>
      <w:r>
        <w:rPr>
          <w:spacing w:val="-7"/>
        </w:rPr>
        <w:t xml:space="preserve"> </w:t>
      </w:r>
      <w:r>
        <w:t>are</w:t>
      </w:r>
      <w:r>
        <w:rPr>
          <w:spacing w:val="-5"/>
        </w:rPr>
        <w:t xml:space="preserve"> </w:t>
      </w:r>
      <w:r>
        <w:t>assumed</w:t>
      </w:r>
      <w:r>
        <w:rPr>
          <w:spacing w:val="-4"/>
        </w:rPr>
        <w:t xml:space="preserve"> </w:t>
      </w:r>
      <w:r>
        <w:t>to grow</w:t>
      </w:r>
      <w:r>
        <w:rPr>
          <w:spacing w:val="-9"/>
        </w:rPr>
        <w:t xml:space="preserve"> </w:t>
      </w:r>
      <w:r>
        <w:t>at a</w:t>
      </w:r>
      <w:r>
        <w:rPr>
          <w:spacing w:val="-4"/>
        </w:rPr>
        <w:t xml:space="preserve"> </w:t>
      </w:r>
      <w:r>
        <w:t>stable</w:t>
      </w:r>
      <w:r>
        <w:rPr>
          <w:spacing w:val="-4"/>
        </w:rPr>
        <w:t xml:space="preserve"> </w:t>
      </w:r>
      <w:r>
        <w:t>rate</w:t>
      </w:r>
      <w:r>
        <w:rPr>
          <w:spacing w:val="-4"/>
        </w:rPr>
        <w:t xml:space="preserve"> </w:t>
      </w:r>
      <w:r>
        <w:t>indefinitely.</w:t>
      </w:r>
      <w:r>
        <w:rPr>
          <w:spacing w:val="-1"/>
        </w:rPr>
        <w:t xml:space="preserve"> </w:t>
      </w:r>
      <w:r>
        <w:t>The</w:t>
      </w:r>
      <w:r>
        <w:rPr>
          <w:spacing w:val="-4"/>
        </w:rPr>
        <w:t xml:space="preserve"> </w:t>
      </w:r>
      <w:r>
        <w:t>terminal</w:t>
      </w:r>
      <w:r>
        <w:rPr>
          <w:spacing w:val="-3"/>
        </w:rPr>
        <w:t xml:space="preserve"> </w:t>
      </w:r>
      <w:r>
        <w:t>value</w:t>
      </w:r>
      <w:r>
        <w:rPr>
          <w:spacing w:val="-4"/>
        </w:rPr>
        <w:t xml:space="preserve"> </w:t>
      </w:r>
      <w:r>
        <w:t>was</w:t>
      </w:r>
      <w:r>
        <w:rPr>
          <w:spacing w:val="-5"/>
        </w:rPr>
        <w:t xml:space="preserve"> </w:t>
      </w:r>
      <w:r>
        <w:t>calculated</w:t>
      </w:r>
      <w:r>
        <w:rPr>
          <w:spacing w:val="-3"/>
        </w:rPr>
        <w:t xml:space="preserve"> </w:t>
      </w:r>
      <w:r>
        <w:t>using</w:t>
      </w:r>
      <w:r>
        <w:rPr>
          <w:spacing w:val="-3"/>
        </w:rPr>
        <w:t xml:space="preserve"> </w:t>
      </w:r>
      <w:r>
        <w:t xml:space="preserve">the following formula: Terminal Value= </w:t>
      </w:r>
      <w:r>
        <w:rPr>
          <w:u w:val="single"/>
        </w:rPr>
        <w:t>FCFE2029 ×(1+g)</w:t>
      </w:r>
    </w:p>
    <w:p w14:paraId="5D47CB82" w14:textId="77777777" w:rsidR="00F66501" w:rsidRDefault="00000000">
      <w:pPr>
        <w:pStyle w:val="BodyText"/>
        <w:spacing w:line="273" w:lineRule="exact"/>
        <w:ind w:left="2646"/>
      </w:pPr>
      <w:r>
        <w:rPr>
          <w:spacing w:val="-2"/>
        </w:rPr>
        <w:t>r-</w:t>
      </w:r>
      <w:r>
        <w:rPr>
          <w:spacing w:val="-12"/>
        </w:rPr>
        <w:t>g</w:t>
      </w:r>
    </w:p>
    <w:p w14:paraId="265711E5" w14:textId="77777777" w:rsidR="00F66501" w:rsidRDefault="00000000">
      <w:pPr>
        <w:pStyle w:val="BodyText"/>
        <w:spacing w:before="141"/>
      </w:pPr>
      <w:proofErr w:type="gramStart"/>
      <w:r>
        <w:rPr>
          <w:spacing w:val="-2"/>
        </w:rPr>
        <w:t>Where;</w:t>
      </w:r>
      <w:proofErr w:type="gramEnd"/>
    </w:p>
    <w:p w14:paraId="75564598" w14:textId="77777777" w:rsidR="00F66501" w:rsidRDefault="00000000">
      <w:pPr>
        <w:pStyle w:val="BodyText"/>
        <w:spacing w:before="137" w:line="360" w:lineRule="auto"/>
        <w:ind w:right="7022" w:firstLine="62"/>
      </w:pPr>
      <w:r>
        <w:t>g</w:t>
      </w:r>
      <w:r>
        <w:rPr>
          <w:spacing w:val="-4"/>
        </w:rPr>
        <w:t xml:space="preserve"> </w:t>
      </w:r>
      <w:r>
        <w:t>=</w:t>
      </w:r>
      <w:r>
        <w:rPr>
          <w:spacing w:val="-10"/>
        </w:rPr>
        <w:t xml:space="preserve"> </w:t>
      </w:r>
      <w:r>
        <w:t>Perpetual</w:t>
      </w:r>
      <w:r>
        <w:rPr>
          <w:spacing w:val="-12"/>
        </w:rPr>
        <w:t xml:space="preserve"> </w:t>
      </w:r>
      <w:r>
        <w:t>growth</w:t>
      </w:r>
      <w:r>
        <w:rPr>
          <w:spacing w:val="-9"/>
        </w:rPr>
        <w:t xml:space="preserve"> </w:t>
      </w:r>
      <w:r>
        <w:t>rate</w:t>
      </w:r>
      <w:r>
        <w:rPr>
          <w:spacing w:val="-10"/>
        </w:rPr>
        <w:t xml:space="preserve"> </w:t>
      </w:r>
      <w:r>
        <w:t>(5%) r = Cost of equity (12–13%)</w:t>
      </w:r>
    </w:p>
    <w:p w14:paraId="09B8DC65" w14:textId="77777777" w:rsidR="00F66501" w:rsidRDefault="00000000">
      <w:pPr>
        <w:pStyle w:val="BodyText"/>
        <w:spacing w:line="274" w:lineRule="exact"/>
      </w:pPr>
      <w:r>
        <w:t>FCFE2029 =</w:t>
      </w:r>
      <w:r>
        <w:rPr>
          <w:spacing w:val="-2"/>
        </w:rPr>
        <w:t xml:space="preserve"> </w:t>
      </w:r>
      <w:r>
        <w:t>Free</w:t>
      </w:r>
      <w:r>
        <w:rPr>
          <w:spacing w:val="-1"/>
        </w:rPr>
        <w:t xml:space="preserve"> </w:t>
      </w:r>
      <w:r>
        <w:t>Cash</w:t>
      </w:r>
      <w:r>
        <w:rPr>
          <w:spacing w:val="-6"/>
        </w:rPr>
        <w:t xml:space="preserve"> </w:t>
      </w:r>
      <w:r>
        <w:t>Flow</w:t>
      </w:r>
      <w:r>
        <w:rPr>
          <w:spacing w:val="-1"/>
        </w:rPr>
        <w:t xml:space="preserve"> </w:t>
      </w:r>
      <w:r>
        <w:t>to</w:t>
      </w:r>
      <w:r>
        <w:rPr>
          <w:spacing w:val="-1"/>
        </w:rPr>
        <w:t xml:space="preserve"> </w:t>
      </w:r>
      <w:r>
        <w:t>Equity</w:t>
      </w:r>
      <w:r>
        <w:rPr>
          <w:spacing w:val="-5"/>
        </w:rPr>
        <w:t xml:space="preserve"> </w:t>
      </w:r>
      <w:r>
        <w:t>in</w:t>
      </w:r>
      <w:r>
        <w:rPr>
          <w:spacing w:val="-5"/>
        </w:rPr>
        <w:t xml:space="preserve"> </w:t>
      </w:r>
      <w:r>
        <w:rPr>
          <w:spacing w:val="-4"/>
        </w:rPr>
        <w:t>2029</w:t>
      </w:r>
    </w:p>
    <w:p w14:paraId="13EBD20E" w14:textId="77777777" w:rsidR="00F66501" w:rsidRDefault="00F66501">
      <w:pPr>
        <w:pStyle w:val="BodyText"/>
        <w:spacing w:before="230"/>
        <w:ind w:left="0"/>
      </w:pPr>
    </w:p>
    <w:p w14:paraId="58E621E0" w14:textId="77777777" w:rsidR="00F66501" w:rsidRDefault="00000000">
      <w:pPr>
        <w:pStyle w:val="Heading1"/>
        <w:numPr>
          <w:ilvl w:val="0"/>
          <w:numId w:val="2"/>
        </w:numPr>
        <w:tabs>
          <w:tab w:val="left" w:pos="964"/>
        </w:tabs>
        <w:spacing w:before="1"/>
        <w:ind w:hanging="244"/>
      </w:pPr>
      <w:bookmarkStart w:id="15" w:name="3._Numerical_Results"/>
      <w:bookmarkStart w:id="16" w:name="_bookmark5"/>
      <w:bookmarkEnd w:id="15"/>
      <w:bookmarkEnd w:id="16"/>
      <w:r>
        <w:t>Numerical</w:t>
      </w:r>
      <w:r>
        <w:rPr>
          <w:spacing w:val="-9"/>
        </w:rPr>
        <w:t xml:space="preserve"> </w:t>
      </w:r>
      <w:r>
        <w:rPr>
          <w:spacing w:val="-2"/>
        </w:rPr>
        <w:t>Results</w:t>
      </w:r>
    </w:p>
    <w:p w14:paraId="0FAE7076" w14:textId="77777777" w:rsidR="00F66501" w:rsidRDefault="00000000">
      <w:pPr>
        <w:pStyle w:val="BodyText"/>
        <w:spacing w:before="213"/>
      </w:pPr>
      <w:r>
        <w:t>This</w:t>
      </w:r>
      <w:r>
        <w:rPr>
          <w:spacing w:val="-6"/>
        </w:rPr>
        <w:t xml:space="preserve"> </w:t>
      </w:r>
      <w:r>
        <w:t>section</w:t>
      </w:r>
      <w:r>
        <w:rPr>
          <w:spacing w:val="-7"/>
        </w:rPr>
        <w:t xml:space="preserve"> </w:t>
      </w:r>
      <w:r>
        <w:t>presents</w:t>
      </w:r>
      <w:r>
        <w:rPr>
          <w:spacing w:val="-4"/>
        </w:rPr>
        <w:t xml:space="preserve"> </w:t>
      </w:r>
      <w:r>
        <w:t>detailed</w:t>
      </w:r>
      <w:r>
        <w:rPr>
          <w:spacing w:val="2"/>
        </w:rPr>
        <w:t xml:space="preserve"> </w:t>
      </w:r>
      <w:r>
        <w:t>numerical</w:t>
      </w:r>
      <w:r>
        <w:rPr>
          <w:spacing w:val="-1"/>
        </w:rPr>
        <w:t xml:space="preserve"> </w:t>
      </w:r>
      <w:r>
        <w:t>results from</w:t>
      </w:r>
      <w:r>
        <w:rPr>
          <w:spacing w:val="-11"/>
        </w:rPr>
        <w:t xml:space="preserve"> </w:t>
      </w:r>
      <w:r>
        <w:t>the</w:t>
      </w:r>
      <w:r>
        <w:rPr>
          <w:spacing w:val="2"/>
        </w:rPr>
        <w:t xml:space="preserve"> </w:t>
      </w:r>
      <w:r>
        <w:t>valuation</w:t>
      </w:r>
      <w:r>
        <w:rPr>
          <w:spacing w:val="-6"/>
        </w:rPr>
        <w:t xml:space="preserve"> </w:t>
      </w:r>
      <w:r>
        <w:rPr>
          <w:spacing w:val="-2"/>
        </w:rPr>
        <w:t>exercise.</w:t>
      </w:r>
    </w:p>
    <w:p w14:paraId="321D096D" w14:textId="77777777" w:rsidR="00F66501" w:rsidRDefault="00F66501">
      <w:pPr>
        <w:pStyle w:val="BodyText"/>
        <w:spacing w:before="25"/>
        <w:ind w:left="0"/>
      </w:pPr>
    </w:p>
    <w:p w14:paraId="1EFF7B08" w14:textId="77777777" w:rsidR="00F66501" w:rsidRDefault="00000000">
      <w:pPr>
        <w:pStyle w:val="Heading1"/>
        <w:numPr>
          <w:ilvl w:val="1"/>
          <w:numId w:val="2"/>
        </w:numPr>
        <w:tabs>
          <w:tab w:val="left" w:pos="1084"/>
        </w:tabs>
        <w:ind w:hanging="364"/>
      </w:pPr>
      <w:bookmarkStart w:id="17" w:name="3.1_Projected_Free_Cash_Flows_(FCFE)"/>
      <w:bookmarkStart w:id="18" w:name="_bookmark6"/>
      <w:bookmarkEnd w:id="17"/>
      <w:bookmarkEnd w:id="18"/>
      <w:r>
        <w:t>Projected</w:t>
      </w:r>
      <w:r>
        <w:rPr>
          <w:spacing w:val="-4"/>
        </w:rPr>
        <w:t xml:space="preserve"> </w:t>
      </w:r>
      <w:r>
        <w:t>Free</w:t>
      </w:r>
      <w:r>
        <w:rPr>
          <w:spacing w:val="-5"/>
        </w:rPr>
        <w:t xml:space="preserve"> </w:t>
      </w:r>
      <w:r>
        <w:t>Cash</w:t>
      </w:r>
      <w:r>
        <w:rPr>
          <w:spacing w:val="-4"/>
        </w:rPr>
        <w:t xml:space="preserve"> </w:t>
      </w:r>
      <w:r>
        <w:t>Flows</w:t>
      </w:r>
      <w:r>
        <w:rPr>
          <w:spacing w:val="-6"/>
        </w:rPr>
        <w:t xml:space="preserve"> </w:t>
      </w:r>
      <w:r>
        <w:rPr>
          <w:spacing w:val="-2"/>
        </w:rPr>
        <w:t>(FCFE)</w:t>
      </w:r>
    </w:p>
    <w:p w14:paraId="4A1FB2FA" w14:textId="77777777" w:rsidR="00F66501" w:rsidRDefault="00000000">
      <w:pPr>
        <w:pStyle w:val="BodyText"/>
        <w:spacing w:before="213" w:after="6" w:line="360" w:lineRule="auto"/>
        <w:ind w:right="758"/>
      </w:pPr>
      <w:r>
        <w:t>Based</w:t>
      </w:r>
      <w:r>
        <w:rPr>
          <w:spacing w:val="-4"/>
        </w:rPr>
        <w:t xml:space="preserve"> </w:t>
      </w:r>
      <w:r>
        <w:t>on</w:t>
      </w:r>
      <w:r>
        <w:rPr>
          <w:spacing w:val="-4"/>
        </w:rPr>
        <w:t xml:space="preserve"> </w:t>
      </w:r>
      <w:r>
        <w:t>moderate</w:t>
      </w:r>
      <w:r>
        <w:rPr>
          <w:spacing w:val="-9"/>
        </w:rPr>
        <w:t xml:space="preserve"> </w:t>
      </w:r>
      <w:r>
        <w:t>revenue</w:t>
      </w:r>
      <w:r>
        <w:rPr>
          <w:spacing w:val="-5"/>
        </w:rPr>
        <w:t xml:space="preserve"> </w:t>
      </w:r>
      <w:r>
        <w:t>and</w:t>
      </w:r>
      <w:r>
        <w:rPr>
          <w:spacing w:val="-4"/>
        </w:rPr>
        <w:t xml:space="preserve"> </w:t>
      </w:r>
      <w:r>
        <w:t>operational</w:t>
      </w:r>
      <w:r>
        <w:rPr>
          <w:spacing w:val="-12"/>
        </w:rPr>
        <w:t xml:space="preserve"> </w:t>
      </w:r>
      <w:r>
        <w:t>projections,</w:t>
      </w:r>
      <w:r>
        <w:rPr>
          <w:spacing w:val="-2"/>
        </w:rPr>
        <w:t xml:space="preserve"> </w:t>
      </w:r>
      <w:r>
        <w:t>the</w:t>
      </w:r>
      <w:r>
        <w:rPr>
          <w:spacing w:val="-5"/>
        </w:rPr>
        <w:t xml:space="preserve"> </w:t>
      </w:r>
      <w:r>
        <w:t>following</w:t>
      </w:r>
      <w:r>
        <w:rPr>
          <w:spacing w:val="-4"/>
        </w:rPr>
        <w:t xml:space="preserve"> </w:t>
      </w:r>
      <w:r>
        <w:t>FCFE</w:t>
      </w:r>
      <w:r>
        <w:rPr>
          <w:spacing w:val="-2"/>
        </w:rPr>
        <w:t xml:space="preserve"> </w:t>
      </w:r>
      <w:r>
        <w:t>estimates</w:t>
      </w:r>
      <w:r>
        <w:rPr>
          <w:spacing w:val="-6"/>
        </w:rPr>
        <w:t xml:space="preserve"> </w:t>
      </w:r>
      <w:r>
        <w:t xml:space="preserve">were </w:t>
      </w:r>
      <w:r>
        <w:rPr>
          <w:spacing w:val="-2"/>
        </w:rPr>
        <w:t>made:</w:t>
      </w: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8"/>
        <w:gridCol w:w="4346"/>
      </w:tblGrid>
      <w:tr w:rsidR="00F66501" w14:paraId="4405769B" w14:textId="77777777">
        <w:trPr>
          <w:trHeight w:val="417"/>
        </w:trPr>
        <w:tc>
          <w:tcPr>
            <w:tcW w:w="4288" w:type="dxa"/>
          </w:tcPr>
          <w:p w14:paraId="3D220F31" w14:textId="77777777" w:rsidR="00F66501" w:rsidRDefault="00000000">
            <w:pPr>
              <w:pStyle w:val="TableParagraph"/>
              <w:spacing w:before="1" w:line="240" w:lineRule="auto"/>
              <w:rPr>
                <w:b/>
                <w:sz w:val="24"/>
              </w:rPr>
            </w:pPr>
            <w:r>
              <w:rPr>
                <w:b/>
                <w:spacing w:val="-4"/>
                <w:sz w:val="24"/>
              </w:rPr>
              <w:t>Year</w:t>
            </w:r>
          </w:p>
        </w:tc>
        <w:tc>
          <w:tcPr>
            <w:tcW w:w="4346" w:type="dxa"/>
          </w:tcPr>
          <w:p w14:paraId="5EAD93A1" w14:textId="77777777" w:rsidR="00F66501" w:rsidRDefault="00000000">
            <w:pPr>
              <w:pStyle w:val="TableParagraph"/>
              <w:spacing w:line="273" w:lineRule="exact"/>
              <w:rPr>
                <w:sz w:val="24"/>
              </w:rPr>
            </w:pPr>
            <w:r>
              <w:rPr>
                <w:sz w:val="24"/>
              </w:rPr>
              <w:t>FCFE</w:t>
            </w:r>
            <w:r>
              <w:rPr>
                <w:spacing w:val="1"/>
                <w:sz w:val="24"/>
              </w:rPr>
              <w:t xml:space="preserve"> </w:t>
            </w:r>
            <w:r>
              <w:rPr>
                <w:sz w:val="24"/>
              </w:rPr>
              <w:t xml:space="preserve">(₹ </w:t>
            </w:r>
            <w:r>
              <w:rPr>
                <w:spacing w:val="-2"/>
                <w:sz w:val="24"/>
              </w:rPr>
              <w:t>Crore)</w:t>
            </w:r>
          </w:p>
        </w:tc>
      </w:tr>
      <w:tr w:rsidR="00F66501" w14:paraId="2F36BBD4" w14:textId="77777777">
        <w:trPr>
          <w:trHeight w:val="412"/>
        </w:trPr>
        <w:tc>
          <w:tcPr>
            <w:tcW w:w="4288" w:type="dxa"/>
          </w:tcPr>
          <w:p w14:paraId="20A40076" w14:textId="77777777" w:rsidR="00F66501" w:rsidRDefault="00000000">
            <w:pPr>
              <w:pStyle w:val="TableParagraph"/>
              <w:spacing w:line="273" w:lineRule="exact"/>
              <w:rPr>
                <w:b/>
                <w:sz w:val="24"/>
              </w:rPr>
            </w:pPr>
            <w:r>
              <w:rPr>
                <w:b/>
                <w:spacing w:val="-4"/>
                <w:sz w:val="24"/>
              </w:rPr>
              <w:t>2025</w:t>
            </w:r>
          </w:p>
        </w:tc>
        <w:tc>
          <w:tcPr>
            <w:tcW w:w="4346" w:type="dxa"/>
          </w:tcPr>
          <w:p w14:paraId="4EB274C6" w14:textId="77777777" w:rsidR="00F66501" w:rsidRDefault="00000000">
            <w:pPr>
              <w:pStyle w:val="TableParagraph"/>
              <w:rPr>
                <w:sz w:val="24"/>
              </w:rPr>
            </w:pPr>
            <w:r>
              <w:rPr>
                <w:spacing w:val="-2"/>
                <w:sz w:val="24"/>
              </w:rPr>
              <w:t>30,571.40</w:t>
            </w:r>
          </w:p>
        </w:tc>
      </w:tr>
      <w:tr w:rsidR="00F66501" w14:paraId="3B16F551" w14:textId="77777777">
        <w:trPr>
          <w:trHeight w:val="412"/>
        </w:trPr>
        <w:tc>
          <w:tcPr>
            <w:tcW w:w="4288" w:type="dxa"/>
          </w:tcPr>
          <w:p w14:paraId="61D07D12" w14:textId="77777777" w:rsidR="00F66501" w:rsidRDefault="00000000">
            <w:pPr>
              <w:pStyle w:val="TableParagraph"/>
              <w:spacing w:line="273" w:lineRule="exact"/>
              <w:rPr>
                <w:b/>
                <w:sz w:val="24"/>
              </w:rPr>
            </w:pPr>
            <w:r>
              <w:rPr>
                <w:b/>
                <w:spacing w:val="-4"/>
                <w:sz w:val="24"/>
              </w:rPr>
              <w:t>2026</w:t>
            </w:r>
          </w:p>
        </w:tc>
        <w:tc>
          <w:tcPr>
            <w:tcW w:w="4346" w:type="dxa"/>
          </w:tcPr>
          <w:p w14:paraId="165AF934" w14:textId="77777777" w:rsidR="00F66501" w:rsidRDefault="00000000">
            <w:pPr>
              <w:pStyle w:val="TableParagraph"/>
              <w:rPr>
                <w:sz w:val="24"/>
              </w:rPr>
            </w:pPr>
            <w:r>
              <w:rPr>
                <w:spacing w:val="-2"/>
                <w:sz w:val="24"/>
              </w:rPr>
              <w:t>33,628.54</w:t>
            </w:r>
          </w:p>
        </w:tc>
      </w:tr>
      <w:tr w:rsidR="00F66501" w14:paraId="3FFB91C9" w14:textId="77777777">
        <w:trPr>
          <w:trHeight w:val="508"/>
        </w:trPr>
        <w:tc>
          <w:tcPr>
            <w:tcW w:w="4288" w:type="dxa"/>
          </w:tcPr>
          <w:p w14:paraId="7ACDEB74" w14:textId="77777777" w:rsidR="00F66501" w:rsidRDefault="00000000">
            <w:pPr>
              <w:pStyle w:val="TableParagraph"/>
              <w:spacing w:before="1" w:line="240" w:lineRule="auto"/>
              <w:rPr>
                <w:b/>
                <w:sz w:val="24"/>
              </w:rPr>
            </w:pPr>
            <w:r>
              <w:rPr>
                <w:b/>
                <w:spacing w:val="-4"/>
                <w:sz w:val="24"/>
              </w:rPr>
              <w:t>2027</w:t>
            </w:r>
          </w:p>
        </w:tc>
        <w:tc>
          <w:tcPr>
            <w:tcW w:w="4346" w:type="dxa"/>
          </w:tcPr>
          <w:p w14:paraId="48CEC8D6" w14:textId="77777777" w:rsidR="00F66501" w:rsidRDefault="00000000">
            <w:pPr>
              <w:pStyle w:val="TableParagraph"/>
              <w:spacing w:before="39" w:line="240" w:lineRule="auto"/>
              <w:ind w:left="220"/>
              <w:rPr>
                <w:sz w:val="24"/>
              </w:rPr>
            </w:pPr>
            <w:r>
              <w:rPr>
                <w:spacing w:val="-2"/>
                <w:sz w:val="24"/>
              </w:rPr>
              <w:t>36,991.39</w:t>
            </w:r>
          </w:p>
        </w:tc>
      </w:tr>
    </w:tbl>
    <w:p w14:paraId="31148FE8" w14:textId="77777777" w:rsidR="00F66501" w:rsidRDefault="00F66501">
      <w:pPr>
        <w:pStyle w:val="TableParagraph"/>
        <w:spacing w:line="240" w:lineRule="auto"/>
        <w:rPr>
          <w:sz w:val="24"/>
        </w:rPr>
        <w:sectPr w:rsidR="00F66501">
          <w:pgSz w:w="12240" w:h="15840"/>
          <w:pgMar w:top="980" w:right="720" w:bottom="280" w:left="720" w:header="723" w:footer="0" w:gutter="0"/>
          <w:cols w:space="720"/>
        </w:sectPr>
      </w:pPr>
    </w:p>
    <w:p w14:paraId="7CE1807C" w14:textId="77777777" w:rsidR="00F66501" w:rsidRDefault="00000000">
      <w:pPr>
        <w:pStyle w:val="BodyText"/>
        <w:spacing w:before="222"/>
        <w:ind w:left="0"/>
        <w:rPr>
          <w:sz w:val="20"/>
        </w:rPr>
      </w:pPr>
      <w:r>
        <w:rPr>
          <w:noProof/>
          <w:sz w:val="20"/>
        </w:rPr>
        <w:lastRenderedPageBreak/>
        <mc:AlternateContent>
          <mc:Choice Requires="wps">
            <w:drawing>
              <wp:anchor distT="0" distB="0" distL="0" distR="0" simplePos="0" relativeHeight="487360000" behindDoc="1" locked="0" layoutInCell="1" allowOverlap="1" wp14:anchorId="7B3341E3" wp14:editId="78739A8C">
                <wp:simplePos x="0" y="0"/>
                <wp:positionH relativeFrom="page">
                  <wp:posOffset>307848</wp:posOffset>
                </wp:positionH>
                <wp:positionV relativeFrom="page">
                  <wp:posOffset>307847</wp:posOffset>
                </wp:positionV>
                <wp:extent cx="7162800" cy="94488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47B063" id="Graphic 11" o:spid="_x0000_s1026" style="position:absolute;margin-left:24.25pt;margin-top:24.25pt;width:564pt;height:744pt;z-index:-15956480;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8"/>
        <w:gridCol w:w="4346"/>
      </w:tblGrid>
      <w:tr w:rsidR="00F66501" w14:paraId="3454BC44" w14:textId="77777777">
        <w:trPr>
          <w:trHeight w:val="412"/>
        </w:trPr>
        <w:tc>
          <w:tcPr>
            <w:tcW w:w="4288" w:type="dxa"/>
          </w:tcPr>
          <w:p w14:paraId="720B00A4" w14:textId="77777777" w:rsidR="00F66501" w:rsidRDefault="00000000">
            <w:pPr>
              <w:pStyle w:val="TableParagraph"/>
              <w:spacing w:line="273" w:lineRule="exact"/>
              <w:rPr>
                <w:b/>
                <w:sz w:val="24"/>
              </w:rPr>
            </w:pPr>
            <w:r>
              <w:rPr>
                <w:b/>
                <w:spacing w:val="-4"/>
                <w:sz w:val="24"/>
              </w:rPr>
              <w:t>2028</w:t>
            </w:r>
          </w:p>
        </w:tc>
        <w:tc>
          <w:tcPr>
            <w:tcW w:w="4346" w:type="dxa"/>
          </w:tcPr>
          <w:p w14:paraId="2B248D7D" w14:textId="77777777" w:rsidR="00F66501" w:rsidRDefault="00000000">
            <w:pPr>
              <w:pStyle w:val="TableParagraph"/>
              <w:rPr>
                <w:sz w:val="24"/>
              </w:rPr>
            </w:pPr>
            <w:r>
              <w:rPr>
                <w:spacing w:val="-2"/>
                <w:sz w:val="24"/>
              </w:rPr>
              <w:t>40,690.53</w:t>
            </w:r>
          </w:p>
        </w:tc>
      </w:tr>
      <w:tr w:rsidR="00F66501" w14:paraId="042C1231" w14:textId="77777777">
        <w:trPr>
          <w:trHeight w:val="417"/>
        </w:trPr>
        <w:tc>
          <w:tcPr>
            <w:tcW w:w="4288" w:type="dxa"/>
          </w:tcPr>
          <w:p w14:paraId="31C75DF6" w14:textId="77777777" w:rsidR="00F66501" w:rsidRDefault="00000000">
            <w:pPr>
              <w:pStyle w:val="TableParagraph"/>
              <w:spacing w:line="273" w:lineRule="exact"/>
              <w:rPr>
                <w:b/>
                <w:sz w:val="24"/>
              </w:rPr>
            </w:pPr>
            <w:r>
              <w:rPr>
                <w:b/>
                <w:spacing w:val="-4"/>
                <w:sz w:val="24"/>
              </w:rPr>
              <w:t>2029</w:t>
            </w:r>
          </w:p>
        </w:tc>
        <w:tc>
          <w:tcPr>
            <w:tcW w:w="4346" w:type="dxa"/>
          </w:tcPr>
          <w:p w14:paraId="486C775D" w14:textId="77777777" w:rsidR="00F66501" w:rsidRDefault="00000000">
            <w:pPr>
              <w:pStyle w:val="TableParagraph"/>
              <w:rPr>
                <w:sz w:val="24"/>
              </w:rPr>
            </w:pPr>
            <w:r>
              <w:rPr>
                <w:spacing w:val="-2"/>
                <w:sz w:val="24"/>
              </w:rPr>
              <w:t>44,759.58</w:t>
            </w:r>
          </w:p>
        </w:tc>
      </w:tr>
    </w:tbl>
    <w:p w14:paraId="29C28864" w14:textId="77777777" w:rsidR="00F66501" w:rsidRDefault="00000000">
      <w:pPr>
        <w:pStyle w:val="BodyText"/>
        <w:spacing w:line="360" w:lineRule="auto"/>
        <w:ind w:right="1446"/>
      </w:pPr>
      <w:r>
        <w:t>Terminal</w:t>
      </w:r>
      <w:r>
        <w:rPr>
          <w:spacing w:val="-7"/>
        </w:rPr>
        <w:t xml:space="preserve"> </w:t>
      </w:r>
      <w:r>
        <w:t>Value</w:t>
      </w:r>
      <w:r>
        <w:rPr>
          <w:spacing w:val="-3"/>
        </w:rPr>
        <w:t xml:space="preserve"> </w:t>
      </w:r>
      <w:r>
        <w:t>(calculated</w:t>
      </w:r>
      <w:r>
        <w:rPr>
          <w:spacing w:val="-2"/>
        </w:rPr>
        <w:t xml:space="preserve"> </w:t>
      </w:r>
      <w:r>
        <w:t>at</w:t>
      </w:r>
      <w:r>
        <w:rPr>
          <w:spacing w:val="-2"/>
        </w:rPr>
        <w:t xml:space="preserve"> </w:t>
      </w:r>
      <w:r>
        <w:t>the</w:t>
      </w:r>
      <w:r>
        <w:rPr>
          <w:spacing w:val="-3"/>
        </w:rPr>
        <w:t xml:space="preserve"> </w:t>
      </w:r>
      <w:r>
        <w:t>end</w:t>
      </w:r>
      <w:r>
        <w:rPr>
          <w:spacing w:val="-2"/>
        </w:rPr>
        <w:t xml:space="preserve"> </w:t>
      </w:r>
      <w:r>
        <w:t>of</w:t>
      </w:r>
      <w:r>
        <w:rPr>
          <w:spacing w:val="-10"/>
        </w:rPr>
        <w:t xml:space="preserve"> </w:t>
      </w:r>
      <w:r>
        <w:t>2029)</w:t>
      </w:r>
      <w:r>
        <w:rPr>
          <w:spacing w:val="-1"/>
        </w:rPr>
        <w:t xml:space="preserve"> </w:t>
      </w:r>
      <w:r>
        <w:t>was</w:t>
      </w:r>
      <w:r>
        <w:rPr>
          <w:spacing w:val="-4"/>
        </w:rPr>
        <w:t xml:space="preserve"> </w:t>
      </w:r>
      <w:r>
        <w:t>estimated</w:t>
      </w:r>
      <w:r>
        <w:rPr>
          <w:spacing w:val="-2"/>
        </w:rPr>
        <w:t xml:space="preserve"> </w:t>
      </w:r>
      <w:r>
        <w:t>at: 671,393.76</w:t>
      </w:r>
      <w:r>
        <w:rPr>
          <w:spacing w:val="-1"/>
        </w:rPr>
        <w:t xml:space="preserve"> </w:t>
      </w:r>
      <w:r>
        <w:t>crore (Infosys Limited, 2024 and Yahoo Finance. 2024)</w:t>
      </w:r>
    </w:p>
    <w:p w14:paraId="26F72CB6" w14:textId="77777777" w:rsidR="00F66501" w:rsidRDefault="00000000">
      <w:pPr>
        <w:pStyle w:val="Heading1"/>
        <w:numPr>
          <w:ilvl w:val="1"/>
          <w:numId w:val="2"/>
        </w:numPr>
        <w:tabs>
          <w:tab w:val="left" w:pos="1084"/>
        </w:tabs>
        <w:spacing w:before="153"/>
        <w:ind w:hanging="364"/>
      </w:pPr>
      <w:bookmarkStart w:id="19" w:name="3.2_Discount_Factors_and_Present_Value_("/>
      <w:bookmarkStart w:id="20" w:name="_bookmark7"/>
      <w:bookmarkEnd w:id="19"/>
      <w:bookmarkEnd w:id="20"/>
      <w:r>
        <w:t>Discount</w:t>
      </w:r>
      <w:r>
        <w:rPr>
          <w:spacing w:val="-7"/>
        </w:rPr>
        <w:t xml:space="preserve"> </w:t>
      </w:r>
      <w:r>
        <w:t>Factors</w:t>
      </w:r>
      <w:r>
        <w:rPr>
          <w:spacing w:val="-3"/>
        </w:rPr>
        <w:t xml:space="preserve"> </w:t>
      </w:r>
      <w:r>
        <w:t>and</w:t>
      </w:r>
      <w:r>
        <w:rPr>
          <w:spacing w:val="-2"/>
        </w:rPr>
        <w:t xml:space="preserve"> </w:t>
      </w:r>
      <w:r>
        <w:t>Present Value</w:t>
      </w:r>
      <w:r>
        <w:rPr>
          <w:spacing w:val="-3"/>
        </w:rPr>
        <w:t xml:space="preserve"> </w:t>
      </w:r>
      <w:r>
        <w:t>(PV)</w:t>
      </w:r>
      <w:r>
        <w:rPr>
          <w:spacing w:val="-1"/>
        </w:rPr>
        <w:t xml:space="preserve"> </w:t>
      </w:r>
      <w:r>
        <w:t>of</w:t>
      </w:r>
      <w:r>
        <w:rPr>
          <w:spacing w:val="-4"/>
        </w:rPr>
        <w:t xml:space="preserve"> </w:t>
      </w:r>
      <w:r>
        <w:t>Cash</w:t>
      </w:r>
      <w:r>
        <w:rPr>
          <w:spacing w:val="-1"/>
        </w:rPr>
        <w:t xml:space="preserve"> </w:t>
      </w:r>
      <w:r>
        <w:rPr>
          <w:spacing w:val="-2"/>
        </w:rPr>
        <w:t>Flows</w:t>
      </w:r>
    </w:p>
    <w:p w14:paraId="737B076C" w14:textId="77777777" w:rsidR="00F66501" w:rsidRDefault="00000000">
      <w:pPr>
        <w:pStyle w:val="BodyText"/>
        <w:spacing w:before="214" w:after="6" w:line="362" w:lineRule="auto"/>
        <w:ind w:right="758"/>
      </w:pPr>
      <w:r>
        <w:t>The</w:t>
      </w:r>
      <w:r>
        <w:rPr>
          <w:spacing w:val="-4"/>
        </w:rPr>
        <w:t xml:space="preserve"> </w:t>
      </w:r>
      <w:r>
        <w:t>projected</w:t>
      </w:r>
      <w:r>
        <w:rPr>
          <w:spacing w:val="-3"/>
        </w:rPr>
        <w:t xml:space="preserve"> </w:t>
      </w:r>
      <w:r>
        <w:t>cash</w:t>
      </w:r>
      <w:r>
        <w:rPr>
          <w:spacing w:val="-3"/>
        </w:rPr>
        <w:t xml:space="preserve"> </w:t>
      </w:r>
      <w:r>
        <w:t>flows</w:t>
      </w:r>
      <w:r>
        <w:rPr>
          <w:spacing w:val="-5"/>
        </w:rPr>
        <w:t xml:space="preserve"> </w:t>
      </w:r>
      <w:r>
        <w:t>were</w:t>
      </w:r>
      <w:r>
        <w:rPr>
          <w:spacing w:val="-4"/>
        </w:rPr>
        <w:t xml:space="preserve"> </w:t>
      </w:r>
      <w:r>
        <w:t>discounted</w:t>
      </w:r>
      <w:r>
        <w:rPr>
          <w:spacing w:val="-3"/>
        </w:rPr>
        <w:t xml:space="preserve"> </w:t>
      </w:r>
      <w:r>
        <w:t>using</w:t>
      </w:r>
      <w:r>
        <w:rPr>
          <w:spacing w:val="-3"/>
        </w:rPr>
        <w:t xml:space="preserve"> </w:t>
      </w:r>
      <w:r>
        <w:t>a discount rate</w:t>
      </w:r>
      <w:r>
        <w:rPr>
          <w:spacing w:val="-8"/>
        </w:rPr>
        <w:t xml:space="preserve"> </w:t>
      </w:r>
      <w:r>
        <w:t>between</w:t>
      </w:r>
      <w:r>
        <w:rPr>
          <w:spacing w:val="-7"/>
        </w:rPr>
        <w:t xml:space="preserve"> </w:t>
      </w:r>
      <w:r>
        <w:t>12%</w:t>
      </w:r>
      <w:r>
        <w:rPr>
          <w:spacing w:val="-2"/>
        </w:rPr>
        <w:t xml:space="preserve"> </w:t>
      </w:r>
      <w:r>
        <w:t>and</w:t>
      </w:r>
      <w:r>
        <w:rPr>
          <w:spacing w:val="-3"/>
        </w:rPr>
        <w:t xml:space="preserve"> </w:t>
      </w:r>
      <w:r>
        <w:t>13%,</w:t>
      </w:r>
      <w:r>
        <w:rPr>
          <w:spacing w:val="-1"/>
        </w:rPr>
        <w:t xml:space="preserve"> </w:t>
      </w:r>
      <w:r>
        <w:t>and</w:t>
      </w:r>
      <w:r>
        <w:rPr>
          <w:spacing w:val="-7"/>
        </w:rPr>
        <w:t xml:space="preserve"> </w:t>
      </w:r>
      <w:r>
        <w:t>the present values were calculated:</w:t>
      </w: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7"/>
        <w:gridCol w:w="2900"/>
        <w:gridCol w:w="2886"/>
      </w:tblGrid>
      <w:tr w:rsidR="00F66501" w14:paraId="490F319D" w14:textId="77777777">
        <w:trPr>
          <w:trHeight w:val="412"/>
        </w:trPr>
        <w:tc>
          <w:tcPr>
            <w:tcW w:w="2847" w:type="dxa"/>
          </w:tcPr>
          <w:p w14:paraId="51D8BB1C" w14:textId="77777777" w:rsidR="00F66501" w:rsidRDefault="00000000">
            <w:pPr>
              <w:pStyle w:val="TableParagraph"/>
              <w:spacing w:line="273" w:lineRule="exact"/>
              <w:rPr>
                <w:b/>
                <w:sz w:val="24"/>
              </w:rPr>
            </w:pPr>
            <w:r>
              <w:rPr>
                <w:b/>
                <w:spacing w:val="-4"/>
                <w:sz w:val="24"/>
              </w:rPr>
              <w:t>Year</w:t>
            </w:r>
          </w:p>
        </w:tc>
        <w:tc>
          <w:tcPr>
            <w:tcW w:w="2900" w:type="dxa"/>
          </w:tcPr>
          <w:p w14:paraId="028F0B33" w14:textId="77777777" w:rsidR="00F66501" w:rsidRDefault="00000000">
            <w:pPr>
              <w:pStyle w:val="TableParagraph"/>
              <w:spacing w:line="273" w:lineRule="exact"/>
              <w:rPr>
                <w:b/>
                <w:sz w:val="24"/>
              </w:rPr>
            </w:pPr>
            <w:r>
              <w:rPr>
                <w:b/>
                <w:sz w:val="24"/>
              </w:rPr>
              <w:t>Discount</w:t>
            </w:r>
            <w:r>
              <w:rPr>
                <w:b/>
                <w:spacing w:val="-3"/>
                <w:sz w:val="24"/>
              </w:rPr>
              <w:t xml:space="preserve"> </w:t>
            </w:r>
            <w:r>
              <w:rPr>
                <w:b/>
                <w:spacing w:val="-2"/>
                <w:sz w:val="24"/>
              </w:rPr>
              <w:t>factor</w:t>
            </w:r>
          </w:p>
        </w:tc>
        <w:tc>
          <w:tcPr>
            <w:tcW w:w="2886" w:type="dxa"/>
          </w:tcPr>
          <w:p w14:paraId="44AD57D4" w14:textId="77777777" w:rsidR="00F66501" w:rsidRDefault="00000000">
            <w:pPr>
              <w:pStyle w:val="TableParagraph"/>
              <w:ind w:left="105"/>
              <w:rPr>
                <w:sz w:val="24"/>
              </w:rPr>
            </w:pPr>
            <w:r>
              <w:rPr>
                <w:sz w:val="24"/>
              </w:rPr>
              <w:t>PV</w:t>
            </w:r>
            <w:r>
              <w:rPr>
                <w:spacing w:val="-4"/>
                <w:sz w:val="24"/>
              </w:rPr>
              <w:t xml:space="preserve"> </w:t>
            </w:r>
            <w:r>
              <w:rPr>
                <w:sz w:val="24"/>
              </w:rPr>
              <w:t>of</w:t>
            </w:r>
            <w:r>
              <w:rPr>
                <w:spacing w:val="-6"/>
                <w:sz w:val="24"/>
              </w:rPr>
              <w:t xml:space="preserve"> </w:t>
            </w:r>
            <w:r>
              <w:rPr>
                <w:sz w:val="24"/>
              </w:rPr>
              <w:t>FCFE</w:t>
            </w:r>
            <w:r>
              <w:rPr>
                <w:spacing w:val="4"/>
                <w:sz w:val="24"/>
              </w:rPr>
              <w:t xml:space="preserve"> </w:t>
            </w:r>
            <w:r>
              <w:rPr>
                <w:sz w:val="24"/>
              </w:rPr>
              <w:t>(₹</w:t>
            </w:r>
            <w:r>
              <w:rPr>
                <w:spacing w:val="2"/>
                <w:sz w:val="24"/>
              </w:rPr>
              <w:t xml:space="preserve"> </w:t>
            </w:r>
            <w:r>
              <w:rPr>
                <w:spacing w:val="-2"/>
                <w:sz w:val="24"/>
              </w:rPr>
              <w:t>Crore)</w:t>
            </w:r>
          </w:p>
        </w:tc>
      </w:tr>
      <w:tr w:rsidR="00F66501" w14:paraId="32514B27" w14:textId="77777777">
        <w:trPr>
          <w:trHeight w:val="417"/>
        </w:trPr>
        <w:tc>
          <w:tcPr>
            <w:tcW w:w="2847" w:type="dxa"/>
          </w:tcPr>
          <w:p w14:paraId="66EF3D75" w14:textId="77777777" w:rsidR="00F66501" w:rsidRDefault="00000000">
            <w:pPr>
              <w:pStyle w:val="TableParagraph"/>
              <w:spacing w:line="273" w:lineRule="exact"/>
              <w:rPr>
                <w:b/>
                <w:sz w:val="24"/>
              </w:rPr>
            </w:pPr>
            <w:r>
              <w:rPr>
                <w:b/>
                <w:spacing w:val="-4"/>
                <w:sz w:val="24"/>
              </w:rPr>
              <w:t>2025</w:t>
            </w:r>
          </w:p>
        </w:tc>
        <w:tc>
          <w:tcPr>
            <w:tcW w:w="2900" w:type="dxa"/>
          </w:tcPr>
          <w:p w14:paraId="0315A127" w14:textId="77777777" w:rsidR="00F66501" w:rsidRDefault="00000000">
            <w:pPr>
              <w:pStyle w:val="TableParagraph"/>
              <w:rPr>
                <w:sz w:val="24"/>
              </w:rPr>
            </w:pPr>
            <w:r>
              <w:rPr>
                <w:spacing w:val="-4"/>
                <w:sz w:val="24"/>
              </w:rPr>
              <w:t>0.89</w:t>
            </w:r>
          </w:p>
        </w:tc>
        <w:tc>
          <w:tcPr>
            <w:tcW w:w="2886" w:type="dxa"/>
          </w:tcPr>
          <w:p w14:paraId="6FD3FB01" w14:textId="77777777" w:rsidR="00F66501" w:rsidRDefault="00000000">
            <w:pPr>
              <w:pStyle w:val="TableParagraph"/>
              <w:ind w:left="105"/>
              <w:rPr>
                <w:sz w:val="24"/>
              </w:rPr>
            </w:pPr>
            <w:r>
              <w:rPr>
                <w:spacing w:val="-2"/>
                <w:sz w:val="24"/>
              </w:rPr>
              <w:t>27,295.89</w:t>
            </w:r>
          </w:p>
        </w:tc>
      </w:tr>
      <w:tr w:rsidR="00F66501" w14:paraId="5F49CEFA" w14:textId="77777777">
        <w:trPr>
          <w:trHeight w:val="413"/>
        </w:trPr>
        <w:tc>
          <w:tcPr>
            <w:tcW w:w="2847" w:type="dxa"/>
          </w:tcPr>
          <w:p w14:paraId="73BCF666" w14:textId="77777777" w:rsidR="00F66501" w:rsidRDefault="00000000">
            <w:pPr>
              <w:pStyle w:val="TableParagraph"/>
              <w:spacing w:line="273" w:lineRule="exact"/>
              <w:rPr>
                <w:b/>
                <w:sz w:val="24"/>
              </w:rPr>
            </w:pPr>
            <w:r>
              <w:rPr>
                <w:b/>
                <w:spacing w:val="-4"/>
                <w:sz w:val="24"/>
              </w:rPr>
              <w:t>2026</w:t>
            </w:r>
          </w:p>
        </w:tc>
        <w:tc>
          <w:tcPr>
            <w:tcW w:w="2900" w:type="dxa"/>
          </w:tcPr>
          <w:p w14:paraId="3345A217" w14:textId="77777777" w:rsidR="00F66501" w:rsidRDefault="00000000">
            <w:pPr>
              <w:pStyle w:val="TableParagraph"/>
              <w:rPr>
                <w:sz w:val="24"/>
              </w:rPr>
            </w:pPr>
            <w:r>
              <w:rPr>
                <w:spacing w:val="-4"/>
                <w:sz w:val="24"/>
              </w:rPr>
              <w:t>0.80</w:t>
            </w:r>
          </w:p>
        </w:tc>
        <w:tc>
          <w:tcPr>
            <w:tcW w:w="2886" w:type="dxa"/>
          </w:tcPr>
          <w:p w14:paraId="116809BA" w14:textId="77777777" w:rsidR="00F66501" w:rsidRDefault="00000000">
            <w:pPr>
              <w:pStyle w:val="TableParagraph"/>
              <w:ind w:left="105"/>
              <w:rPr>
                <w:sz w:val="24"/>
              </w:rPr>
            </w:pPr>
            <w:r>
              <w:rPr>
                <w:spacing w:val="-2"/>
                <w:sz w:val="24"/>
              </w:rPr>
              <w:t>26,808.46</w:t>
            </w:r>
          </w:p>
        </w:tc>
      </w:tr>
      <w:tr w:rsidR="00F66501" w14:paraId="2704B8EC" w14:textId="77777777">
        <w:trPr>
          <w:trHeight w:val="412"/>
        </w:trPr>
        <w:tc>
          <w:tcPr>
            <w:tcW w:w="2847" w:type="dxa"/>
          </w:tcPr>
          <w:p w14:paraId="2D9645AE" w14:textId="77777777" w:rsidR="00F66501" w:rsidRDefault="00000000">
            <w:pPr>
              <w:pStyle w:val="TableParagraph"/>
              <w:spacing w:line="273" w:lineRule="exact"/>
              <w:rPr>
                <w:b/>
                <w:sz w:val="24"/>
              </w:rPr>
            </w:pPr>
            <w:r>
              <w:rPr>
                <w:b/>
                <w:spacing w:val="-4"/>
                <w:sz w:val="24"/>
              </w:rPr>
              <w:t>2027</w:t>
            </w:r>
          </w:p>
        </w:tc>
        <w:tc>
          <w:tcPr>
            <w:tcW w:w="2900" w:type="dxa"/>
          </w:tcPr>
          <w:p w14:paraId="78FBFD86" w14:textId="77777777" w:rsidR="00F66501" w:rsidRDefault="00000000">
            <w:pPr>
              <w:pStyle w:val="TableParagraph"/>
              <w:rPr>
                <w:sz w:val="24"/>
              </w:rPr>
            </w:pPr>
            <w:r>
              <w:rPr>
                <w:spacing w:val="-4"/>
                <w:sz w:val="24"/>
              </w:rPr>
              <w:t>0.71</w:t>
            </w:r>
          </w:p>
        </w:tc>
        <w:tc>
          <w:tcPr>
            <w:tcW w:w="2886" w:type="dxa"/>
          </w:tcPr>
          <w:p w14:paraId="7639EB4C" w14:textId="77777777" w:rsidR="00F66501" w:rsidRDefault="00000000">
            <w:pPr>
              <w:pStyle w:val="TableParagraph"/>
              <w:ind w:left="105"/>
              <w:rPr>
                <w:sz w:val="24"/>
              </w:rPr>
            </w:pPr>
            <w:r>
              <w:rPr>
                <w:spacing w:val="-2"/>
                <w:sz w:val="24"/>
              </w:rPr>
              <w:t>26,329.74</w:t>
            </w:r>
          </w:p>
        </w:tc>
      </w:tr>
      <w:tr w:rsidR="00F66501" w14:paraId="3FFC0DBF" w14:textId="77777777">
        <w:trPr>
          <w:trHeight w:val="417"/>
        </w:trPr>
        <w:tc>
          <w:tcPr>
            <w:tcW w:w="2847" w:type="dxa"/>
          </w:tcPr>
          <w:p w14:paraId="7B370861" w14:textId="77777777" w:rsidR="00F66501" w:rsidRDefault="00000000">
            <w:pPr>
              <w:pStyle w:val="TableParagraph"/>
              <w:spacing w:line="273" w:lineRule="exact"/>
              <w:rPr>
                <w:b/>
                <w:sz w:val="24"/>
              </w:rPr>
            </w:pPr>
            <w:r>
              <w:rPr>
                <w:b/>
                <w:spacing w:val="-4"/>
                <w:sz w:val="24"/>
              </w:rPr>
              <w:t>2028</w:t>
            </w:r>
          </w:p>
        </w:tc>
        <w:tc>
          <w:tcPr>
            <w:tcW w:w="2900" w:type="dxa"/>
          </w:tcPr>
          <w:p w14:paraId="0949587E" w14:textId="77777777" w:rsidR="00F66501" w:rsidRDefault="00000000">
            <w:pPr>
              <w:pStyle w:val="TableParagraph"/>
              <w:rPr>
                <w:sz w:val="24"/>
              </w:rPr>
            </w:pPr>
            <w:r>
              <w:rPr>
                <w:spacing w:val="-4"/>
                <w:sz w:val="24"/>
              </w:rPr>
              <w:t>0.64</w:t>
            </w:r>
          </w:p>
        </w:tc>
        <w:tc>
          <w:tcPr>
            <w:tcW w:w="2886" w:type="dxa"/>
          </w:tcPr>
          <w:p w14:paraId="5DD498F0" w14:textId="77777777" w:rsidR="00F66501" w:rsidRDefault="00000000">
            <w:pPr>
              <w:pStyle w:val="TableParagraph"/>
              <w:ind w:left="105"/>
              <w:rPr>
                <w:sz w:val="24"/>
              </w:rPr>
            </w:pPr>
            <w:r>
              <w:rPr>
                <w:spacing w:val="-2"/>
                <w:sz w:val="24"/>
              </w:rPr>
              <w:t>25,859.57</w:t>
            </w:r>
          </w:p>
        </w:tc>
      </w:tr>
      <w:tr w:rsidR="00F66501" w14:paraId="32AE7EA9" w14:textId="77777777">
        <w:trPr>
          <w:trHeight w:val="412"/>
        </w:trPr>
        <w:tc>
          <w:tcPr>
            <w:tcW w:w="2847" w:type="dxa"/>
          </w:tcPr>
          <w:p w14:paraId="43A83B11" w14:textId="77777777" w:rsidR="00F66501" w:rsidRDefault="00000000">
            <w:pPr>
              <w:pStyle w:val="TableParagraph"/>
              <w:spacing w:line="273" w:lineRule="exact"/>
              <w:rPr>
                <w:b/>
                <w:sz w:val="24"/>
              </w:rPr>
            </w:pPr>
            <w:r>
              <w:rPr>
                <w:b/>
                <w:spacing w:val="-4"/>
                <w:sz w:val="24"/>
              </w:rPr>
              <w:t>2029</w:t>
            </w:r>
          </w:p>
        </w:tc>
        <w:tc>
          <w:tcPr>
            <w:tcW w:w="2900" w:type="dxa"/>
          </w:tcPr>
          <w:p w14:paraId="27EEDD7C" w14:textId="77777777" w:rsidR="00F66501" w:rsidRDefault="00000000">
            <w:pPr>
              <w:pStyle w:val="TableParagraph"/>
              <w:rPr>
                <w:sz w:val="24"/>
              </w:rPr>
            </w:pPr>
            <w:r>
              <w:rPr>
                <w:spacing w:val="-4"/>
                <w:sz w:val="24"/>
              </w:rPr>
              <w:t>0.57</w:t>
            </w:r>
          </w:p>
        </w:tc>
        <w:tc>
          <w:tcPr>
            <w:tcW w:w="2886" w:type="dxa"/>
          </w:tcPr>
          <w:p w14:paraId="11B39D84" w14:textId="77777777" w:rsidR="00F66501" w:rsidRDefault="00000000">
            <w:pPr>
              <w:pStyle w:val="TableParagraph"/>
              <w:ind w:left="105"/>
              <w:rPr>
                <w:sz w:val="24"/>
              </w:rPr>
            </w:pPr>
            <w:r>
              <w:rPr>
                <w:spacing w:val="-2"/>
                <w:sz w:val="24"/>
              </w:rPr>
              <w:t>25,397.79</w:t>
            </w:r>
          </w:p>
        </w:tc>
      </w:tr>
    </w:tbl>
    <w:p w14:paraId="6B3DEB97" w14:textId="77777777" w:rsidR="00F66501" w:rsidRDefault="00000000">
      <w:pPr>
        <w:pStyle w:val="BodyText"/>
      </w:pPr>
      <w:r>
        <w:t>PV</w:t>
      </w:r>
      <w:r>
        <w:rPr>
          <w:spacing w:val="-2"/>
        </w:rPr>
        <w:t xml:space="preserve"> </w:t>
      </w:r>
      <w:r>
        <w:t>of</w:t>
      </w:r>
      <w:r>
        <w:rPr>
          <w:spacing w:val="-4"/>
        </w:rPr>
        <w:t xml:space="preserve"> </w:t>
      </w:r>
      <w:r>
        <w:t>Terminal</w:t>
      </w:r>
      <w:r>
        <w:rPr>
          <w:spacing w:val="-5"/>
        </w:rPr>
        <w:t xml:space="preserve"> </w:t>
      </w:r>
      <w:r>
        <w:t>Value</w:t>
      </w:r>
      <w:r>
        <w:rPr>
          <w:spacing w:val="4"/>
        </w:rPr>
        <w:t xml:space="preserve"> </w:t>
      </w:r>
      <w:r>
        <w:t>=</w:t>
      </w:r>
      <w:r>
        <w:rPr>
          <w:spacing w:val="2"/>
        </w:rPr>
        <w:t xml:space="preserve"> </w:t>
      </w:r>
      <w:r>
        <w:t xml:space="preserve">380,966.85 </w:t>
      </w:r>
      <w:r>
        <w:rPr>
          <w:spacing w:val="-4"/>
        </w:rPr>
        <w:t>crore</w:t>
      </w:r>
    </w:p>
    <w:p w14:paraId="4183E3A9" w14:textId="77777777" w:rsidR="00F66501" w:rsidRDefault="00F66501">
      <w:pPr>
        <w:pStyle w:val="BodyText"/>
        <w:spacing w:before="17"/>
        <w:ind w:left="0"/>
      </w:pPr>
    </w:p>
    <w:p w14:paraId="7BC1A222" w14:textId="77777777" w:rsidR="00F66501" w:rsidRDefault="00000000">
      <w:pPr>
        <w:pStyle w:val="Heading1"/>
        <w:numPr>
          <w:ilvl w:val="1"/>
          <w:numId w:val="2"/>
        </w:numPr>
        <w:tabs>
          <w:tab w:val="left" w:pos="1084"/>
        </w:tabs>
        <w:ind w:hanging="364"/>
      </w:pPr>
      <w:bookmarkStart w:id="21" w:name="3.3_Equity_Valuation_Summary"/>
      <w:bookmarkStart w:id="22" w:name="_bookmark8"/>
      <w:bookmarkEnd w:id="21"/>
      <w:bookmarkEnd w:id="22"/>
      <w:r>
        <w:t>Equity</w:t>
      </w:r>
      <w:r>
        <w:rPr>
          <w:spacing w:val="-4"/>
        </w:rPr>
        <w:t xml:space="preserve"> </w:t>
      </w:r>
      <w:r>
        <w:t>Valuation</w:t>
      </w:r>
      <w:r>
        <w:rPr>
          <w:spacing w:val="-6"/>
        </w:rPr>
        <w:t xml:space="preserve"> </w:t>
      </w:r>
      <w:r>
        <w:rPr>
          <w:spacing w:val="-2"/>
        </w:rPr>
        <w:t>Summary</w:t>
      </w:r>
    </w:p>
    <w:p w14:paraId="4E75E717" w14:textId="77777777" w:rsidR="00F66501" w:rsidRDefault="00000000">
      <w:pPr>
        <w:pStyle w:val="BodyText"/>
        <w:spacing w:before="214" w:line="362" w:lineRule="auto"/>
        <w:ind w:right="758"/>
      </w:pPr>
      <w:r>
        <w:t>The intrinsic</w:t>
      </w:r>
      <w:r>
        <w:rPr>
          <w:spacing w:val="-3"/>
        </w:rPr>
        <w:t xml:space="preserve"> </w:t>
      </w:r>
      <w:r>
        <w:t>equity</w:t>
      </w:r>
      <w:r>
        <w:rPr>
          <w:spacing w:val="-7"/>
        </w:rPr>
        <w:t xml:space="preserve"> </w:t>
      </w:r>
      <w:r>
        <w:t>value</w:t>
      </w:r>
      <w:r>
        <w:rPr>
          <w:spacing w:val="-3"/>
        </w:rPr>
        <w:t xml:space="preserve"> </w:t>
      </w:r>
      <w:r>
        <w:t>of</w:t>
      </w:r>
      <w:r>
        <w:rPr>
          <w:spacing w:val="-10"/>
        </w:rPr>
        <w:t xml:space="preserve"> </w:t>
      </w:r>
      <w:r>
        <w:t>Infosys</w:t>
      </w:r>
      <w:r>
        <w:rPr>
          <w:spacing w:val="-4"/>
        </w:rPr>
        <w:t xml:space="preserve"> </w:t>
      </w:r>
      <w:r>
        <w:t>Limited</w:t>
      </w:r>
      <w:r>
        <w:rPr>
          <w:spacing w:val="-3"/>
        </w:rPr>
        <w:t xml:space="preserve"> </w:t>
      </w:r>
      <w:r>
        <w:t>was</w:t>
      </w:r>
      <w:r>
        <w:rPr>
          <w:spacing w:val="-1"/>
        </w:rPr>
        <w:t xml:space="preserve"> </w:t>
      </w:r>
      <w:r>
        <w:t>determined</w:t>
      </w:r>
      <w:r>
        <w:rPr>
          <w:spacing w:val="-3"/>
        </w:rPr>
        <w:t xml:space="preserve"> </w:t>
      </w:r>
      <w:r>
        <w:t>by</w:t>
      </w:r>
      <w:r>
        <w:rPr>
          <w:spacing w:val="-7"/>
        </w:rPr>
        <w:t xml:space="preserve"> </w:t>
      </w:r>
      <w:r>
        <w:t>adding</w:t>
      </w:r>
      <w:r>
        <w:rPr>
          <w:spacing w:val="-3"/>
        </w:rPr>
        <w:t xml:space="preserve"> </w:t>
      </w:r>
      <w:r>
        <w:t>the</w:t>
      </w:r>
      <w:r>
        <w:rPr>
          <w:spacing w:val="-3"/>
        </w:rPr>
        <w:t xml:space="preserve"> </w:t>
      </w:r>
      <w:r>
        <w:t>present value</w:t>
      </w:r>
      <w:r>
        <w:rPr>
          <w:spacing w:val="-3"/>
        </w:rPr>
        <w:t xml:space="preserve"> </w:t>
      </w:r>
      <w:r>
        <w:t>of</w:t>
      </w:r>
      <w:r>
        <w:rPr>
          <w:spacing w:val="-10"/>
        </w:rPr>
        <w:t xml:space="preserve"> </w:t>
      </w:r>
      <w:r>
        <w:t>the forecasted Free Cash Flows to Equity from 2025 to 2029 and the present value of</w:t>
      </w:r>
      <w:r>
        <w:rPr>
          <w:spacing w:val="-1"/>
        </w:rPr>
        <w:t xml:space="preserve"> </w:t>
      </w:r>
      <w:r>
        <w:t>the terminal value, which captures all cash flows expected beyond the forecast horizon.</w:t>
      </w:r>
    </w:p>
    <w:p w14:paraId="1C2F3732" w14:textId="77777777" w:rsidR="00F66501" w:rsidRDefault="00000000">
      <w:pPr>
        <w:pStyle w:val="Heading1"/>
        <w:spacing w:line="274" w:lineRule="exact"/>
      </w:pPr>
      <w:r>
        <w:t>Total</w:t>
      </w:r>
      <w:r>
        <w:rPr>
          <w:spacing w:val="-6"/>
        </w:rPr>
        <w:t xml:space="preserve"> </w:t>
      </w:r>
      <w:r>
        <w:t>Present Value</w:t>
      </w:r>
      <w:r>
        <w:rPr>
          <w:spacing w:val="-2"/>
        </w:rPr>
        <w:t xml:space="preserve"> </w:t>
      </w:r>
      <w:r>
        <w:t>of</w:t>
      </w:r>
      <w:r>
        <w:rPr>
          <w:spacing w:val="-4"/>
        </w:rPr>
        <w:t xml:space="preserve"> </w:t>
      </w:r>
      <w:r>
        <w:t>FCFE</w:t>
      </w:r>
      <w:r>
        <w:rPr>
          <w:spacing w:val="-2"/>
        </w:rPr>
        <w:t xml:space="preserve"> (2025–2029):</w:t>
      </w:r>
    </w:p>
    <w:p w14:paraId="5A654AD6" w14:textId="77777777" w:rsidR="00F66501" w:rsidRDefault="00000000">
      <w:pPr>
        <w:pStyle w:val="BodyText"/>
        <w:spacing w:before="132" w:line="362" w:lineRule="auto"/>
        <w:ind w:right="758"/>
      </w:pPr>
      <w:r>
        <w:t>The</w:t>
      </w:r>
      <w:r>
        <w:rPr>
          <w:spacing w:val="-4"/>
        </w:rPr>
        <w:t xml:space="preserve"> </w:t>
      </w:r>
      <w:r>
        <w:t>present value</w:t>
      </w:r>
      <w:r>
        <w:rPr>
          <w:spacing w:val="-4"/>
        </w:rPr>
        <w:t xml:space="preserve"> </w:t>
      </w:r>
      <w:r>
        <w:t>of</w:t>
      </w:r>
      <w:r>
        <w:rPr>
          <w:spacing w:val="-10"/>
        </w:rPr>
        <w:t xml:space="preserve"> </w:t>
      </w:r>
      <w:r>
        <w:t>the free</w:t>
      </w:r>
      <w:r>
        <w:rPr>
          <w:spacing w:val="-4"/>
        </w:rPr>
        <w:t xml:space="preserve"> </w:t>
      </w:r>
      <w:r>
        <w:t>cash</w:t>
      </w:r>
      <w:r>
        <w:rPr>
          <w:spacing w:val="-3"/>
        </w:rPr>
        <w:t xml:space="preserve"> </w:t>
      </w:r>
      <w:proofErr w:type="gramStart"/>
      <w:r>
        <w:t>flows</w:t>
      </w:r>
      <w:proofErr w:type="gramEnd"/>
      <w:r>
        <w:rPr>
          <w:spacing w:val="-1"/>
        </w:rPr>
        <w:t xml:space="preserve"> </w:t>
      </w:r>
      <w:r>
        <w:t>from</w:t>
      </w:r>
      <w:r>
        <w:rPr>
          <w:spacing w:val="-11"/>
        </w:rPr>
        <w:t xml:space="preserve"> </w:t>
      </w:r>
      <w:r>
        <w:t>2025</w:t>
      </w:r>
      <w:r>
        <w:rPr>
          <w:spacing w:val="-7"/>
        </w:rPr>
        <w:t xml:space="preserve"> </w:t>
      </w:r>
      <w:r>
        <w:t>to 2029</w:t>
      </w:r>
      <w:r>
        <w:rPr>
          <w:spacing w:val="-7"/>
        </w:rPr>
        <w:t xml:space="preserve"> </w:t>
      </w:r>
      <w:r>
        <w:t>was</w:t>
      </w:r>
      <w:r>
        <w:rPr>
          <w:spacing w:val="-4"/>
        </w:rPr>
        <w:t xml:space="preserve"> </w:t>
      </w:r>
      <w:r>
        <w:t>computed</w:t>
      </w:r>
      <w:r>
        <w:rPr>
          <w:spacing w:val="-3"/>
        </w:rPr>
        <w:t xml:space="preserve"> </w:t>
      </w:r>
      <w:r>
        <w:t>using</w:t>
      </w:r>
      <w:r>
        <w:rPr>
          <w:spacing w:val="-3"/>
        </w:rPr>
        <w:t xml:space="preserve"> </w:t>
      </w:r>
      <w:r>
        <w:t>a</w:t>
      </w:r>
      <w:r>
        <w:rPr>
          <w:spacing w:val="-4"/>
        </w:rPr>
        <w:t xml:space="preserve"> </w:t>
      </w:r>
      <w:r>
        <w:t>discount rate ranging between 12% and 13%, resulting in the total</w:t>
      </w:r>
      <w:r>
        <w:rPr>
          <w:spacing w:val="-1"/>
        </w:rPr>
        <w:t xml:space="preserve"> </w:t>
      </w:r>
      <w:r>
        <w:t>present value of the projected FCFE as:</w:t>
      </w:r>
    </w:p>
    <w:p w14:paraId="7AF4CD21" w14:textId="77777777" w:rsidR="00F66501" w:rsidRDefault="00000000">
      <w:pPr>
        <w:pStyle w:val="BodyText"/>
        <w:spacing w:line="274" w:lineRule="exact"/>
      </w:pPr>
      <w:r>
        <w:t>₹131,691.46</w:t>
      </w:r>
      <w:r>
        <w:rPr>
          <w:spacing w:val="-1"/>
        </w:rPr>
        <w:t xml:space="preserve"> </w:t>
      </w:r>
      <w:r>
        <w:rPr>
          <w:spacing w:val="-4"/>
        </w:rPr>
        <w:t>crore</w:t>
      </w:r>
    </w:p>
    <w:p w14:paraId="1C6E5F94" w14:textId="77777777" w:rsidR="00F66501" w:rsidRDefault="00000000">
      <w:pPr>
        <w:pStyle w:val="BodyText"/>
        <w:spacing w:before="137" w:line="360" w:lineRule="auto"/>
        <w:ind w:right="758" w:firstLine="720"/>
      </w:pPr>
      <w:r>
        <w:t>The terminal</w:t>
      </w:r>
      <w:r>
        <w:rPr>
          <w:spacing w:val="-2"/>
        </w:rPr>
        <w:t xml:space="preserve"> </w:t>
      </w:r>
      <w:r>
        <w:t xml:space="preserve">value, as </w:t>
      </w:r>
      <w:r>
        <w:rPr>
          <w:color w:val="212121"/>
        </w:rPr>
        <w:t>Nissim</w:t>
      </w:r>
      <w:r>
        <w:rPr>
          <w:color w:val="212121"/>
          <w:spacing w:val="-2"/>
        </w:rPr>
        <w:t xml:space="preserve"> </w:t>
      </w:r>
      <w:r>
        <w:rPr>
          <w:color w:val="212121"/>
        </w:rPr>
        <w:t xml:space="preserve">(2019) </w:t>
      </w:r>
      <w:r>
        <w:t>contends reflects</w:t>
      </w:r>
      <w:r>
        <w:rPr>
          <w:spacing w:val="-3"/>
        </w:rPr>
        <w:t xml:space="preserve"> </w:t>
      </w:r>
      <w:r>
        <w:t>the value of</w:t>
      </w:r>
      <w:r>
        <w:rPr>
          <w:spacing w:val="-5"/>
        </w:rPr>
        <w:t xml:space="preserve"> </w:t>
      </w:r>
      <w:r>
        <w:t>the company’s free cash</w:t>
      </w:r>
      <w:r>
        <w:rPr>
          <w:spacing w:val="-4"/>
        </w:rPr>
        <w:t xml:space="preserve"> </w:t>
      </w:r>
      <w:proofErr w:type="gramStart"/>
      <w:r>
        <w:t>flows</w:t>
      </w:r>
      <w:proofErr w:type="gramEnd"/>
      <w:r>
        <w:rPr>
          <w:spacing w:val="-3"/>
        </w:rPr>
        <w:t xml:space="preserve"> </w:t>
      </w:r>
      <w:r>
        <w:t>beyond</w:t>
      </w:r>
      <w:r>
        <w:rPr>
          <w:spacing w:val="-4"/>
        </w:rPr>
        <w:t xml:space="preserve"> </w:t>
      </w:r>
      <w:r>
        <w:t>the</w:t>
      </w:r>
      <w:r>
        <w:rPr>
          <w:spacing w:val="-1"/>
        </w:rPr>
        <w:t xml:space="preserve"> </w:t>
      </w:r>
      <w:r>
        <w:t>forecast period</w:t>
      </w:r>
      <w:r>
        <w:rPr>
          <w:spacing w:val="-4"/>
        </w:rPr>
        <w:t xml:space="preserve"> </w:t>
      </w:r>
      <w:r>
        <w:t>(after</w:t>
      </w:r>
      <w:r>
        <w:rPr>
          <w:spacing w:val="-3"/>
        </w:rPr>
        <w:t xml:space="preserve"> </w:t>
      </w:r>
      <w:r>
        <w:t>2029</w:t>
      </w:r>
      <w:proofErr w:type="gramStart"/>
      <w:r>
        <w:t>), and</w:t>
      </w:r>
      <w:proofErr w:type="gramEnd"/>
      <w:r>
        <w:t xml:space="preserve"> is</w:t>
      </w:r>
      <w:r>
        <w:rPr>
          <w:spacing w:val="-6"/>
        </w:rPr>
        <w:t xml:space="preserve"> </w:t>
      </w:r>
      <w:r>
        <w:t>discounted</w:t>
      </w:r>
      <w:r>
        <w:rPr>
          <w:spacing w:val="-9"/>
        </w:rPr>
        <w:t xml:space="preserve"> </w:t>
      </w:r>
      <w:r>
        <w:t>to</w:t>
      </w:r>
      <w:r>
        <w:rPr>
          <w:spacing w:val="-8"/>
        </w:rPr>
        <w:t xml:space="preserve"> </w:t>
      </w:r>
      <w:r>
        <w:t>the</w:t>
      </w:r>
      <w:r>
        <w:rPr>
          <w:spacing w:val="-5"/>
        </w:rPr>
        <w:t xml:space="preserve"> </w:t>
      </w:r>
      <w:r>
        <w:t>present value</w:t>
      </w:r>
      <w:r>
        <w:rPr>
          <w:spacing w:val="-5"/>
        </w:rPr>
        <w:t xml:space="preserve"> </w:t>
      </w:r>
      <w:r>
        <w:t>using the same discount rate. After the valuation, the PV of</w:t>
      </w:r>
      <w:r>
        <w:rPr>
          <w:spacing w:val="-2"/>
        </w:rPr>
        <w:t xml:space="preserve"> </w:t>
      </w:r>
      <w:r>
        <w:t xml:space="preserve">the terminal value stood at ₹380,966.85 </w:t>
      </w:r>
      <w:r>
        <w:rPr>
          <w:spacing w:val="-2"/>
        </w:rPr>
        <w:t>crore.</w:t>
      </w:r>
    </w:p>
    <w:p w14:paraId="51557C84" w14:textId="77777777" w:rsidR="00F66501" w:rsidRDefault="00000000">
      <w:pPr>
        <w:pStyle w:val="BodyText"/>
        <w:spacing w:line="360" w:lineRule="auto"/>
        <w:ind w:right="834" w:firstLine="720"/>
      </w:pPr>
      <w:r>
        <w:t>The</w:t>
      </w:r>
      <w:r>
        <w:rPr>
          <w:spacing w:val="-4"/>
        </w:rPr>
        <w:t xml:space="preserve"> </w:t>
      </w:r>
      <w:r>
        <w:t>overall</w:t>
      </w:r>
      <w:r>
        <w:rPr>
          <w:spacing w:val="-7"/>
        </w:rPr>
        <w:t xml:space="preserve"> </w:t>
      </w:r>
      <w:r>
        <w:t>equity</w:t>
      </w:r>
      <w:r>
        <w:rPr>
          <w:spacing w:val="-7"/>
        </w:rPr>
        <w:t xml:space="preserve"> </w:t>
      </w:r>
      <w:r>
        <w:t>value is</w:t>
      </w:r>
      <w:r>
        <w:rPr>
          <w:spacing w:val="-5"/>
        </w:rPr>
        <w:t xml:space="preserve"> </w:t>
      </w:r>
      <w:r>
        <w:t>obtained</w:t>
      </w:r>
      <w:r>
        <w:rPr>
          <w:spacing w:val="-3"/>
        </w:rPr>
        <w:t xml:space="preserve"> </w:t>
      </w:r>
      <w:r>
        <w:t>by</w:t>
      </w:r>
      <w:r>
        <w:rPr>
          <w:spacing w:val="-7"/>
        </w:rPr>
        <w:t xml:space="preserve"> </w:t>
      </w:r>
      <w:r>
        <w:t>combining</w:t>
      </w:r>
      <w:r>
        <w:rPr>
          <w:spacing w:val="-3"/>
        </w:rPr>
        <w:t xml:space="preserve"> </w:t>
      </w:r>
      <w:r>
        <w:t>the</w:t>
      </w:r>
      <w:r>
        <w:rPr>
          <w:spacing w:val="-4"/>
        </w:rPr>
        <w:t xml:space="preserve"> </w:t>
      </w:r>
      <w:r>
        <w:t>present value</w:t>
      </w:r>
      <w:r>
        <w:rPr>
          <w:spacing w:val="-4"/>
        </w:rPr>
        <w:t xml:space="preserve"> </w:t>
      </w:r>
      <w:r>
        <w:t>of</w:t>
      </w:r>
      <w:r>
        <w:rPr>
          <w:spacing w:val="-10"/>
        </w:rPr>
        <w:t xml:space="preserve"> </w:t>
      </w:r>
      <w:r>
        <w:t>the</w:t>
      </w:r>
      <w:r>
        <w:rPr>
          <w:spacing w:val="-4"/>
        </w:rPr>
        <w:t xml:space="preserve"> </w:t>
      </w:r>
      <w:r>
        <w:t>projected FCFE and the present value of the terminal value. As a result, the intrinsic equity value of Infosys Limited is estimated at ₹512,658.30 crore.</w:t>
      </w:r>
    </w:p>
    <w:p w14:paraId="5796C64B" w14:textId="77777777" w:rsidR="00F66501" w:rsidRDefault="00F66501">
      <w:pPr>
        <w:pStyle w:val="BodyText"/>
        <w:spacing w:line="360" w:lineRule="auto"/>
        <w:sectPr w:rsidR="00F66501">
          <w:pgSz w:w="12240" w:h="15840"/>
          <w:pgMar w:top="980" w:right="720" w:bottom="280" w:left="720" w:header="723" w:footer="0" w:gutter="0"/>
          <w:cols w:space="720"/>
        </w:sectPr>
      </w:pPr>
    </w:p>
    <w:p w14:paraId="4E420C21" w14:textId="77777777" w:rsidR="00F66501" w:rsidRDefault="00000000">
      <w:pPr>
        <w:pStyle w:val="BodyText"/>
        <w:spacing w:before="168"/>
        <w:ind w:left="0"/>
      </w:pPr>
      <w:r>
        <w:rPr>
          <w:noProof/>
        </w:rPr>
        <w:lastRenderedPageBreak/>
        <mc:AlternateContent>
          <mc:Choice Requires="wps">
            <w:drawing>
              <wp:anchor distT="0" distB="0" distL="0" distR="0" simplePos="0" relativeHeight="487360512" behindDoc="1" locked="0" layoutInCell="1" allowOverlap="1" wp14:anchorId="05FCDB15" wp14:editId="506D6F99">
                <wp:simplePos x="0" y="0"/>
                <wp:positionH relativeFrom="page">
                  <wp:posOffset>307848</wp:posOffset>
                </wp:positionH>
                <wp:positionV relativeFrom="page">
                  <wp:posOffset>307847</wp:posOffset>
                </wp:positionV>
                <wp:extent cx="7162800" cy="94488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4813B8" id="Graphic 12" o:spid="_x0000_s1026" style="position:absolute;margin-left:24.25pt;margin-top:24.25pt;width:564pt;height:744pt;z-index:-15955968;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p w14:paraId="56D82282" w14:textId="77777777" w:rsidR="00F66501" w:rsidRDefault="00000000">
      <w:pPr>
        <w:pStyle w:val="BodyText"/>
        <w:spacing w:line="360" w:lineRule="auto"/>
        <w:ind w:right="758" w:firstLine="720"/>
      </w:pPr>
      <w:r>
        <w:t>To</w:t>
      </w:r>
      <w:r>
        <w:rPr>
          <w:spacing w:val="-3"/>
        </w:rPr>
        <w:t xml:space="preserve"> </w:t>
      </w:r>
      <w:r>
        <w:t>determine</w:t>
      </w:r>
      <w:r>
        <w:rPr>
          <w:spacing w:val="-4"/>
        </w:rPr>
        <w:t xml:space="preserve"> </w:t>
      </w:r>
      <w:r>
        <w:t>the intrinsic</w:t>
      </w:r>
      <w:r>
        <w:rPr>
          <w:spacing w:val="-4"/>
        </w:rPr>
        <w:t xml:space="preserve"> </w:t>
      </w:r>
      <w:r>
        <w:t>value</w:t>
      </w:r>
      <w:r>
        <w:rPr>
          <w:spacing w:val="-4"/>
        </w:rPr>
        <w:t xml:space="preserve"> </w:t>
      </w:r>
      <w:r>
        <w:t>per</w:t>
      </w:r>
      <w:r>
        <w:rPr>
          <w:spacing w:val="-2"/>
        </w:rPr>
        <w:t xml:space="preserve"> </w:t>
      </w:r>
      <w:r>
        <w:t>share,</w:t>
      </w:r>
      <w:r>
        <w:rPr>
          <w:spacing w:val="-1"/>
        </w:rPr>
        <w:t xml:space="preserve"> </w:t>
      </w:r>
      <w:r>
        <w:t>the</w:t>
      </w:r>
      <w:r>
        <w:rPr>
          <w:spacing w:val="-8"/>
        </w:rPr>
        <w:t xml:space="preserve"> </w:t>
      </w:r>
      <w:r>
        <w:t>total</w:t>
      </w:r>
      <w:r>
        <w:rPr>
          <w:spacing w:val="-7"/>
        </w:rPr>
        <w:t xml:space="preserve"> </w:t>
      </w:r>
      <w:r>
        <w:t>equity</w:t>
      </w:r>
      <w:r>
        <w:rPr>
          <w:spacing w:val="-7"/>
        </w:rPr>
        <w:t xml:space="preserve"> </w:t>
      </w:r>
      <w:r>
        <w:t>value is</w:t>
      </w:r>
      <w:r>
        <w:rPr>
          <w:spacing w:val="-5"/>
        </w:rPr>
        <w:t xml:space="preserve"> </w:t>
      </w:r>
      <w:r>
        <w:t>divided</w:t>
      </w:r>
      <w:r>
        <w:rPr>
          <w:spacing w:val="-3"/>
        </w:rPr>
        <w:t xml:space="preserve"> </w:t>
      </w:r>
      <w:r>
        <w:t>by</w:t>
      </w:r>
      <w:r>
        <w:rPr>
          <w:spacing w:val="-12"/>
        </w:rPr>
        <w:t xml:space="preserve"> </w:t>
      </w:r>
      <w:r>
        <w:t>the</w:t>
      </w:r>
      <w:r>
        <w:rPr>
          <w:spacing w:val="-4"/>
        </w:rPr>
        <w:t xml:space="preserve"> </w:t>
      </w:r>
      <w:r>
        <w:t>number of shares outstanding. According to the most recent annual report, Infosys has 415.09 crore shares in circulation, resulting in an intrinsic value per share of ₹1,235.05.</w:t>
      </w:r>
    </w:p>
    <w:p w14:paraId="3CB0AADF" w14:textId="77777777" w:rsidR="00F66501" w:rsidRDefault="00000000">
      <w:pPr>
        <w:pStyle w:val="BodyText"/>
        <w:spacing w:before="2" w:line="360" w:lineRule="auto"/>
        <w:ind w:right="758" w:firstLine="720"/>
      </w:pPr>
      <w:r>
        <w:t xml:space="preserve">Hence, this intrinsic value per share serves as a benchmark for assessing the company’s current market price. If the market price is significantly below ₹1,235.05, </w:t>
      </w:r>
      <w:r>
        <w:rPr>
          <w:color w:val="212121"/>
        </w:rPr>
        <w:t>Subramanyam &amp; Venkatachalam</w:t>
      </w:r>
      <w:r>
        <w:rPr>
          <w:color w:val="212121"/>
          <w:spacing w:val="-11"/>
        </w:rPr>
        <w:t xml:space="preserve"> </w:t>
      </w:r>
      <w:r>
        <w:rPr>
          <w:color w:val="212121"/>
        </w:rPr>
        <w:t xml:space="preserve">(2007). </w:t>
      </w:r>
      <w:r>
        <w:t>State</w:t>
      </w:r>
      <w:r>
        <w:rPr>
          <w:spacing w:val="-8"/>
        </w:rPr>
        <w:t xml:space="preserve"> </w:t>
      </w:r>
      <w:r>
        <w:t>that it may</w:t>
      </w:r>
      <w:r>
        <w:rPr>
          <w:spacing w:val="-7"/>
        </w:rPr>
        <w:t xml:space="preserve"> </w:t>
      </w:r>
      <w:r>
        <w:t>indicate</w:t>
      </w:r>
      <w:r>
        <w:rPr>
          <w:spacing w:val="-8"/>
        </w:rPr>
        <w:t xml:space="preserve"> </w:t>
      </w:r>
      <w:r>
        <w:t>that</w:t>
      </w:r>
      <w:r>
        <w:rPr>
          <w:spacing w:val="-3"/>
        </w:rPr>
        <w:t xml:space="preserve"> </w:t>
      </w:r>
      <w:r>
        <w:t>the</w:t>
      </w:r>
      <w:r>
        <w:rPr>
          <w:spacing w:val="-4"/>
        </w:rPr>
        <w:t xml:space="preserve"> </w:t>
      </w:r>
      <w:proofErr w:type="gramStart"/>
      <w:r>
        <w:t>stock</w:t>
      </w:r>
      <w:proofErr w:type="gramEnd"/>
      <w:r>
        <w:rPr>
          <w:spacing w:val="-3"/>
        </w:rPr>
        <w:t xml:space="preserve"> </w:t>
      </w:r>
      <w:r>
        <w:t>is</w:t>
      </w:r>
      <w:r>
        <w:rPr>
          <w:spacing w:val="-4"/>
        </w:rPr>
        <w:t xml:space="preserve"> </w:t>
      </w:r>
      <w:r>
        <w:t>undervalued,</w:t>
      </w:r>
      <w:r>
        <w:rPr>
          <w:spacing w:val="-1"/>
        </w:rPr>
        <w:t xml:space="preserve"> </w:t>
      </w:r>
      <w:r>
        <w:t>and</w:t>
      </w:r>
      <w:r>
        <w:rPr>
          <w:spacing w:val="-3"/>
        </w:rPr>
        <w:t xml:space="preserve"> </w:t>
      </w:r>
      <w:r>
        <w:t>this indicates a potential</w:t>
      </w:r>
      <w:r>
        <w:rPr>
          <w:spacing w:val="-3"/>
        </w:rPr>
        <w:t xml:space="preserve"> </w:t>
      </w:r>
      <w:r>
        <w:t>investment opportunity. Conversely, if</w:t>
      </w:r>
      <w:r>
        <w:rPr>
          <w:spacing w:val="-1"/>
        </w:rPr>
        <w:t xml:space="preserve"> </w:t>
      </w:r>
      <w:r>
        <w:t>the market price exceeds</w:t>
      </w:r>
      <w:r>
        <w:rPr>
          <w:spacing w:val="-1"/>
        </w:rPr>
        <w:t xml:space="preserve"> </w:t>
      </w:r>
      <w:r>
        <w:t>₹1,235.05,</w:t>
      </w:r>
      <w:r>
        <w:rPr>
          <w:spacing w:val="-1"/>
        </w:rPr>
        <w:t xml:space="preserve"> </w:t>
      </w:r>
      <w:r>
        <w:t>investors may need to be cautious, as the stock may be overvalued based on</w:t>
      </w:r>
      <w:r>
        <w:rPr>
          <w:spacing w:val="-2"/>
        </w:rPr>
        <w:t xml:space="preserve"> </w:t>
      </w:r>
      <w:r>
        <w:t>this intrinsic valuation</w:t>
      </w:r>
    </w:p>
    <w:p w14:paraId="6097F817" w14:textId="77777777" w:rsidR="00F66501" w:rsidRDefault="00000000">
      <w:pPr>
        <w:pStyle w:val="Heading1"/>
        <w:numPr>
          <w:ilvl w:val="1"/>
          <w:numId w:val="2"/>
        </w:numPr>
        <w:tabs>
          <w:tab w:val="left" w:pos="1084"/>
        </w:tabs>
        <w:spacing w:before="162"/>
        <w:ind w:hanging="364"/>
      </w:pPr>
      <w:bookmarkStart w:id="23" w:name="3.4_Sensitivity_Analysis"/>
      <w:bookmarkStart w:id="24" w:name="_bookmark9"/>
      <w:bookmarkEnd w:id="23"/>
      <w:bookmarkEnd w:id="24"/>
      <w:r>
        <w:t>Sensitivity</w:t>
      </w:r>
      <w:r>
        <w:rPr>
          <w:spacing w:val="-4"/>
        </w:rPr>
        <w:t xml:space="preserve"> </w:t>
      </w:r>
      <w:r>
        <w:rPr>
          <w:spacing w:val="-2"/>
        </w:rPr>
        <w:t>Analysis</w:t>
      </w:r>
    </w:p>
    <w:p w14:paraId="41156458" w14:textId="77777777" w:rsidR="00F66501" w:rsidRDefault="00000000">
      <w:pPr>
        <w:pStyle w:val="BodyText"/>
        <w:spacing w:before="214" w:line="360" w:lineRule="auto"/>
        <w:ind w:right="758"/>
      </w:pPr>
      <w:r>
        <w:t>Given</w:t>
      </w:r>
      <w:r>
        <w:rPr>
          <w:spacing w:val="-7"/>
        </w:rPr>
        <w:t xml:space="preserve"> </w:t>
      </w:r>
      <w:r>
        <w:t>that valuation</w:t>
      </w:r>
      <w:r>
        <w:rPr>
          <w:spacing w:val="-2"/>
        </w:rPr>
        <w:t xml:space="preserve"> </w:t>
      </w:r>
      <w:r>
        <w:t>models</w:t>
      </w:r>
      <w:r>
        <w:rPr>
          <w:spacing w:val="-4"/>
        </w:rPr>
        <w:t xml:space="preserve"> </w:t>
      </w:r>
      <w:r>
        <w:t>are</w:t>
      </w:r>
      <w:r>
        <w:rPr>
          <w:spacing w:val="-3"/>
        </w:rPr>
        <w:t xml:space="preserve"> </w:t>
      </w:r>
      <w:r>
        <w:t>highly</w:t>
      </w:r>
      <w:r>
        <w:rPr>
          <w:spacing w:val="-7"/>
        </w:rPr>
        <w:t xml:space="preserve"> </w:t>
      </w:r>
      <w:r>
        <w:t>sensitive</w:t>
      </w:r>
      <w:r>
        <w:rPr>
          <w:spacing w:val="-3"/>
        </w:rPr>
        <w:t xml:space="preserve"> </w:t>
      </w:r>
      <w:r>
        <w:t>to</w:t>
      </w:r>
      <w:r>
        <w:rPr>
          <w:spacing w:val="-2"/>
        </w:rPr>
        <w:t xml:space="preserve"> </w:t>
      </w:r>
      <w:r>
        <w:t>key</w:t>
      </w:r>
      <w:r>
        <w:rPr>
          <w:spacing w:val="-12"/>
        </w:rPr>
        <w:t xml:space="preserve"> </w:t>
      </w:r>
      <w:r>
        <w:t>assumptions,</w:t>
      </w:r>
      <w:r>
        <w:rPr>
          <w:spacing w:val="-1"/>
        </w:rPr>
        <w:t xml:space="preserve"> </w:t>
      </w:r>
      <w:r>
        <w:t>a</w:t>
      </w:r>
      <w:r>
        <w:rPr>
          <w:spacing w:val="-3"/>
        </w:rPr>
        <w:t xml:space="preserve"> </w:t>
      </w:r>
      <w:r>
        <w:t>sensitivity</w:t>
      </w:r>
      <w:r>
        <w:rPr>
          <w:spacing w:val="-12"/>
        </w:rPr>
        <w:t xml:space="preserve"> </w:t>
      </w:r>
      <w:r>
        <w:t>analysis</w:t>
      </w:r>
      <w:r>
        <w:rPr>
          <w:spacing w:val="-4"/>
        </w:rPr>
        <w:t xml:space="preserve"> </w:t>
      </w:r>
      <w:r>
        <w:t xml:space="preserve">was </w:t>
      </w:r>
      <w:r>
        <w:rPr>
          <w:spacing w:val="-2"/>
        </w:rPr>
        <w:t>performed.</w:t>
      </w:r>
    </w:p>
    <w:p w14:paraId="6CB76393" w14:textId="77777777" w:rsidR="00F66501" w:rsidRDefault="00000000">
      <w:pPr>
        <w:pStyle w:val="ListParagraph"/>
        <w:numPr>
          <w:ilvl w:val="2"/>
          <w:numId w:val="2"/>
        </w:numPr>
        <w:tabs>
          <w:tab w:val="left" w:pos="1440"/>
        </w:tabs>
        <w:spacing w:before="3"/>
        <w:ind w:left="1440" w:hanging="360"/>
        <w:rPr>
          <w:sz w:val="24"/>
        </w:rPr>
      </w:pPr>
      <w:r>
        <w:rPr>
          <w:sz w:val="24"/>
        </w:rPr>
        <w:t>Impact of</w:t>
      </w:r>
      <w:r>
        <w:rPr>
          <w:spacing w:val="-7"/>
          <w:sz w:val="24"/>
        </w:rPr>
        <w:t xml:space="preserve"> </w:t>
      </w:r>
      <w:r>
        <w:rPr>
          <w:sz w:val="24"/>
        </w:rPr>
        <w:t>Discount</w:t>
      </w:r>
      <w:r>
        <w:rPr>
          <w:spacing w:val="5"/>
          <w:sz w:val="24"/>
        </w:rPr>
        <w:t xml:space="preserve"> </w:t>
      </w:r>
      <w:r>
        <w:rPr>
          <w:sz w:val="24"/>
        </w:rPr>
        <w:t xml:space="preserve">Rate </w:t>
      </w:r>
      <w:r>
        <w:rPr>
          <w:spacing w:val="-2"/>
          <w:sz w:val="24"/>
        </w:rPr>
        <w:t>Changes</w:t>
      </w:r>
    </w:p>
    <w:p w14:paraId="5273F5EA" w14:textId="77777777" w:rsidR="00F66501" w:rsidRDefault="00F66501">
      <w:pPr>
        <w:pStyle w:val="BodyText"/>
        <w:spacing w:before="144"/>
        <w:ind w:left="0"/>
      </w:pPr>
    </w:p>
    <w:p w14:paraId="45ADE10F" w14:textId="77777777" w:rsidR="00F66501" w:rsidRDefault="00000000">
      <w:pPr>
        <w:pStyle w:val="BodyText"/>
        <w:spacing w:line="360" w:lineRule="auto"/>
        <w:ind w:right="758"/>
      </w:pPr>
      <w:r>
        <w:t>The</w:t>
      </w:r>
      <w:r>
        <w:rPr>
          <w:spacing w:val="-5"/>
        </w:rPr>
        <w:t xml:space="preserve"> </w:t>
      </w:r>
      <w:r>
        <w:t>discount rate</w:t>
      </w:r>
      <w:r>
        <w:rPr>
          <w:spacing w:val="-5"/>
        </w:rPr>
        <w:t xml:space="preserve"> </w:t>
      </w:r>
      <w:r>
        <w:t>is</w:t>
      </w:r>
      <w:r>
        <w:rPr>
          <w:spacing w:val="-6"/>
        </w:rPr>
        <w:t xml:space="preserve"> </w:t>
      </w:r>
      <w:r>
        <w:t>essential</w:t>
      </w:r>
      <w:r>
        <w:rPr>
          <w:spacing w:val="-8"/>
        </w:rPr>
        <w:t xml:space="preserve"> </w:t>
      </w:r>
      <w:r>
        <w:t>in</w:t>
      </w:r>
      <w:r>
        <w:rPr>
          <w:spacing w:val="-4"/>
        </w:rPr>
        <w:t xml:space="preserve"> </w:t>
      </w:r>
      <w:r>
        <w:t>calculating</w:t>
      </w:r>
      <w:r>
        <w:rPr>
          <w:spacing w:val="-4"/>
        </w:rPr>
        <w:t xml:space="preserve"> </w:t>
      </w:r>
      <w:r>
        <w:t>the</w:t>
      </w:r>
      <w:r>
        <w:rPr>
          <w:spacing w:val="-5"/>
        </w:rPr>
        <w:t xml:space="preserve"> </w:t>
      </w:r>
      <w:r>
        <w:t>present value</w:t>
      </w:r>
      <w:r>
        <w:rPr>
          <w:spacing w:val="-5"/>
        </w:rPr>
        <w:t xml:space="preserve"> </w:t>
      </w:r>
      <w:r>
        <w:t>of</w:t>
      </w:r>
      <w:r>
        <w:rPr>
          <w:spacing w:val="-7"/>
        </w:rPr>
        <w:t xml:space="preserve"> </w:t>
      </w:r>
      <w:r>
        <w:t>future</w:t>
      </w:r>
      <w:r>
        <w:rPr>
          <w:spacing w:val="-5"/>
        </w:rPr>
        <w:t xml:space="preserve"> </w:t>
      </w:r>
      <w:r>
        <w:t>cash</w:t>
      </w:r>
      <w:r>
        <w:rPr>
          <w:spacing w:val="-4"/>
        </w:rPr>
        <w:t xml:space="preserve"> </w:t>
      </w:r>
      <w:r>
        <w:t>flows, as</w:t>
      </w:r>
      <w:r>
        <w:rPr>
          <w:spacing w:val="-2"/>
        </w:rPr>
        <w:t xml:space="preserve"> </w:t>
      </w:r>
      <w:r>
        <w:t>it directly influences the valuation of a company by</w:t>
      </w:r>
      <w:r>
        <w:rPr>
          <w:spacing w:val="-1"/>
        </w:rPr>
        <w:t xml:space="preserve"> </w:t>
      </w:r>
      <w:r>
        <w:t>accounting for the time value of money even small changes potentially causing significant shifts in a company's valuation (Reynolds, 1959). For Infosys, both</w:t>
      </w:r>
      <w:r>
        <w:rPr>
          <w:spacing w:val="-11"/>
        </w:rPr>
        <w:t xml:space="preserve"> </w:t>
      </w:r>
      <w:r>
        <w:t>the intrinsic</w:t>
      </w:r>
      <w:r>
        <w:rPr>
          <w:spacing w:val="-2"/>
        </w:rPr>
        <w:t xml:space="preserve"> </w:t>
      </w:r>
      <w:r>
        <w:t>equity</w:t>
      </w:r>
      <w:r>
        <w:rPr>
          <w:spacing w:val="-6"/>
        </w:rPr>
        <w:t xml:space="preserve"> </w:t>
      </w:r>
      <w:r>
        <w:t>value</w:t>
      </w:r>
      <w:r>
        <w:rPr>
          <w:spacing w:val="-2"/>
        </w:rPr>
        <w:t xml:space="preserve"> </w:t>
      </w:r>
      <w:r>
        <w:t>and</w:t>
      </w:r>
      <w:r>
        <w:rPr>
          <w:spacing w:val="-2"/>
        </w:rPr>
        <w:t xml:space="preserve"> </w:t>
      </w:r>
      <w:r>
        <w:t>the</w:t>
      </w:r>
      <w:r>
        <w:rPr>
          <w:spacing w:val="-2"/>
        </w:rPr>
        <w:t xml:space="preserve"> </w:t>
      </w:r>
      <w:r>
        <w:t>per-share</w:t>
      </w:r>
      <w:r>
        <w:rPr>
          <w:spacing w:val="-2"/>
        </w:rPr>
        <w:t xml:space="preserve"> </w:t>
      </w:r>
      <w:r>
        <w:t>value</w:t>
      </w:r>
      <w:r>
        <w:rPr>
          <w:spacing w:val="-2"/>
        </w:rPr>
        <w:t xml:space="preserve"> </w:t>
      </w:r>
      <w:r>
        <w:t>are</w:t>
      </w:r>
      <w:r>
        <w:rPr>
          <w:spacing w:val="-2"/>
        </w:rPr>
        <w:t xml:space="preserve"> </w:t>
      </w:r>
      <w:r>
        <w:t>sensitive</w:t>
      </w:r>
      <w:r>
        <w:rPr>
          <w:spacing w:val="-1"/>
        </w:rPr>
        <w:t xml:space="preserve"> </w:t>
      </w:r>
      <w:r>
        <w:t>to</w:t>
      </w:r>
      <w:r>
        <w:rPr>
          <w:spacing w:val="-2"/>
        </w:rPr>
        <w:t xml:space="preserve"> </w:t>
      </w:r>
      <w:r>
        <w:t>variations in</w:t>
      </w:r>
      <w:r>
        <w:rPr>
          <w:spacing w:val="-6"/>
        </w:rPr>
        <w:t xml:space="preserve"> </w:t>
      </w:r>
      <w:r>
        <w:t>the discount rate.</w:t>
      </w:r>
    </w:p>
    <w:p w14:paraId="3A9FC821" w14:textId="77777777" w:rsidR="00F66501" w:rsidRDefault="00F66501">
      <w:pPr>
        <w:pStyle w:val="BodyText"/>
        <w:ind w:left="0"/>
        <w:rPr>
          <w:sz w:val="20"/>
        </w:rPr>
      </w:pPr>
    </w:p>
    <w:p w14:paraId="1ECD5F00" w14:textId="77777777" w:rsidR="00F66501" w:rsidRDefault="00F66501">
      <w:pPr>
        <w:pStyle w:val="BodyText"/>
        <w:ind w:left="0"/>
        <w:rPr>
          <w:sz w:val="20"/>
        </w:rPr>
      </w:pPr>
    </w:p>
    <w:p w14:paraId="47C241A4" w14:textId="77777777" w:rsidR="00F66501" w:rsidRDefault="00F66501">
      <w:pPr>
        <w:pStyle w:val="BodyText"/>
        <w:ind w:left="0"/>
        <w:rPr>
          <w:sz w:val="20"/>
        </w:rPr>
      </w:pPr>
    </w:p>
    <w:p w14:paraId="025D04BA" w14:textId="77777777" w:rsidR="00F66501" w:rsidRDefault="00F66501">
      <w:pPr>
        <w:pStyle w:val="BodyText"/>
        <w:spacing w:before="57"/>
        <w:ind w:left="0"/>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1"/>
        <w:gridCol w:w="3116"/>
      </w:tblGrid>
      <w:tr w:rsidR="00F66501" w14:paraId="140D6550" w14:textId="77777777">
        <w:trPr>
          <w:trHeight w:val="830"/>
        </w:trPr>
        <w:tc>
          <w:tcPr>
            <w:tcW w:w="3117" w:type="dxa"/>
          </w:tcPr>
          <w:p w14:paraId="458B065F" w14:textId="77777777" w:rsidR="00F66501" w:rsidRDefault="00000000">
            <w:pPr>
              <w:pStyle w:val="TableParagraph"/>
              <w:spacing w:line="273" w:lineRule="exact"/>
              <w:rPr>
                <w:b/>
                <w:sz w:val="24"/>
              </w:rPr>
            </w:pPr>
            <w:r>
              <w:rPr>
                <w:b/>
                <w:sz w:val="24"/>
              </w:rPr>
              <w:t>Discount</w:t>
            </w:r>
            <w:r>
              <w:rPr>
                <w:b/>
                <w:spacing w:val="-1"/>
                <w:sz w:val="24"/>
              </w:rPr>
              <w:t xml:space="preserve"> </w:t>
            </w:r>
            <w:r>
              <w:rPr>
                <w:b/>
                <w:spacing w:val="-4"/>
                <w:sz w:val="24"/>
              </w:rPr>
              <w:t>Rate</w:t>
            </w:r>
          </w:p>
        </w:tc>
        <w:tc>
          <w:tcPr>
            <w:tcW w:w="3121" w:type="dxa"/>
          </w:tcPr>
          <w:p w14:paraId="01804A34" w14:textId="77777777" w:rsidR="00F66501" w:rsidRDefault="00000000">
            <w:pPr>
              <w:pStyle w:val="TableParagraph"/>
              <w:ind w:left="109"/>
              <w:rPr>
                <w:sz w:val="24"/>
              </w:rPr>
            </w:pPr>
            <w:r>
              <w:rPr>
                <w:sz w:val="24"/>
              </w:rPr>
              <w:t>Equity</w:t>
            </w:r>
            <w:r>
              <w:rPr>
                <w:spacing w:val="-9"/>
                <w:sz w:val="24"/>
              </w:rPr>
              <w:t xml:space="preserve"> </w:t>
            </w:r>
            <w:r>
              <w:rPr>
                <w:sz w:val="24"/>
              </w:rPr>
              <w:t>Value</w:t>
            </w:r>
            <w:r>
              <w:rPr>
                <w:spacing w:val="1"/>
                <w:sz w:val="24"/>
              </w:rPr>
              <w:t xml:space="preserve"> </w:t>
            </w:r>
            <w:r>
              <w:rPr>
                <w:sz w:val="24"/>
              </w:rPr>
              <w:t>(₹</w:t>
            </w:r>
            <w:r>
              <w:rPr>
                <w:spacing w:val="2"/>
                <w:sz w:val="24"/>
              </w:rPr>
              <w:t xml:space="preserve"> </w:t>
            </w:r>
            <w:r>
              <w:rPr>
                <w:spacing w:val="-2"/>
                <w:sz w:val="24"/>
              </w:rPr>
              <w:t>Crore)</w:t>
            </w:r>
          </w:p>
        </w:tc>
        <w:tc>
          <w:tcPr>
            <w:tcW w:w="3116" w:type="dxa"/>
          </w:tcPr>
          <w:p w14:paraId="31AB4F49" w14:textId="77777777" w:rsidR="00F66501" w:rsidRDefault="00000000">
            <w:pPr>
              <w:pStyle w:val="TableParagraph"/>
              <w:ind w:left="104"/>
              <w:rPr>
                <w:sz w:val="24"/>
              </w:rPr>
            </w:pPr>
            <w:r>
              <w:rPr>
                <w:sz w:val="24"/>
              </w:rPr>
              <w:t>Per</w:t>
            </w:r>
            <w:r>
              <w:rPr>
                <w:spacing w:val="-4"/>
                <w:sz w:val="24"/>
              </w:rPr>
              <w:t xml:space="preserve"> </w:t>
            </w:r>
            <w:r>
              <w:rPr>
                <w:sz w:val="24"/>
              </w:rPr>
              <w:t>Share</w:t>
            </w:r>
            <w:r>
              <w:rPr>
                <w:spacing w:val="-3"/>
                <w:sz w:val="24"/>
              </w:rPr>
              <w:t xml:space="preserve"> </w:t>
            </w:r>
            <w:r>
              <w:rPr>
                <w:sz w:val="24"/>
              </w:rPr>
              <w:t>Value</w:t>
            </w:r>
            <w:r>
              <w:rPr>
                <w:spacing w:val="-3"/>
                <w:sz w:val="24"/>
              </w:rPr>
              <w:t xml:space="preserve"> </w:t>
            </w:r>
            <w:r>
              <w:rPr>
                <w:spacing w:val="-5"/>
                <w:sz w:val="24"/>
              </w:rPr>
              <w:t>(₹)</w:t>
            </w:r>
          </w:p>
        </w:tc>
      </w:tr>
      <w:tr w:rsidR="00F66501" w14:paraId="50DA448C" w14:textId="77777777">
        <w:trPr>
          <w:trHeight w:val="413"/>
        </w:trPr>
        <w:tc>
          <w:tcPr>
            <w:tcW w:w="3117" w:type="dxa"/>
          </w:tcPr>
          <w:p w14:paraId="60F4591B" w14:textId="77777777" w:rsidR="00F66501" w:rsidRDefault="00000000">
            <w:pPr>
              <w:pStyle w:val="TableParagraph"/>
              <w:spacing w:line="273" w:lineRule="exact"/>
              <w:rPr>
                <w:b/>
                <w:sz w:val="24"/>
              </w:rPr>
            </w:pPr>
            <w:r>
              <w:rPr>
                <w:b/>
                <w:spacing w:val="-5"/>
                <w:sz w:val="24"/>
              </w:rPr>
              <w:t>12</w:t>
            </w:r>
          </w:p>
        </w:tc>
        <w:tc>
          <w:tcPr>
            <w:tcW w:w="3121" w:type="dxa"/>
          </w:tcPr>
          <w:p w14:paraId="190B5B5B" w14:textId="77777777" w:rsidR="00F66501" w:rsidRDefault="00000000">
            <w:pPr>
              <w:pStyle w:val="TableParagraph"/>
              <w:ind w:left="109"/>
              <w:rPr>
                <w:sz w:val="24"/>
              </w:rPr>
            </w:pPr>
            <w:r>
              <w:rPr>
                <w:spacing w:val="-2"/>
                <w:sz w:val="24"/>
              </w:rPr>
              <w:t>512,658.30</w:t>
            </w:r>
          </w:p>
        </w:tc>
        <w:tc>
          <w:tcPr>
            <w:tcW w:w="3116" w:type="dxa"/>
          </w:tcPr>
          <w:p w14:paraId="63BC7B7D" w14:textId="77777777" w:rsidR="00F66501" w:rsidRDefault="00000000">
            <w:pPr>
              <w:pStyle w:val="TableParagraph"/>
              <w:ind w:left="104"/>
              <w:rPr>
                <w:sz w:val="24"/>
              </w:rPr>
            </w:pPr>
            <w:r>
              <w:rPr>
                <w:spacing w:val="-2"/>
                <w:sz w:val="24"/>
              </w:rPr>
              <w:t>1,235.05</w:t>
            </w:r>
          </w:p>
        </w:tc>
      </w:tr>
      <w:tr w:rsidR="00F66501" w14:paraId="367F246D" w14:textId="77777777">
        <w:trPr>
          <w:trHeight w:val="417"/>
        </w:trPr>
        <w:tc>
          <w:tcPr>
            <w:tcW w:w="3117" w:type="dxa"/>
          </w:tcPr>
          <w:p w14:paraId="60849C67" w14:textId="77777777" w:rsidR="00F66501" w:rsidRDefault="00000000">
            <w:pPr>
              <w:pStyle w:val="TableParagraph"/>
              <w:spacing w:line="273" w:lineRule="exact"/>
              <w:rPr>
                <w:b/>
                <w:sz w:val="24"/>
              </w:rPr>
            </w:pPr>
            <w:r>
              <w:rPr>
                <w:b/>
                <w:spacing w:val="-5"/>
                <w:sz w:val="24"/>
              </w:rPr>
              <w:t>13</w:t>
            </w:r>
          </w:p>
        </w:tc>
        <w:tc>
          <w:tcPr>
            <w:tcW w:w="3121" w:type="dxa"/>
          </w:tcPr>
          <w:p w14:paraId="5A710AAF" w14:textId="77777777" w:rsidR="00F66501" w:rsidRDefault="00000000">
            <w:pPr>
              <w:pStyle w:val="TableParagraph"/>
              <w:ind w:left="109"/>
              <w:rPr>
                <w:sz w:val="24"/>
              </w:rPr>
            </w:pPr>
            <w:r>
              <w:rPr>
                <w:spacing w:val="-2"/>
                <w:sz w:val="24"/>
              </w:rPr>
              <w:t>475,632.21</w:t>
            </w:r>
          </w:p>
        </w:tc>
        <w:tc>
          <w:tcPr>
            <w:tcW w:w="3116" w:type="dxa"/>
          </w:tcPr>
          <w:p w14:paraId="3DB3D1A9" w14:textId="77777777" w:rsidR="00F66501" w:rsidRDefault="00000000">
            <w:pPr>
              <w:pStyle w:val="TableParagraph"/>
              <w:ind w:left="104"/>
              <w:rPr>
                <w:sz w:val="24"/>
              </w:rPr>
            </w:pPr>
            <w:r>
              <w:rPr>
                <w:spacing w:val="-2"/>
                <w:sz w:val="24"/>
              </w:rPr>
              <w:t>1,145.74</w:t>
            </w:r>
          </w:p>
        </w:tc>
      </w:tr>
      <w:tr w:rsidR="00F66501" w14:paraId="4C9947DD" w14:textId="77777777">
        <w:trPr>
          <w:trHeight w:val="412"/>
        </w:trPr>
        <w:tc>
          <w:tcPr>
            <w:tcW w:w="3117" w:type="dxa"/>
          </w:tcPr>
          <w:p w14:paraId="46A52FE1" w14:textId="77777777" w:rsidR="00F66501" w:rsidRDefault="00000000">
            <w:pPr>
              <w:pStyle w:val="TableParagraph"/>
              <w:spacing w:line="273" w:lineRule="exact"/>
              <w:rPr>
                <w:b/>
                <w:sz w:val="24"/>
              </w:rPr>
            </w:pPr>
            <w:r>
              <w:rPr>
                <w:b/>
                <w:spacing w:val="-5"/>
                <w:sz w:val="24"/>
              </w:rPr>
              <w:t>14</w:t>
            </w:r>
          </w:p>
        </w:tc>
        <w:tc>
          <w:tcPr>
            <w:tcW w:w="3121" w:type="dxa"/>
          </w:tcPr>
          <w:p w14:paraId="4A2AB31D" w14:textId="77777777" w:rsidR="00F66501" w:rsidRDefault="00000000">
            <w:pPr>
              <w:pStyle w:val="TableParagraph"/>
              <w:ind w:left="109"/>
              <w:rPr>
                <w:sz w:val="24"/>
              </w:rPr>
            </w:pPr>
            <w:r>
              <w:rPr>
                <w:spacing w:val="-2"/>
                <w:sz w:val="24"/>
              </w:rPr>
              <w:t>443,021.67</w:t>
            </w:r>
          </w:p>
        </w:tc>
        <w:tc>
          <w:tcPr>
            <w:tcW w:w="3116" w:type="dxa"/>
          </w:tcPr>
          <w:p w14:paraId="63263A59" w14:textId="77777777" w:rsidR="00F66501" w:rsidRDefault="00000000">
            <w:pPr>
              <w:pStyle w:val="TableParagraph"/>
              <w:ind w:left="104"/>
              <w:rPr>
                <w:sz w:val="24"/>
              </w:rPr>
            </w:pPr>
            <w:r>
              <w:rPr>
                <w:spacing w:val="-2"/>
                <w:sz w:val="24"/>
              </w:rPr>
              <w:t>1,067.23</w:t>
            </w:r>
          </w:p>
        </w:tc>
      </w:tr>
    </w:tbl>
    <w:p w14:paraId="2F66D9D4" w14:textId="77777777" w:rsidR="00F66501" w:rsidRDefault="00000000">
      <w:pPr>
        <w:pStyle w:val="Heading1"/>
      </w:pPr>
      <w:r>
        <w:rPr>
          <w:spacing w:val="-2"/>
        </w:rPr>
        <w:t>Analysis:</w:t>
      </w:r>
    </w:p>
    <w:p w14:paraId="17BF6D1D" w14:textId="77777777" w:rsidR="00F66501" w:rsidRDefault="00F66501">
      <w:pPr>
        <w:pStyle w:val="BodyText"/>
        <w:spacing w:before="59"/>
        <w:ind w:left="0"/>
        <w:rPr>
          <w:b/>
        </w:rPr>
      </w:pPr>
    </w:p>
    <w:p w14:paraId="25C9B5DF" w14:textId="77777777" w:rsidR="00F66501" w:rsidRDefault="00000000">
      <w:pPr>
        <w:ind w:left="720"/>
        <w:rPr>
          <w:b/>
          <w:sz w:val="24"/>
        </w:rPr>
      </w:pPr>
      <w:r>
        <w:rPr>
          <w:b/>
          <w:sz w:val="24"/>
        </w:rPr>
        <w:t>At a</w:t>
      </w:r>
      <w:r>
        <w:rPr>
          <w:b/>
          <w:spacing w:val="1"/>
          <w:sz w:val="24"/>
        </w:rPr>
        <w:t xml:space="preserve"> </w:t>
      </w:r>
      <w:r>
        <w:rPr>
          <w:b/>
          <w:sz w:val="24"/>
        </w:rPr>
        <w:t>12%</w:t>
      </w:r>
      <w:r>
        <w:rPr>
          <w:b/>
          <w:spacing w:val="-4"/>
          <w:sz w:val="24"/>
        </w:rPr>
        <w:t xml:space="preserve"> </w:t>
      </w:r>
      <w:r>
        <w:rPr>
          <w:b/>
          <w:sz w:val="24"/>
        </w:rPr>
        <w:t>discount</w:t>
      </w:r>
      <w:r>
        <w:rPr>
          <w:b/>
          <w:spacing w:val="-1"/>
          <w:sz w:val="24"/>
        </w:rPr>
        <w:t xml:space="preserve"> </w:t>
      </w:r>
      <w:r>
        <w:rPr>
          <w:b/>
          <w:spacing w:val="-4"/>
          <w:sz w:val="24"/>
        </w:rPr>
        <w:t>rate:</w:t>
      </w:r>
    </w:p>
    <w:p w14:paraId="4652F8AA" w14:textId="77777777" w:rsidR="00F66501" w:rsidRDefault="00000000">
      <w:pPr>
        <w:pStyle w:val="BodyText"/>
        <w:spacing w:before="133"/>
      </w:pPr>
      <w:r>
        <w:t>The</w:t>
      </w:r>
      <w:r>
        <w:rPr>
          <w:spacing w:val="-2"/>
        </w:rPr>
        <w:t xml:space="preserve"> </w:t>
      </w:r>
      <w:r>
        <w:t>total</w:t>
      </w:r>
      <w:r>
        <w:rPr>
          <w:spacing w:val="-10"/>
        </w:rPr>
        <w:t xml:space="preserve"> </w:t>
      </w:r>
      <w:r>
        <w:t>equity</w:t>
      </w:r>
      <w:r>
        <w:rPr>
          <w:spacing w:val="-5"/>
        </w:rPr>
        <w:t xml:space="preserve"> </w:t>
      </w:r>
      <w:r>
        <w:t>value</w:t>
      </w:r>
      <w:r>
        <w:rPr>
          <w:spacing w:val="-2"/>
        </w:rPr>
        <w:t xml:space="preserve"> </w:t>
      </w:r>
      <w:r>
        <w:t>of</w:t>
      </w:r>
      <w:r>
        <w:rPr>
          <w:spacing w:val="-5"/>
        </w:rPr>
        <w:t xml:space="preserve"> </w:t>
      </w:r>
      <w:r>
        <w:t>Infosys</w:t>
      </w:r>
      <w:r>
        <w:rPr>
          <w:spacing w:val="1"/>
        </w:rPr>
        <w:t xml:space="preserve"> </w:t>
      </w:r>
      <w:r>
        <w:t>is</w:t>
      </w:r>
      <w:r>
        <w:rPr>
          <w:spacing w:val="-4"/>
        </w:rPr>
        <w:t xml:space="preserve"> </w:t>
      </w:r>
      <w:r>
        <w:t>₹512,658.30 crore,</w:t>
      </w:r>
      <w:r>
        <w:rPr>
          <w:spacing w:val="1"/>
        </w:rPr>
        <w:t xml:space="preserve"> </w:t>
      </w:r>
      <w:r>
        <w:t>which</w:t>
      </w:r>
      <w:r>
        <w:rPr>
          <w:spacing w:val="-6"/>
        </w:rPr>
        <w:t xml:space="preserve"> </w:t>
      </w:r>
      <w:r>
        <w:t>corresponds</w:t>
      </w:r>
      <w:r>
        <w:rPr>
          <w:spacing w:val="-8"/>
        </w:rPr>
        <w:t xml:space="preserve"> </w:t>
      </w:r>
      <w:r>
        <w:t>to</w:t>
      </w:r>
      <w:r>
        <w:rPr>
          <w:spacing w:val="4"/>
        </w:rPr>
        <w:t xml:space="preserve"> </w:t>
      </w:r>
      <w:r>
        <w:t>an</w:t>
      </w:r>
      <w:r>
        <w:rPr>
          <w:spacing w:val="-1"/>
        </w:rPr>
        <w:t xml:space="preserve"> </w:t>
      </w:r>
      <w:r>
        <w:t>intrinsic</w:t>
      </w:r>
      <w:r>
        <w:rPr>
          <w:spacing w:val="3"/>
        </w:rPr>
        <w:t xml:space="preserve"> </w:t>
      </w:r>
      <w:r>
        <w:t>value</w:t>
      </w:r>
      <w:r>
        <w:rPr>
          <w:spacing w:val="-1"/>
        </w:rPr>
        <w:t xml:space="preserve"> </w:t>
      </w:r>
      <w:r>
        <w:rPr>
          <w:spacing w:val="-5"/>
        </w:rPr>
        <w:t>of</w:t>
      </w:r>
    </w:p>
    <w:p w14:paraId="781A64A0" w14:textId="77777777" w:rsidR="00F66501" w:rsidRDefault="00000000">
      <w:pPr>
        <w:pStyle w:val="BodyText"/>
        <w:spacing w:before="136"/>
      </w:pPr>
      <w:r>
        <w:t>₹1,235.05</w:t>
      </w:r>
      <w:r>
        <w:rPr>
          <w:spacing w:val="-9"/>
        </w:rPr>
        <w:t xml:space="preserve"> </w:t>
      </w:r>
      <w:r>
        <w:t>per</w:t>
      </w:r>
      <w:r>
        <w:rPr>
          <w:spacing w:val="-1"/>
        </w:rPr>
        <w:t xml:space="preserve"> </w:t>
      </w:r>
      <w:r>
        <w:t>share. This is</w:t>
      </w:r>
      <w:r>
        <w:rPr>
          <w:spacing w:val="-4"/>
        </w:rPr>
        <w:t xml:space="preserve"> </w:t>
      </w:r>
      <w:r>
        <w:t>the</w:t>
      </w:r>
      <w:r>
        <w:rPr>
          <w:spacing w:val="-3"/>
        </w:rPr>
        <w:t xml:space="preserve"> </w:t>
      </w:r>
      <w:r>
        <w:t>base</w:t>
      </w:r>
      <w:r>
        <w:rPr>
          <w:spacing w:val="-3"/>
        </w:rPr>
        <w:t xml:space="preserve"> </w:t>
      </w:r>
      <w:r>
        <w:t>scenario</w:t>
      </w:r>
      <w:r>
        <w:rPr>
          <w:spacing w:val="2"/>
        </w:rPr>
        <w:t xml:space="preserve"> </w:t>
      </w:r>
      <w:r>
        <w:t>used</w:t>
      </w:r>
      <w:r>
        <w:rPr>
          <w:spacing w:val="2"/>
        </w:rPr>
        <w:t xml:space="preserve"> </w:t>
      </w:r>
      <w:r>
        <w:t>in</w:t>
      </w:r>
      <w:r>
        <w:rPr>
          <w:spacing w:val="-6"/>
        </w:rPr>
        <w:t xml:space="preserve"> </w:t>
      </w:r>
      <w:r>
        <w:t>the</w:t>
      </w:r>
      <w:r>
        <w:rPr>
          <w:spacing w:val="-3"/>
        </w:rPr>
        <w:t xml:space="preserve"> </w:t>
      </w:r>
      <w:r>
        <w:t>primary</w:t>
      </w:r>
      <w:r>
        <w:rPr>
          <w:spacing w:val="-6"/>
        </w:rPr>
        <w:t xml:space="preserve"> </w:t>
      </w:r>
      <w:r>
        <w:rPr>
          <w:spacing w:val="-2"/>
        </w:rPr>
        <w:t>valuation.</w:t>
      </w:r>
    </w:p>
    <w:p w14:paraId="27934A48" w14:textId="77777777" w:rsidR="00F66501" w:rsidRDefault="00F66501">
      <w:pPr>
        <w:pStyle w:val="BodyText"/>
        <w:sectPr w:rsidR="00F66501">
          <w:pgSz w:w="12240" w:h="15840"/>
          <w:pgMar w:top="980" w:right="720" w:bottom="280" w:left="720" w:header="723" w:footer="0" w:gutter="0"/>
          <w:cols w:space="720"/>
        </w:sectPr>
      </w:pPr>
    </w:p>
    <w:p w14:paraId="5895853F" w14:textId="77777777" w:rsidR="00F66501" w:rsidRDefault="00000000">
      <w:pPr>
        <w:pStyle w:val="BodyText"/>
        <w:spacing w:before="172"/>
        <w:ind w:left="0"/>
      </w:pPr>
      <w:r>
        <w:rPr>
          <w:noProof/>
        </w:rPr>
        <w:lastRenderedPageBreak/>
        <mc:AlternateContent>
          <mc:Choice Requires="wps">
            <w:drawing>
              <wp:anchor distT="0" distB="0" distL="0" distR="0" simplePos="0" relativeHeight="487361024" behindDoc="1" locked="0" layoutInCell="1" allowOverlap="1" wp14:anchorId="115F188D" wp14:editId="083D9625">
                <wp:simplePos x="0" y="0"/>
                <wp:positionH relativeFrom="page">
                  <wp:posOffset>307848</wp:posOffset>
                </wp:positionH>
                <wp:positionV relativeFrom="page">
                  <wp:posOffset>307847</wp:posOffset>
                </wp:positionV>
                <wp:extent cx="7162800" cy="94488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95481D" id="Graphic 13" o:spid="_x0000_s1026" style="position:absolute;margin-left:24.25pt;margin-top:24.25pt;width:564pt;height:744pt;z-index:-15955456;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p w14:paraId="7B259A99" w14:textId="77777777" w:rsidR="00F66501" w:rsidRDefault="00000000">
      <w:pPr>
        <w:pStyle w:val="Heading1"/>
        <w:spacing w:before="1"/>
      </w:pPr>
      <w:r>
        <w:t>At a</w:t>
      </w:r>
      <w:r>
        <w:rPr>
          <w:spacing w:val="1"/>
        </w:rPr>
        <w:t xml:space="preserve"> </w:t>
      </w:r>
      <w:r>
        <w:t>13%</w:t>
      </w:r>
      <w:r>
        <w:rPr>
          <w:spacing w:val="-4"/>
        </w:rPr>
        <w:t xml:space="preserve"> </w:t>
      </w:r>
      <w:r>
        <w:t>discount</w:t>
      </w:r>
      <w:r>
        <w:rPr>
          <w:spacing w:val="-1"/>
        </w:rPr>
        <w:t xml:space="preserve"> </w:t>
      </w:r>
      <w:r>
        <w:rPr>
          <w:spacing w:val="-4"/>
        </w:rPr>
        <w:t>rate:</w:t>
      </w:r>
    </w:p>
    <w:p w14:paraId="6CA8E22E" w14:textId="77777777" w:rsidR="00F66501" w:rsidRDefault="00000000">
      <w:pPr>
        <w:pStyle w:val="BodyText"/>
        <w:spacing w:before="132" w:line="362" w:lineRule="auto"/>
        <w:ind w:right="758"/>
      </w:pPr>
      <w:r>
        <w:t>In a case where the discount rate increases to 13%, the equity value decreases to ₹475,632.21 crore, corresponding</w:t>
      </w:r>
      <w:r>
        <w:rPr>
          <w:spacing w:val="-1"/>
        </w:rPr>
        <w:t xml:space="preserve"> </w:t>
      </w:r>
      <w:r>
        <w:t>to a</w:t>
      </w:r>
      <w:r>
        <w:rPr>
          <w:spacing w:val="-7"/>
        </w:rPr>
        <w:t xml:space="preserve"> </w:t>
      </w:r>
      <w:r>
        <w:t>per-share</w:t>
      </w:r>
      <w:r>
        <w:rPr>
          <w:spacing w:val="-3"/>
        </w:rPr>
        <w:t xml:space="preserve"> </w:t>
      </w:r>
      <w:r>
        <w:t>value</w:t>
      </w:r>
      <w:r>
        <w:rPr>
          <w:spacing w:val="-3"/>
        </w:rPr>
        <w:t xml:space="preserve"> </w:t>
      </w:r>
      <w:r>
        <w:t>of</w:t>
      </w:r>
      <w:r>
        <w:rPr>
          <w:spacing w:val="-9"/>
        </w:rPr>
        <w:t xml:space="preserve"> </w:t>
      </w:r>
      <w:r>
        <w:t>₹1,145.74.</w:t>
      </w:r>
      <w:r>
        <w:rPr>
          <w:spacing w:val="-4"/>
        </w:rPr>
        <w:t xml:space="preserve"> </w:t>
      </w:r>
      <w:r>
        <w:t>This</w:t>
      </w:r>
      <w:r>
        <w:rPr>
          <w:spacing w:val="-4"/>
        </w:rPr>
        <w:t xml:space="preserve"> </w:t>
      </w:r>
      <w:r>
        <w:t>represents</w:t>
      </w:r>
      <w:r>
        <w:rPr>
          <w:spacing w:val="-4"/>
        </w:rPr>
        <w:t xml:space="preserve"> </w:t>
      </w:r>
      <w:r>
        <w:t>a</w:t>
      </w:r>
      <w:r>
        <w:rPr>
          <w:spacing w:val="-3"/>
        </w:rPr>
        <w:t xml:space="preserve"> </w:t>
      </w:r>
      <w:r>
        <w:t>reduction</w:t>
      </w:r>
      <w:r>
        <w:rPr>
          <w:spacing w:val="-6"/>
        </w:rPr>
        <w:t xml:space="preserve"> </w:t>
      </w:r>
      <w:r>
        <w:t>of</w:t>
      </w:r>
      <w:r>
        <w:rPr>
          <w:spacing w:val="-9"/>
        </w:rPr>
        <w:t xml:space="preserve"> </w:t>
      </w:r>
      <w:r>
        <w:t>₹89.31</w:t>
      </w:r>
      <w:r>
        <w:rPr>
          <w:spacing w:val="-2"/>
        </w:rPr>
        <w:t xml:space="preserve"> </w:t>
      </w:r>
      <w:r>
        <w:t>in the intrinsic value per share compared to the 12% discount rate scenario.</w:t>
      </w:r>
    </w:p>
    <w:p w14:paraId="25F9EFA1" w14:textId="77777777" w:rsidR="00F66501" w:rsidRDefault="00000000">
      <w:pPr>
        <w:pStyle w:val="Heading1"/>
        <w:spacing w:line="274" w:lineRule="exact"/>
      </w:pPr>
      <w:r>
        <w:t>At a</w:t>
      </w:r>
      <w:r>
        <w:rPr>
          <w:spacing w:val="1"/>
        </w:rPr>
        <w:t xml:space="preserve"> </w:t>
      </w:r>
      <w:r>
        <w:t>14%</w:t>
      </w:r>
      <w:r>
        <w:rPr>
          <w:spacing w:val="-4"/>
        </w:rPr>
        <w:t xml:space="preserve"> </w:t>
      </w:r>
      <w:r>
        <w:t>discount</w:t>
      </w:r>
      <w:r>
        <w:rPr>
          <w:spacing w:val="-1"/>
        </w:rPr>
        <w:t xml:space="preserve"> </w:t>
      </w:r>
      <w:r>
        <w:rPr>
          <w:spacing w:val="-4"/>
        </w:rPr>
        <w:t>rate:</w:t>
      </w:r>
    </w:p>
    <w:p w14:paraId="006AC324" w14:textId="77777777" w:rsidR="00F66501" w:rsidRDefault="00000000">
      <w:pPr>
        <w:pStyle w:val="BodyText"/>
        <w:spacing w:before="132" w:line="362" w:lineRule="auto"/>
        <w:ind w:right="867"/>
        <w:jc w:val="both"/>
      </w:pPr>
      <w:r>
        <w:t>Increasing</w:t>
      </w:r>
      <w:r>
        <w:rPr>
          <w:spacing w:val="-1"/>
        </w:rPr>
        <w:t xml:space="preserve"> </w:t>
      </w:r>
      <w:r>
        <w:t>the</w:t>
      </w:r>
      <w:r>
        <w:rPr>
          <w:spacing w:val="-2"/>
        </w:rPr>
        <w:t xml:space="preserve"> </w:t>
      </w:r>
      <w:r>
        <w:t>discount rate</w:t>
      </w:r>
      <w:r>
        <w:rPr>
          <w:spacing w:val="-2"/>
        </w:rPr>
        <w:t xml:space="preserve"> </w:t>
      </w:r>
      <w:r>
        <w:t>further</w:t>
      </w:r>
      <w:r>
        <w:rPr>
          <w:spacing w:val="-4"/>
        </w:rPr>
        <w:t xml:space="preserve"> </w:t>
      </w:r>
      <w:r>
        <w:t>to</w:t>
      </w:r>
      <w:r>
        <w:rPr>
          <w:spacing w:val="-1"/>
        </w:rPr>
        <w:t xml:space="preserve"> </w:t>
      </w:r>
      <w:r>
        <w:t>14%</w:t>
      </w:r>
      <w:r>
        <w:rPr>
          <w:spacing w:val="-4"/>
        </w:rPr>
        <w:t xml:space="preserve"> </w:t>
      </w:r>
      <w:r>
        <w:t>results</w:t>
      </w:r>
      <w:r>
        <w:rPr>
          <w:spacing w:val="-4"/>
        </w:rPr>
        <w:t xml:space="preserve"> </w:t>
      </w:r>
      <w:r>
        <w:t>in</w:t>
      </w:r>
      <w:r>
        <w:rPr>
          <w:spacing w:val="-1"/>
        </w:rPr>
        <w:t xml:space="preserve"> </w:t>
      </w:r>
      <w:r>
        <w:t>an</w:t>
      </w:r>
      <w:r>
        <w:rPr>
          <w:spacing w:val="-6"/>
        </w:rPr>
        <w:t xml:space="preserve"> </w:t>
      </w:r>
      <w:r>
        <w:t>equity</w:t>
      </w:r>
      <w:r>
        <w:rPr>
          <w:spacing w:val="-6"/>
        </w:rPr>
        <w:t xml:space="preserve"> </w:t>
      </w:r>
      <w:r>
        <w:t>value</w:t>
      </w:r>
      <w:r>
        <w:rPr>
          <w:spacing w:val="-2"/>
        </w:rPr>
        <w:t xml:space="preserve"> </w:t>
      </w:r>
      <w:r>
        <w:t>of</w:t>
      </w:r>
      <w:r>
        <w:rPr>
          <w:spacing w:val="-9"/>
        </w:rPr>
        <w:t xml:space="preserve"> </w:t>
      </w:r>
      <w:r>
        <w:t>₹443,021.67</w:t>
      </w:r>
      <w:r>
        <w:rPr>
          <w:spacing w:val="-1"/>
        </w:rPr>
        <w:t xml:space="preserve"> </w:t>
      </w:r>
      <w:r>
        <w:t>crore</w:t>
      </w:r>
      <w:r>
        <w:rPr>
          <w:spacing w:val="-2"/>
        </w:rPr>
        <w:t xml:space="preserve"> </w:t>
      </w:r>
      <w:r>
        <w:t>and</w:t>
      </w:r>
      <w:r>
        <w:rPr>
          <w:spacing w:val="-1"/>
        </w:rPr>
        <w:t xml:space="preserve"> </w:t>
      </w:r>
      <w:r>
        <w:t>a per-share</w:t>
      </w:r>
      <w:r>
        <w:rPr>
          <w:spacing w:val="-1"/>
        </w:rPr>
        <w:t xml:space="preserve"> </w:t>
      </w:r>
      <w:r>
        <w:t>value</w:t>
      </w:r>
      <w:r>
        <w:rPr>
          <w:spacing w:val="-1"/>
        </w:rPr>
        <w:t xml:space="preserve"> </w:t>
      </w:r>
      <w:r>
        <w:t>of</w:t>
      </w:r>
      <w:r>
        <w:rPr>
          <w:spacing w:val="-7"/>
        </w:rPr>
        <w:t xml:space="preserve"> </w:t>
      </w:r>
      <w:r>
        <w:t>₹1,067.23.</w:t>
      </w:r>
      <w:r>
        <w:rPr>
          <w:spacing w:val="-2"/>
        </w:rPr>
        <w:t xml:space="preserve"> </w:t>
      </w:r>
      <w:r>
        <w:t>This</w:t>
      </w:r>
      <w:r>
        <w:rPr>
          <w:spacing w:val="-2"/>
        </w:rPr>
        <w:t xml:space="preserve"> </w:t>
      </w:r>
      <w:r>
        <w:t>represents</w:t>
      </w:r>
      <w:r>
        <w:rPr>
          <w:spacing w:val="-2"/>
        </w:rPr>
        <w:t xml:space="preserve"> </w:t>
      </w:r>
      <w:r>
        <w:t>a</w:t>
      </w:r>
      <w:r>
        <w:rPr>
          <w:spacing w:val="-1"/>
        </w:rPr>
        <w:t xml:space="preserve"> </w:t>
      </w:r>
      <w:r>
        <w:t>further reduction</w:t>
      </w:r>
      <w:r>
        <w:rPr>
          <w:spacing w:val="-4"/>
        </w:rPr>
        <w:t xml:space="preserve"> </w:t>
      </w:r>
      <w:r>
        <w:t>of</w:t>
      </w:r>
      <w:r>
        <w:rPr>
          <w:spacing w:val="-7"/>
        </w:rPr>
        <w:t xml:space="preserve"> </w:t>
      </w:r>
      <w:r>
        <w:t>₹78.51 in</w:t>
      </w:r>
      <w:r>
        <w:rPr>
          <w:spacing w:val="-4"/>
        </w:rPr>
        <w:t xml:space="preserve"> </w:t>
      </w:r>
      <w:r>
        <w:t>the intrinsic value per share compared to the 13% discount rate scenario.</w:t>
      </w:r>
    </w:p>
    <w:p w14:paraId="1ACCF2C7" w14:textId="77777777" w:rsidR="00F66501" w:rsidRDefault="00000000">
      <w:pPr>
        <w:pStyle w:val="Heading1"/>
        <w:spacing w:line="274" w:lineRule="exact"/>
        <w:jc w:val="both"/>
      </w:pPr>
      <w:r>
        <w:t>Sensitivity</w:t>
      </w:r>
      <w:r>
        <w:rPr>
          <w:spacing w:val="-2"/>
        </w:rPr>
        <w:t xml:space="preserve"> </w:t>
      </w:r>
      <w:r>
        <w:t>Analysis</w:t>
      </w:r>
      <w:r>
        <w:rPr>
          <w:spacing w:val="-2"/>
        </w:rPr>
        <w:t xml:space="preserve"> </w:t>
      </w:r>
      <w:r>
        <w:t>and</w:t>
      </w:r>
      <w:r>
        <w:rPr>
          <w:spacing w:val="-1"/>
        </w:rPr>
        <w:t xml:space="preserve"> </w:t>
      </w:r>
      <w:r>
        <w:rPr>
          <w:spacing w:val="-2"/>
        </w:rPr>
        <w:t>Interpretation</w:t>
      </w:r>
    </w:p>
    <w:p w14:paraId="438A86B3" w14:textId="77777777" w:rsidR="00F66501" w:rsidRDefault="00F66501">
      <w:pPr>
        <w:pStyle w:val="BodyText"/>
        <w:spacing w:before="57"/>
        <w:ind w:left="0"/>
        <w:rPr>
          <w:b/>
        </w:rPr>
      </w:pPr>
    </w:p>
    <w:p w14:paraId="345E4E2B" w14:textId="77777777" w:rsidR="00F66501" w:rsidRDefault="00000000">
      <w:pPr>
        <w:pStyle w:val="BodyText"/>
        <w:spacing w:line="360" w:lineRule="auto"/>
        <w:ind w:right="834"/>
      </w:pPr>
      <w:r>
        <w:t>As</w:t>
      </w:r>
      <w:r>
        <w:rPr>
          <w:spacing w:val="-5"/>
        </w:rPr>
        <w:t xml:space="preserve"> </w:t>
      </w:r>
      <w:r>
        <w:t>observed, a</w:t>
      </w:r>
      <w:r>
        <w:rPr>
          <w:spacing w:val="-3"/>
        </w:rPr>
        <w:t xml:space="preserve"> </w:t>
      </w:r>
      <w:r>
        <w:t>1%</w:t>
      </w:r>
      <w:r>
        <w:rPr>
          <w:spacing w:val="-5"/>
        </w:rPr>
        <w:t xml:space="preserve"> </w:t>
      </w:r>
      <w:r>
        <w:t>increase in</w:t>
      </w:r>
      <w:r>
        <w:rPr>
          <w:spacing w:val="-7"/>
        </w:rPr>
        <w:t xml:space="preserve"> </w:t>
      </w:r>
      <w:r>
        <w:t>the</w:t>
      </w:r>
      <w:r>
        <w:rPr>
          <w:spacing w:val="-3"/>
        </w:rPr>
        <w:t xml:space="preserve"> </w:t>
      </w:r>
      <w:r>
        <w:t>discount rate</w:t>
      </w:r>
      <w:r>
        <w:rPr>
          <w:spacing w:val="-3"/>
        </w:rPr>
        <w:t xml:space="preserve"> </w:t>
      </w:r>
      <w:r>
        <w:t>(from</w:t>
      </w:r>
      <w:r>
        <w:rPr>
          <w:spacing w:val="-11"/>
        </w:rPr>
        <w:t xml:space="preserve"> </w:t>
      </w:r>
      <w:r>
        <w:t>12%</w:t>
      </w:r>
      <w:r>
        <w:rPr>
          <w:spacing w:val="-5"/>
        </w:rPr>
        <w:t xml:space="preserve"> </w:t>
      </w:r>
      <w:r>
        <w:t>to 13%)</w:t>
      </w:r>
      <w:r>
        <w:rPr>
          <w:spacing w:val="-5"/>
        </w:rPr>
        <w:t xml:space="preserve"> </w:t>
      </w:r>
      <w:r>
        <w:t>reduces</w:t>
      </w:r>
      <w:r>
        <w:rPr>
          <w:spacing w:val="-4"/>
        </w:rPr>
        <w:t xml:space="preserve"> </w:t>
      </w:r>
      <w:r>
        <w:t>the</w:t>
      </w:r>
      <w:r>
        <w:rPr>
          <w:spacing w:val="-3"/>
        </w:rPr>
        <w:t xml:space="preserve"> </w:t>
      </w:r>
      <w:r>
        <w:t>per-share</w:t>
      </w:r>
      <w:r>
        <w:rPr>
          <w:spacing w:val="-3"/>
        </w:rPr>
        <w:t xml:space="preserve"> </w:t>
      </w:r>
      <w:r>
        <w:t xml:space="preserve">value by approximately ₹90. This trend continues with a further decrease in per-share value as the discount rate rises to 14%, although the reduction becomes slightly smaller at ₹78.51. The </w:t>
      </w:r>
      <w:proofErr w:type="gramStart"/>
      <w:r>
        <w:t>observed changes</w:t>
      </w:r>
      <w:proofErr w:type="gramEnd"/>
      <w:r>
        <w:t xml:space="preserve"> highlight the moderate sensitivity of the valuation to the discount rate. (Infosys Limited, 2024 and Yahoo Finance. 2024)</w:t>
      </w:r>
    </w:p>
    <w:p w14:paraId="20E98E35" w14:textId="77777777" w:rsidR="00F66501" w:rsidRDefault="00000000">
      <w:pPr>
        <w:pStyle w:val="ListParagraph"/>
        <w:numPr>
          <w:ilvl w:val="2"/>
          <w:numId w:val="2"/>
        </w:numPr>
        <w:tabs>
          <w:tab w:val="left" w:pos="1439"/>
        </w:tabs>
        <w:spacing w:before="0"/>
        <w:ind w:left="1439" w:hanging="359"/>
        <w:rPr>
          <w:sz w:val="24"/>
        </w:rPr>
      </w:pPr>
      <w:r>
        <w:rPr>
          <w:sz w:val="24"/>
        </w:rPr>
        <w:t>Impact</w:t>
      </w:r>
      <w:r>
        <w:rPr>
          <w:spacing w:val="3"/>
          <w:sz w:val="24"/>
        </w:rPr>
        <w:t xml:space="preserve"> </w:t>
      </w:r>
      <w:r>
        <w:rPr>
          <w:sz w:val="24"/>
        </w:rPr>
        <w:t>of</w:t>
      </w:r>
      <w:r>
        <w:rPr>
          <w:spacing w:val="-5"/>
          <w:sz w:val="24"/>
        </w:rPr>
        <w:t xml:space="preserve"> </w:t>
      </w:r>
      <w:r>
        <w:rPr>
          <w:sz w:val="24"/>
        </w:rPr>
        <w:t>Terminal</w:t>
      </w:r>
      <w:r>
        <w:rPr>
          <w:spacing w:val="-5"/>
          <w:sz w:val="24"/>
        </w:rPr>
        <w:t xml:space="preserve"> </w:t>
      </w:r>
      <w:r>
        <w:rPr>
          <w:sz w:val="24"/>
        </w:rPr>
        <w:t>Growth</w:t>
      </w:r>
      <w:r>
        <w:rPr>
          <w:spacing w:val="-2"/>
          <w:sz w:val="24"/>
        </w:rPr>
        <w:t xml:space="preserve"> </w:t>
      </w:r>
      <w:r>
        <w:rPr>
          <w:sz w:val="24"/>
        </w:rPr>
        <w:t>Rate</w:t>
      </w:r>
      <w:r>
        <w:rPr>
          <w:spacing w:val="3"/>
          <w:sz w:val="24"/>
        </w:rPr>
        <w:t xml:space="preserve"> </w:t>
      </w:r>
      <w:r>
        <w:rPr>
          <w:spacing w:val="-2"/>
          <w:sz w:val="24"/>
        </w:rPr>
        <w:t>Changes</w:t>
      </w:r>
    </w:p>
    <w:p w14:paraId="3B013EC7" w14:textId="77777777" w:rsidR="00F66501" w:rsidRDefault="00000000">
      <w:pPr>
        <w:pStyle w:val="BodyText"/>
        <w:spacing w:before="137" w:line="360" w:lineRule="auto"/>
        <w:ind w:right="758"/>
      </w:pPr>
      <w:r>
        <w:t>As</w:t>
      </w:r>
      <w:r>
        <w:rPr>
          <w:spacing w:val="-5"/>
        </w:rPr>
        <w:t xml:space="preserve"> </w:t>
      </w:r>
      <w:r>
        <w:t>Ashton</w:t>
      </w:r>
      <w:r>
        <w:rPr>
          <w:spacing w:val="-7"/>
        </w:rPr>
        <w:t xml:space="preserve"> </w:t>
      </w:r>
      <w:r>
        <w:t>and Wang</w:t>
      </w:r>
      <w:r>
        <w:rPr>
          <w:spacing w:val="-2"/>
        </w:rPr>
        <w:t xml:space="preserve"> </w:t>
      </w:r>
      <w:r>
        <w:t>(2013)</w:t>
      </w:r>
      <w:r>
        <w:rPr>
          <w:spacing w:val="-1"/>
        </w:rPr>
        <w:t xml:space="preserve"> </w:t>
      </w:r>
      <w:r>
        <w:t>explain, the</w:t>
      </w:r>
      <w:r>
        <w:rPr>
          <w:spacing w:val="-3"/>
        </w:rPr>
        <w:t xml:space="preserve"> </w:t>
      </w:r>
      <w:r>
        <w:t>terminal</w:t>
      </w:r>
      <w:r>
        <w:rPr>
          <w:spacing w:val="-7"/>
        </w:rPr>
        <w:t xml:space="preserve"> </w:t>
      </w:r>
      <w:r>
        <w:t>growth</w:t>
      </w:r>
      <w:r>
        <w:rPr>
          <w:spacing w:val="-7"/>
        </w:rPr>
        <w:t xml:space="preserve"> </w:t>
      </w:r>
      <w:r>
        <w:t>rate</w:t>
      </w:r>
      <w:r>
        <w:rPr>
          <w:spacing w:val="-8"/>
        </w:rPr>
        <w:t xml:space="preserve"> </w:t>
      </w:r>
      <w:r>
        <w:t>reflects the</w:t>
      </w:r>
      <w:r>
        <w:rPr>
          <w:spacing w:val="-3"/>
        </w:rPr>
        <w:t xml:space="preserve"> </w:t>
      </w:r>
      <w:r>
        <w:t>anticipated</w:t>
      </w:r>
      <w:r>
        <w:rPr>
          <w:spacing w:val="-2"/>
        </w:rPr>
        <w:t xml:space="preserve"> </w:t>
      </w:r>
      <w:r>
        <w:t>long-term growth</w:t>
      </w:r>
      <w:r>
        <w:rPr>
          <w:spacing w:val="-7"/>
        </w:rPr>
        <w:t xml:space="preserve"> </w:t>
      </w:r>
      <w:r>
        <w:t>of</w:t>
      </w:r>
      <w:r>
        <w:rPr>
          <w:spacing w:val="-5"/>
        </w:rPr>
        <w:t xml:space="preserve"> </w:t>
      </w:r>
      <w:r>
        <w:t xml:space="preserve">a company's free cash flows beyond the explicit forecast period. Malik and Sikarwar (2024) further </w:t>
      </w:r>
      <w:proofErr w:type="spellStart"/>
      <w:r>
        <w:t>emphasise</w:t>
      </w:r>
      <w:proofErr w:type="spellEnd"/>
      <w:r>
        <w:t xml:space="preserve"> that this is a critical assumption in the valuation process, especially when applying the perpetuity growth method to determine the terminal value. Even slight adjustments to the terminal growth rate can impact the valuation of a company.</w:t>
      </w:r>
    </w:p>
    <w:p w14:paraId="39D2229F" w14:textId="77777777" w:rsidR="00F66501" w:rsidRDefault="00000000">
      <w:pPr>
        <w:pStyle w:val="BodyText"/>
        <w:spacing w:before="4" w:after="6" w:line="360" w:lineRule="auto"/>
        <w:ind w:right="1105"/>
      </w:pPr>
      <w:r>
        <w:t>The</w:t>
      </w:r>
      <w:r>
        <w:rPr>
          <w:spacing w:val="-4"/>
        </w:rPr>
        <w:t xml:space="preserve"> </w:t>
      </w:r>
      <w:r>
        <w:t>table below illustrates</w:t>
      </w:r>
      <w:r>
        <w:rPr>
          <w:spacing w:val="-5"/>
        </w:rPr>
        <w:t xml:space="preserve"> </w:t>
      </w:r>
      <w:r>
        <w:t>how</w:t>
      </w:r>
      <w:r>
        <w:rPr>
          <w:spacing w:val="-4"/>
        </w:rPr>
        <w:t xml:space="preserve"> </w:t>
      </w:r>
      <w:r>
        <w:t>varying</w:t>
      </w:r>
      <w:r>
        <w:rPr>
          <w:spacing w:val="-4"/>
        </w:rPr>
        <w:t xml:space="preserve"> </w:t>
      </w:r>
      <w:r>
        <w:t>terminal</w:t>
      </w:r>
      <w:r>
        <w:rPr>
          <w:spacing w:val="-12"/>
        </w:rPr>
        <w:t xml:space="preserve"> </w:t>
      </w:r>
      <w:r>
        <w:t>growth</w:t>
      </w:r>
      <w:r>
        <w:rPr>
          <w:spacing w:val="-8"/>
        </w:rPr>
        <w:t xml:space="preserve"> </w:t>
      </w:r>
      <w:r>
        <w:t>rates</w:t>
      </w:r>
      <w:r>
        <w:rPr>
          <w:spacing w:val="-5"/>
        </w:rPr>
        <w:t xml:space="preserve"> </w:t>
      </w:r>
      <w:r>
        <w:t>affect Infosys'</w:t>
      </w:r>
      <w:r>
        <w:rPr>
          <w:spacing w:val="-6"/>
        </w:rPr>
        <w:t xml:space="preserve"> </w:t>
      </w:r>
      <w:r>
        <w:t>equity</w:t>
      </w:r>
      <w:r>
        <w:rPr>
          <w:spacing w:val="-8"/>
        </w:rPr>
        <w:t xml:space="preserve"> </w:t>
      </w:r>
      <w:r>
        <w:t>value</w:t>
      </w:r>
      <w:r>
        <w:rPr>
          <w:spacing w:val="-4"/>
        </w:rPr>
        <w:t xml:space="preserve"> </w:t>
      </w:r>
      <w:r>
        <w:t>and per-share value.</w:t>
      </w: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2"/>
        <w:gridCol w:w="3006"/>
        <w:gridCol w:w="2997"/>
      </w:tblGrid>
      <w:tr w:rsidR="00F66501" w14:paraId="104CC514" w14:textId="77777777">
        <w:trPr>
          <w:trHeight w:val="413"/>
        </w:trPr>
        <w:tc>
          <w:tcPr>
            <w:tcW w:w="2992" w:type="dxa"/>
          </w:tcPr>
          <w:p w14:paraId="4D870ECB" w14:textId="77777777" w:rsidR="00F66501" w:rsidRDefault="00000000">
            <w:pPr>
              <w:pStyle w:val="TableParagraph"/>
              <w:rPr>
                <w:sz w:val="24"/>
              </w:rPr>
            </w:pPr>
            <w:r>
              <w:rPr>
                <w:sz w:val="24"/>
              </w:rPr>
              <w:t>Growth</w:t>
            </w:r>
            <w:r>
              <w:rPr>
                <w:spacing w:val="-2"/>
                <w:sz w:val="24"/>
              </w:rPr>
              <w:t xml:space="preserve"> </w:t>
            </w:r>
            <w:r>
              <w:rPr>
                <w:spacing w:val="-4"/>
                <w:sz w:val="24"/>
              </w:rPr>
              <w:t>Rate</w:t>
            </w:r>
          </w:p>
        </w:tc>
        <w:tc>
          <w:tcPr>
            <w:tcW w:w="3006" w:type="dxa"/>
          </w:tcPr>
          <w:p w14:paraId="514F6433" w14:textId="77777777" w:rsidR="00F66501" w:rsidRDefault="00000000">
            <w:pPr>
              <w:pStyle w:val="TableParagraph"/>
              <w:ind w:left="105"/>
              <w:rPr>
                <w:sz w:val="24"/>
              </w:rPr>
            </w:pPr>
            <w:r>
              <w:rPr>
                <w:sz w:val="24"/>
              </w:rPr>
              <w:t>Equity</w:t>
            </w:r>
            <w:r>
              <w:rPr>
                <w:spacing w:val="-9"/>
                <w:sz w:val="24"/>
              </w:rPr>
              <w:t xml:space="preserve"> </w:t>
            </w:r>
            <w:r>
              <w:rPr>
                <w:sz w:val="24"/>
              </w:rPr>
              <w:t>Value</w:t>
            </w:r>
            <w:r>
              <w:rPr>
                <w:spacing w:val="1"/>
                <w:sz w:val="24"/>
              </w:rPr>
              <w:t xml:space="preserve"> </w:t>
            </w:r>
            <w:r>
              <w:rPr>
                <w:sz w:val="24"/>
              </w:rPr>
              <w:t>(₹</w:t>
            </w:r>
            <w:r>
              <w:rPr>
                <w:spacing w:val="2"/>
                <w:sz w:val="24"/>
              </w:rPr>
              <w:t xml:space="preserve"> </w:t>
            </w:r>
            <w:r>
              <w:rPr>
                <w:spacing w:val="-2"/>
                <w:sz w:val="24"/>
              </w:rPr>
              <w:t>Crore)</w:t>
            </w:r>
          </w:p>
        </w:tc>
        <w:tc>
          <w:tcPr>
            <w:tcW w:w="2997" w:type="dxa"/>
          </w:tcPr>
          <w:p w14:paraId="6DC3EC4A" w14:textId="77777777" w:rsidR="00F66501" w:rsidRDefault="00000000">
            <w:pPr>
              <w:pStyle w:val="TableParagraph"/>
              <w:ind w:left="104"/>
              <w:rPr>
                <w:sz w:val="24"/>
              </w:rPr>
            </w:pPr>
            <w:r>
              <w:rPr>
                <w:sz w:val="24"/>
              </w:rPr>
              <w:t>Per</w:t>
            </w:r>
            <w:r>
              <w:rPr>
                <w:spacing w:val="-4"/>
                <w:sz w:val="24"/>
              </w:rPr>
              <w:t xml:space="preserve"> </w:t>
            </w:r>
            <w:r>
              <w:rPr>
                <w:sz w:val="24"/>
              </w:rPr>
              <w:t>Share</w:t>
            </w:r>
            <w:r>
              <w:rPr>
                <w:spacing w:val="-3"/>
                <w:sz w:val="24"/>
              </w:rPr>
              <w:t xml:space="preserve"> </w:t>
            </w:r>
            <w:r>
              <w:rPr>
                <w:sz w:val="24"/>
              </w:rPr>
              <w:t>Value</w:t>
            </w:r>
            <w:r>
              <w:rPr>
                <w:spacing w:val="-3"/>
                <w:sz w:val="24"/>
              </w:rPr>
              <w:t xml:space="preserve"> </w:t>
            </w:r>
            <w:r>
              <w:rPr>
                <w:spacing w:val="-5"/>
                <w:sz w:val="24"/>
              </w:rPr>
              <w:t>(₹)</w:t>
            </w:r>
          </w:p>
        </w:tc>
      </w:tr>
      <w:tr w:rsidR="00F66501" w14:paraId="7E42EB65" w14:textId="77777777">
        <w:trPr>
          <w:trHeight w:val="417"/>
        </w:trPr>
        <w:tc>
          <w:tcPr>
            <w:tcW w:w="2992" w:type="dxa"/>
          </w:tcPr>
          <w:p w14:paraId="6C313CD8" w14:textId="77777777" w:rsidR="00F66501" w:rsidRDefault="00000000">
            <w:pPr>
              <w:pStyle w:val="TableParagraph"/>
              <w:spacing w:line="273" w:lineRule="exact"/>
              <w:rPr>
                <w:b/>
                <w:sz w:val="24"/>
              </w:rPr>
            </w:pPr>
            <w:r>
              <w:rPr>
                <w:b/>
                <w:spacing w:val="-10"/>
                <w:sz w:val="24"/>
              </w:rPr>
              <w:t>4</w:t>
            </w:r>
          </w:p>
        </w:tc>
        <w:tc>
          <w:tcPr>
            <w:tcW w:w="3006" w:type="dxa"/>
          </w:tcPr>
          <w:p w14:paraId="37F82D98" w14:textId="77777777" w:rsidR="00F66501" w:rsidRDefault="00000000">
            <w:pPr>
              <w:pStyle w:val="TableParagraph"/>
              <w:ind w:left="105"/>
              <w:rPr>
                <w:sz w:val="24"/>
              </w:rPr>
            </w:pPr>
            <w:r>
              <w:rPr>
                <w:spacing w:val="-2"/>
                <w:sz w:val="24"/>
              </w:rPr>
              <w:t>487,120.45</w:t>
            </w:r>
          </w:p>
        </w:tc>
        <w:tc>
          <w:tcPr>
            <w:tcW w:w="2997" w:type="dxa"/>
          </w:tcPr>
          <w:p w14:paraId="46F9F543" w14:textId="77777777" w:rsidR="00F66501" w:rsidRDefault="00000000">
            <w:pPr>
              <w:pStyle w:val="TableParagraph"/>
              <w:ind w:left="104"/>
              <w:rPr>
                <w:sz w:val="24"/>
              </w:rPr>
            </w:pPr>
            <w:r>
              <w:rPr>
                <w:spacing w:val="-2"/>
                <w:sz w:val="24"/>
              </w:rPr>
              <w:t>1,173.51</w:t>
            </w:r>
          </w:p>
        </w:tc>
      </w:tr>
      <w:tr w:rsidR="00F66501" w14:paraId="405328C5" w14:textId="77777777">
        <w:trPr>
          <w:trHeight w:val="412"/>
        </w:trPr>
        <w:tc>
          <w:tcPr>
            <w:tcW w:w="2992" w:type="dxa"/>
          </w:tcPr>
          <w:p w14:paraId="684D7CA6" w14:textId="77777777" w:rsidR="00F66501" w:rsidRDefault="00000000">
            <w:pPr>
              <w:pStyle w:val="TableParagraph"/>
              <w:spacing w:line="273" w:lineRule="exact"/>
              <w:rPr>
                <w:b/>
                <w:sz w:val="24"/>
              </w:rPr>
            </w:pPr>
            <w:r>
              <w:rPr>
                <w:b/>
                <w:spacing w:val="-10"/>
                <w:sz w:val="24"/>
              </w:rPr>
              <w:t>5</w:t>
            </w:r>
          </w:p>
        </w:tc>
        <w:tc>
          <w:tcPr>
            <w:tcW w:w="3006" w:type="dxa"/>
          </w:tcPr>
          <w:p w14:paraId="7FB3C8FD" w14:textId="77777777" w:rsidR="00F66501" w:rsidRDefault="00000000">
            <w:pPr>
              <w:pStyle w:val="TableParagraph"/>
              <w:ind w:left="105"/>
              <w:rPr>
                <w:sz w:val="24"/>
              </w:rPr>
            </w:pPr>
            <w:r>
              <w:rPr>
                <w:spacing w:val="-2"/>
                <w:sz w:val="24"/>
              </w:rPr>
              <w:t>512,658.30</w:t>
            </w:r>
          </w:p>
        </w:tc>
        <w:tc>
          <w:tcPr>
            <w:tcW w:w="2997" w:type="dxa"/>
          </w:tcPr>
          <w:p w14:paraId="2F328633" w14:textId="77777777" w:rsidR="00F66501" w:rsidRDefault="00000000">
            <w:pPr>
              <w:pStyle w:val="TableParagraph"/>
              <w:ind w:left="104"/>
              <w:rPr>
                <w:sz w:val="24"/>
              </w:rPr>
            </w:pPr>
            <w:r>
              <w:rPr>
                <w:spacing w:val="-2"/>
                <w:sz w:val="24"/>
              </w:rPr>
              <w:t>1,235.05</w:t>
            </w:r>
          </w:p>
        </w:tc>
      </w:tr>
      <w:tr w:rsidR="00F66501" w14:paraId="67ACF7BA" w14:textId="77777777">
        <w:trPr>
          <w:trHeight w:val="412"/>
        </w:trPr>
        <w:tc>
          <w:tcPr>
            <w:tcW w:w="2992" w:type="dxa"/>
          </w:tcPr>
          <w:p w14:paraId="514FEA07" w14:textId="77777777" w:rsidR="00F66501" w:rsidRDefault="00000000">
            <w:pPr>
              <w:pStyle w:val="TableParagraph"/>
              <w:spacing w:line="273" w:lineRule="exact"/>
              <w:rPr>
                <w:b/>
                <w:sz w:val="24"/>
              </w:rPr>
            </w:pPr>
            <w:r>
              <w:rPr>
                <w:b/>
                <w:spacing w:val="-10"/>
                <w:sz w:val="24"/>
              </w:rPr>
              <w:t>6</w:t>
            </w:r>
          </w:p>
        </w:tc>
        <w:tc>
          <w:tcPr>
            <w:tcW w:w="3006" w:type="dxa"/>
          </w:tcPr>
          <w:p w14:paraId="01D1EDEE" w14:textId="77777777" w:rsidR="00F66501" w:rsidRDefault="00000000">
            <w:pPr>
              <w:pStyle w:val="TableParagraph"/>
              <w:ind w:left="105"/>
              <w:rPr>
                <w:sz w:val="24"/>
              </w:rPr>
            </w:pPr>
            <w:r>
              <w:rPr>
                <w:spacing w:val="-2"/>
                <w:sz w:val="24"/>
              </w:rPr>
              <w:t>541,827.12</w:t>
            </w:r>
          </w:p>
        </w:tc>
        <w:tc>
          <w:tcPr>
            <w:tcW w:w="2997" w:type="dxa"/>
          </w:tcPr>
          <w:p w14:paraId="6DA17FB3" w14:textId="77777777" w:rsidR="00F66501" w:rsidRDefault="00000000">
            <w:pPr>
              <w:pStyle w:val="TableParagraph"/>
              <w:ind w:left="104"/>
              <w:rPr>
                <w:sz w:val="24"/>
              </w:rPr>
            </w:pPr>
            <w:r>
              <w:rPr>
                <w:spacing w:val="-2"/>
                <w:sz w:val="24"/>
              </w:rPr>
              <w:t>1,305.05</w:t>
            </w:r>
          </w:p>
        </w:tc>
      </w:tr>
    </w:tbl>
    <w:p w14:paraId="71A89B85" w14:textId="77777777" w:rsidR="00F66501" w:rsidRDefault="00000000">
      <w:pPr>
        <w:pStyle w:val="Heading1"/>
      </w:pPr>
      <w:r>
        <w:rPr>
          <w:spacing w:val="-2"/>
        </w:rPr>
        <w:t>Analysis</w:t>
      </w:r>
    </w:p>
    <w:p w14:paraId="6C632E4E" w14:textId="77777777" w:rsidR="00F66501" w:rsidRDefault="00F66501">
      <w:pPr>
        <w:pStyle w:val="BodyText"/>
        <w:spacing w:before="60"/>
        <w:ind w:left="0"/>
        <w:rPr>
          <w:b/>
        </w:rPr>
      </w:pPr>
    </w:p>
    <w:p w14:paraId="33F4633E" w14:textId="77777777" w:rsidR="00F66501" w:rsidRDefault="00000000">
      <w:pPr>
        <w:ind w:left="720"/>
        <w:rPr>
          <w:b/>
          <w:sz w:val="24"/>
        </w:rPr>
      </w:pPr>
      <w:r>
        <w:rPr>
          <w:b/>
          <w:sz w:val="24"/>
        </w:rPr>
        <w:t>At a 4%</w:t>
      </w:r>
      <w:r>
        <w:rPr>
          <w:b/>
          <w:spacing w:val="-5"/>
          <w:sz w:val="24"/>
        </w:rPr>
        <w:t xml:space="preserve"> </w:t>
      </w:r>
      <w:r>
        <w:rPr>
          <w:b/>
          <w:sz w:val="24"/>
        </w:rPr>
        <w:t>terminal</w:t>
      </w:r>
      <w:r>
        <w:rPr>
          <w:b/>
          <w:spacing w:val="-5"/>
          <w:sz w:val="24"/>
        </w:rPr>
        <w:t xml:space="preserve"> </w:t>
      </w:r>
      <w:r>
        <w:rPr>
          <w:b/>
          <w:sz w:val="24"/>
        </w:rPr>
        <w:t xml:space="preserve">growth </w:t>
      </w:r>
      <w:r>
        <w:rPr>
          <w:b/>
          <w:spacing w:val="-4"/>
          <w:sz w:val="24"/>
        </w:rPr>
        <w:t>rate:</w:t>
      </w:r>
    </w:p>
    <w:p w14:paraId="41901392" w14:textId="77777777" w:rsidR="00F66501" w:rsidRDefault="00000000">
      <w:pPr>
        <w:pStyle w:val="BodyText"/>
        <w:spacing w:before="137"/>
      </w:pPr>
      <w:r>
        <w:t>When</w:t>
      </w:r>
      <w:r>
        <w:rPr>
          <w:spacing w:val="-7"/>
        </w:rPr>
        <w:t xml:space="preserve"> </w:t>
      </w:r>
      <w:r>
        <w:t>the terminal</w:t>
      </w:r>
      <w:r>
        <w:rPr>
          <w:spacing w:val="-4"/>
        </w:rPr>
        <w:t xml:space="preserve"> </w:t>
      </w:r>
      <w:r>
        <w:t>growth</w:t>
      </w:r>
      <w:r>
        <w:rPr>
          <w:spacing w:val="-4"/>
        </w:rPr>
        <w:t xml:space="preserve"> </w:t>
      </w:r>
      <w:r>
        <w:t>rate is</w:t>
      </w:r>
      <w:r>
        <w:rPr>
          <w:spacing w:val="-3"/>
        </w:rPr>
        <w:t xml:space="preserve"> </w:t>
      </w:r>
      <w:r>
        <w:t>set</w:t>
      </w:r>
      <w:r>
        <w:rPr>
          <w:spacing w:val="6"/>
        </w:rPr>
        <w:t xml:space="preserve"> </w:t>
      </w:r>
      <w:r>
        <w:t>at</w:t>
      </w:r>
      <w:r>
        <w:rPr>
          <w:spacing w:val="1"/>
        </w:rPr>
        <w:t xml:space="preserve"> </w:t>
      </w:r>
      <w:r>
        <w:t>4%,</w:t>
      </w:r>
      <w:r>
        <w:rPr>
          <w:spacing w:val="-6"/>
        </w:rPr>
        <w:t xml:space="preserve"> </w:t>
      </w:r>
      <w:r>
        <w:t>the equity</w:t>
      </w:r>
      <w:r>
        <w:rPr>
          <w:spacing w:val="-9"/>
        </w:rPr>
        <w:t xml:space="preserve"> </w:t>
      </w:r>
      <w:r>
        <w:t>value</w:t>
      </w:r>
      <w:r>
        <w:rPr>
          <w:spacing w:val="-1"/>
        </w:rPr>
        <w:t xml:space="preserve"> </w:t>
      </w:r>
      <w:r>
        <w:t>of</w:t>
      </w:r>
      <w:r>
        <w:rPr>
          <w:spacing w:val="-7"/>
        </w:rPr>
        <w:t xml:space="preserve"> </w:t>
      </w:r>
      <w:r>
        <w:t>Infosys</w:t>
      </w:r>
      <w:r>
        <w:rPr>
          <w:spacing w:val="3"/>
        </w:rPr>
        <w:t xml:space="preserve"> </w:t>
      </w:r>
      <w:r>
        <w:t>is</w:t>
      </w:r>
      <w:r>
        <w:rPr>
          <w:spacing w:val="-2"/>
        </w:rPr>
        <w:t xml:space="preserve"> </w:t>
      </w:r>
      <w:r>
        <w:t>₹487,120.45</w:t>
      </w:r>
      <w:r>
        <w:rPr>
          <w:spacing w:val="1"/>
        </w:rPr>
        <w:t xml:space="preserve"> </w:t>
      </w:r>
      <w:r>
        <w:rPr>
          <w:spacing w:val="-2"/>
        </w:rPr>
        <w:t>crore,</w:t>
      </w:r>
    </w:p>
    <w:p w14:paraId="4F4B9DE8" w14:textId="77777777" w:rsidR="00F66501" w:rsidRDefault="00F66501">
      <w:pPr>
        <w:pStyle w:val="BodyText"/>
        <w:sectPr w:rsidR="00F66501">
          <w:pgSz w:w="12240" w:h="15840"/>
          <w:pgMar w:top="980" w:right="720" w:bottom="280" w:left="720" w:header="723" w:footer="0" w:gutter="0"/>
          <w:cols w:space="720"/>
        </w:sectPr>
      </w:pPr>
    </w:p>
    <w:p w14:paraId="22F5AD44" w14:textId="77777777" w:rsidR="00F66501" w:rsidRDefault="00000000">
      <w:pPr>
        <w:pStyle w:val="BodyText"/>
        <w:spacing w:before="168"/>
        <w:ind w:left="0"/>
      </w:pPr>
      <w:r>
        <w:rPr>
          <w:noProof/>
        </w:rPr>
        <w:lastRenderedPageBreak/>
        <mc:AlternateContent>
          <mc:Choice Requires="wps">
            <w:drawing>
              <wp:anchor distT="0" distB="0" distL="0" distR="0" simplePos="0" relativeHeight="487361536" behindDoc="1" locked="0" layoutInCell="1" allowOverlap="1" wp14:anchorId="3DB5B068" wp14:editId="7E3D4AA3">
                <wp:simplePos x="0" y="0"/>
                <wp:positionH relativeFrom="page">
                  <wp:posOffset>307848</wp:posOffset>
                </wp:positionH>
                <wp:positionV relativeFrom="page">
                  <wp:posOffset>307847</wp:posOffset>
                </wp:positionV>
                <wp:extent cx="7162800" cy="94488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B083D5" id="Graphic 14" o:spid="_x0000_s1026" style="position:absolute;margin-left:24.25pt;margin-top:24.25pt;width:564pt;height:744pt;z-index:-15954944;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p w14:paraId="4604D754" w14:textId="77777777" w:rsidR="00F66501" w:rsidRDefault="00000000">
      <w:pPr>
        <w:pStyle w:val="BodyText"/>
        <w:spacing w:line="360" w:lineRule="auto"/>
        <w:ind w:right="758"/>
      </w:pPr>
      <w:r>
        <w:t>resulting in</w:t>
      </w:r>
      <w:r>
        <w:rPr>
          <w:spacing w:val="-6"/>
        </w:rPr>
        <w:t xml:space="preserve"> </w:t>
      </w:r>
      <w:r>
        <w:t>a</w:t>
      </w:r>
      <w:r>
        <w:rPr>
          <w:spacing w:val="-3"/>
        </w:rPr>
        <w:t xml:space="preserve"> </w:t>
      </w:r>
      <w:r>
        <w:t>per-share</w:t>
      </w:r>
      <w:r>
        <w:rPr>
          <w:spacing w:val="-3"/>
        </w:rPr>
        <w:t xml:space="preserve"> </w:t>
      </w:r>
      <w:r>
        <w:t>value</w:t>
      </w:r>
      <w:r>
        <w:rPr>
          <w:spacing w:val="-3"/>
        </w:rPr>
        <w:t xml:space="preserve"> </w:t>
      </w:r>
      <w:r>
        <w:t>of</w:t>
      </w:r>
      <w:r>
        <w:rPr>
          <w:spacing w:val="-9"/>
        </w:rPr>
        <w:t xml:space="preserve"> </w:t>
      </w:r>
      <w:r>
        <w:t>₹1,173.51.</w:t>
      </w:r>
      <w:r>
        <w:rPr>
          <w:spacing w:val="-5"/>
        </w:rPr>
        <w:t xml:space="preserve"> </w:t>
      </w:r>
      <w:r>
        <w:t>This is</w:t>
      </w:r>
      <w:r>
        <w:rPr>
          <w:spacing w:val="-5"/>
        </w:rPr>
        <w:t xml:space="preserve"> </w:t>
      </w:r>
      <w:r>
        <w:t>the</w:t>
      </w:r>
      <w:r>
        <w:rPr>
          <w:spacing w:val="-3"/>
        </w:rPr>
        <w:t xml:space="preserve"> </w:t>
      </w:r>
      <w:r>
        <w:t>lower</w:t>
      </w:r>
      <w:r>
        <w:rPr>
          <w:spacing w:val="-1"/>
        </w:rPr>
        <w:t xml:space="preserve"> </w:t>
      </w:r>
      <w:r>
        <w:t>end</w:t>
      </w:r>
      <w:r>
        <w:rPr>
          <w:spacing w:val="-2"/>
        </w:rPr>
        <w:t xml:space="preserve"> </w:t>
      </w:r>
      <w:r>
        <w:t>of</w:t>
      </w:r>
      <w:r>
        <w:rPr>
          <w:spacing w:val="-9"/>
        </w:rPr>
        <w:t xml:space="preserve"> </w:t>
      </w:r>
      <w:r>
        <w:t>the</w:t>
      </w:r>
      <w:r>
        <w:rPr>
          <w:spacing w:val="-3"/>
        </w:rPr>
        <w:t xml:space="preserve"> </w:t>
      </w:r>
      <w:r>
        <w:t>range</w:t>
      </w:r>
      <w:r>
        <w:rPr>
          <w:spacing w:val="-3"/>
        </w:rPr>
        <w:t xml:space="preserve"> </w:t>
      </w:r>
      <w:r>
        <w:t>and</w:t>
      </w:r>
      <w:r>
        <w:rPr>
          <w:spacing w:val="-2"/>
        </w:rPr>
        <w:t xml:space="preserve"> </w:t>
      </w:r>
      <w:r>
        <w:t>reflects</w:t>
      </w:r>
      <w:r>
        <w:rPr>
          <w:spacing w:val="-5"/>
        </w:rPr>
        <w:t xml:space="preserve"> </w:t>
      </w:r>
      <w:r>
        <w:t>a conservative long-term growth assumption.</w:t>
      </w:r>
    </w:p>
    <w:p w14:paraId="42C59240" w14:textId="77777777" w:rsidR="00F66501" w:rsidRDefault="00000000">
      <w:pPr>
        <w:pStyle w:val="Heading1"/>
        <w:spacing w:before="3"/>
      </w:pPr>
      <w:r>
        <w:t>At a 5%</w:t>
      </w:r>
      <w:r>
        <w:rPr>
          <w:spacing w:val="-5"/>
        </w:rPr>
        <w:t xml:space="preserve"> </w:t>
      </w:r>
      <w:r>
        <w:t>terminal</w:t>
      </w:r>
      <w:r>
        <w:rPr>
          <w:spacing w:val="-5"/>
        </w:rPr>
        <w:t xml:space="preserve"> </w:t>
      </w:r>
      <w:r>
        <w:t xml:space="preserve">growth </w:t>
      </w:r>
      <w:r>
        <w:rPr>
          <w:spacing w:val="-4"/>
        </w:rPr>
        <w:t>rate:</w:t>
      </w:r>
    </w:p>
    <w:p w14:paraId="308867D5" w14:textId="77777777" w:rsidR="00F66501" w:rsidRDefault="00000000">
      <w:pPr>
        <w:pStyle w:val="BodyText"/>
        <w:spacing w:before="137" w:line="360" w:lineRule="auto"/>
        <w:ind w:right="758"/>
      </w:pPr>
      <w:r>
        <w:t>With</w:t>
      </w:r>
      <w:r>
        <w:rPr>
          <w:spacing w:val="-1"/>
        </w:rPr>
        <w:t xml:space="preserve"> </w:t>
      </w:r>
      <w:r>
        <w:t>the terminal</w:t>
      </w:r>
      <w:r>
        <w:rPr>
          <w:spacing w:val="-5"/>
        </w:rPr>
        <w:t xml:space="preserve"> </w:t>
      </w:r>
      <w:r>
        <w:t>growth</w:t>
      </w:r>
      <w:r>
        <w:rPr>
          <w:spacing w:val="-1"/>
        </w:rPr>
        <w:t xml:space="preserve"> </w:t>
      </w:r>
      <w:r>
        <w:t>rate set at 5%, the equity</w:t>
      </w:r>
      <w:r>
        <w:rPr>
          <w:spacing w:val="-1"/>
        </w:rPr>
        <w:t xml:space="preserve"> </w:t>
      </w:r>
      <w:r>
        <w:t>value increases to ₹512,658.30 crore, which corresponds</w:t>
      </w:r>
      <w:r>
        <w:rPr>
          <w:spacing w:val="-4"/>
        </w:rPr>
        <w:t xml:space="preserve"> </w:t>
      </w:r>
      <w:r>
        <w:t>to</w:t>
      </w:r>
      <w:r>
        <w:rPr>
          <w:spacing w:val="-2"/>
        </w:rPr>
        <w:t xml:space="preserve"> </w:t>
      </w:r>
      <w:r>
        <w:t>a</w:t>
      </w:r>
      <w:r>
        <w:rPr>
          <w:spacing w:val="-3"/>
        </w:rPr>
        <w:t xml:space="preserve"> </w:t>
      </w:r>
      <w:r>
        <w:t>per-share</w:t>
      </w:r>
      <w:r>
        <w:rPr>
          <w:spacing w:val="-3"/>
        </w:rPr>
        <w:t xml:space="preserve"> </w:t>
      </w:r>
      <w:r>
        <w:t>value</w:t>
      </w:r>
      <w:r>
        <w:rPr>
          <w:spacing w:val="-3"/>
        </w:rPr>
        <w:t xml:space="preserve"> </w:t>
      </w:r>
      <w:r>
        <w:t>of</w:t>
      </w:r>
      <w:r>
        <w:rPr>
          <w:spacing w:val="-10"/>
        </w:rPr>
        <w:t xml:space="preserve"> </w:t>
      </w:r>
      <w:r>
        <w:t>₹1,235.05.</w:t>
      </w:r>
      <w:r>
        <w:rPr>
          <w:spacing w:val="-5"/>
        </w:rPr>
        <w:t xml:space="preserve"> </w:t>
      </w:r>
      <w:r>
        <w:t>This</w:t>
      </w:r>
      <w:r>
        <w:rPr>
          <w:spacing w:val="-5"/>
        </w:rPr>
        <w:t xml:space="preserve"> </w:t>
      </w:r>
      <w:r>
        <w:t>represents</w:t>
      </w:r>
      <w:r>
        <w:rPr>
          <w:spacing w:val="-5"/>
        </w:rPr>
        <w:t xml:space="preserve"> </w:t>
      </w:r>
      <w:r>
        <w:t>the</w:t>
      </w:r>
      <w:r>
        <w:rPr>
          <w:spacing w:val="-3"/>
        </w:rPr>
        <w:t xml:space="preserve"> </w:t>
      </w:r>
      <w:r>
        <w:t>base</w:t>
      </w:r>
      <w:r>
        <w:rPr>
          <w:spacing w:val="-3"/>
        </w:rPr>
        <w:t xml:space="preserve"> </w:t>
      </w:r>
      <w:r>
        <w:t>case</w:t>
      </w:r>
      <w:r>
        <w:rPr>
          <w:spacing w:val="-3"/>
        </w:rPr>
        <w:t xml:space="preserve"> </w:t>
      </w:r>
      <w:r>
        <w:t>scenario used in</w:t>
      </w:r>
      <w:r>
        <w:rPr>
          <w:spacing w:val="-7"/>
        </w:rPr>
        <w:t xml:space="preserve"> </w:t>
      </w:r>
      <w:r>
        <w:t>the original valuation.</w:t>
      </w:r>
    </w:p>
    <w:p w14:paraId="7C043443" w14:textId="77777777" w:rsidR="00F66501" w:rsidRDefault="00000000">
      <w:pPr>
        <w:pStyle w:val="Heading1"/>
        <w:spacing w:before="1"/>
      </w:pPr>
      <w:r>
        <w:t>At a 6%</w:t>
      </w:r>
      <w:r>
        <w:rPr>
          <w:spacing w:val="-5"/>
        </w:rPr>
        <w:t xml:space="preserve"> </w:t>
      </w:r>
      <w:r>
        <w:t>terminal</w:t>
      </w:r>
      <w:r>
        <w:rPr>
          <w:spacing w:val="-5"/>
        </w:rPr>
        <w:t xml:space="preserve"> </w:t>
      </w:r>
      <w:r>
        <w:t xml:space="preserve">growth </w:t>
      </w:r>
      <w:r>
        <w:rPr>
          <w:spacing w:val="-4"/>
        </w:rPr>
        <w:t>rate:</w:t>
      </w:r>
    </w:p>
    <w:p w14:paraId="4855DF08" w14:textId="77777777" w:rsidR="00F66501" w:rsidRDefault="00000000">
      <w:pPr>
        <w:pStyle w:val="BodyText"/>
        <w:spacing w:before="137" w:line="360" w:lineRule="auto"/>
        <w:ind w:right="758"/>
      </w:pPr>
      <w:r>
        <w:t>If</w:t>
      </w:r>
      <w:r>
        <w:rPr>
          <w:spacing w:val="-8"/>
        </w:rPr>
        <w:t xml:space="preserve"> </w:t>
      </w:r>
      <w:r>
        <w:t>the</w:t>
      </w:r>
      <w:r>
        <w:rPr>
          <w:spacing w:val="-2"/>
        </w:rPr>
        <w:t xml:space="preserve"> </w:t>
      </w:r>
      <w:r>
        <w:t>terminal</w:t>
      </w:r>
      <w:r>
        <w:rPr>
          <w:spacing w:val="-9"/>
        </w:rPr>
        <w:t xml:space="preserve"> </w:t>
      </w:r>
      <w:r>
        <w:t>growth</w:t>
      </w:r>
      <w:r>
        <w:rPr>
          <w:spacing w:val="-5"/>
        </w:rPr>
        <w:t xml:space="preserve"> </w:t>
      </w:r>
      <w:r>
        <w:t>rate</w:t>
      </w:r>
      <w:r>
        <w:rPr>
          <w:spacing w:val="-2"/>
        </w:rPr>
        <w:t xml:space="preserve"> </w:t>
      </w:r>
      <w:r>
        <w:t>increases</w:t>
      </w:r>
      <w:r>
        <w:rPr>
          <w:spacing w:val="-4"/>
        </w:rPr>
        <w:t xml:space="preserve"> </w:t>
      </w:r>
      <w:r>
        <w:t>to</w:t>
      </w:r>
      <w:r>
        <w:rPr>
          <w:spacing w:val="-1"/>
        </w:rPr>
        <w:t xml:space="preserve"> </w:t>
      </w:r>
      <w:r>
        <w:t>6%,</w:t>
      </w:r>
      <w:r>
        <w:rPr>
          <w:spacing w:val="-4"/>
        </w:rPr>
        <w:t xml:space="preserve"> </w:t>
      </w:r>
      <w:r>
        <w:t>the</w:t>
      </w:r>
      <w:r>
        <w:rPr>
          <w:spacing w:val="-2"/>
        </w:rPr>
        <w:t xml:space="preserve"> </w:t>
      </w:r>
      <w:r>
        <w:t>equity</w:t>
      </w:r>
      <w:r>
        <w:rPr>
          <w:spacing w:val="-10"/>
        </w:rPr>
        <w:t xml:space="preserve"> </w:t>
      </w:r>
      <w:r>
        <w:t>value</w:t>
      </w:r>
      <w:r>
        <w:rPr>
          <w:spacing w:val="-2"/>
        </w:rPr>
        <w:t xml:space="preserve"> </w:t>
      </w:r>
      <w:r>
        <w:t>rises</w:t>
      </w:r>
      <w:r>
        <w:rPr>
          <w:spacing w:val="-4"/>
        </w:rPr>
        <w:t xml:space="preserve"> </w:t>
      </w:r>
      <w:r>
        <w:t>significantly</w:t>
      </w:r>
      <w:r>
        <w:rPr>
          <w:spacing w:val="-5"/>
        </w:rPr>
        <w:t xml:space="preserve"> </w:t>
      </w:r>
      <w:r>
        <w:t>to ₹541,827.12 crore, resulting in a per-share value of ₹1,305.05. This reflects a more optimistic view of the company's long-term growth prospects.</w:t>
      </w:r>
    </w:p>
    <w:p w14:paraId="215A16F1" w14:textId="77777777" w:rsidR="00F66501" w:rsidRDefault="00000000">
      <w:pPr>
        <w:pStyle w:val="Heading1"/>
        <w:spacing w:before="1"/>
      </w:pPr>
      <w:r>
        <w:t>Sensitivity</w:t>
      </w:r>
      <w:r>
        <w:rPr>
          <w:spacing w:val="-2"/>
        </w:rPr>
        <w:t xml:space="preserve"> </w:t>
      </w:r>
      <w:r>
        <w:t>Analysis</w:t>
      </w:r>
      <w:r>
        <w:rPr>
          <w:spacing w:val="-2"/>
        </w:rPr>
        <w:t xml:space="preserve"> </w:t>
      </w:r>
      <w:r>
        <w:t>and</w:t>
      </w:r>
      <w:r>
        <w:rPr>
          <w:spacing w:val="-1"/>
        </w:rPr>
        <w:t xml:space="preserve"> </w:t>
      </w:r>
      <w:r>
        <w:rPr>
          <w:spacing w:val="-2"/>
        </w:rPr>
        <w:t>Interpretation:</w:t>
      </w:r>
    </w:p>
    <w:p w14:paraId="182ED7A5" w14:textId="77777777" w:rsidR="00F66501" w:rsidRDefault="00F66501">
      <w:pPr>
        <w:pStyle w:val="BodyText"/>
        <w:spacing w:before="59"/>
        <w:ind w:left="0"/>
        <w:rPr>
          <w:b/>
        </w:rPr>
      </w:pPr>
    </w:p>
    <w:p w14:paraId="5813A257" w14:textId="77777777" w:rsidR="00F66501" w:rsidRDefault="00000000">
      <w:pPr>
        <w:pStyle w:val="BodyText"/>
        <w:spacing w:line="362" w:lineRule="auto"/>
        <w:ind w:right="758"/>
        <w:rPr>
          <w:b/>
        </w:rPr>
      </w:pPr>
      <w:r>
        <w:t xml:space="preserve">A </w:t>
      </w:r>
      <w:r>
        <w:rPr>
          <w:b/>
        </w:rPr>
        <w:t xml:space="preserve">1% change </w:t>
      </w:r>
      <w:r>
        <w:t>in the terminal growth rate (from</w:t>
      </w:r>
      <w:r>
        <w:rPr>
          <w:spacing w:val="-2"/>
        </w:rPr>
        <w:t xml:space="preserve"> </w:t>
      </w:r>
      <w:r>
        <w:t>5% to 4% or from</w:t>
      </w:r>
      <w:r>
        <w:rPr>
          <w:spacing w:val="-2"/>
        </w:rPr>
        <w:t xml:space="preserve"> </w:t>
      </w:r>
      <w:r>
        <w:t>5% to 6%) can result in a significant swing in</w:t>
      </w:r>
      <w:r>
        <w:rPr>
          <w:spacing w:val="-8"/>
        </w:rPr>
        <w:t xml:space="preserve"> </w:t>
      </w:r>
      <w:r>
        <w:t>the</w:t>
      </w:r>
      <w:r>
        <w:rPr>
          <w:spacing w:val="-4"/>
        </w:rPr>
        <w:t xml:space="preserve"> </w:t>
      </w:r>
      <w:r>
        <w:t>valuation,</w:t>
      </w:r>
      <w:r>
        <w:rPr>
          <w:spacing w:val="-1"/>
        </w:rPr>
        <w:t xml:space="preserve"> </w:t>
      </w:r>
      <w:r>
        <w:t>approximately</w:t>
      </w:r>
      <w:r>
        <w:rPr>
          <w:spacing w:val="-8"/>
        </w:rPr>
        <w:t xml:space="preserve"> </w:t>
      </w:r>
      <w:r>
        <w:t>₹60–70</w:t>
      </w:r>
      <w:r>
        <w:rPr>
          <w:spacing w:val="-3"/>
        </w:rPr>
        <w:t xml:space="preserve"> </w:t>
      </w:r>
      <w:r>
        <w:t>per</w:t>
      </w:r>
      <w:r>
        <w:rPr>
          <w:spacing w:val="-2"/>
        </w:rPr>
        <w:t xml:space="preserve"> </w:t>
      </w:r>
      <w:r>
        <w:t>share. When</w:t>
      </w:r>
      <w:r>
        <w:rPr>
          <w:spacing w:val="-8"/>
        </w:rPr>
        <w:t xml:space="preserve"> </w:t>
      </w:r>
      <w:r>
        <w:t>we</w:t>
      </w:r>
      <w:r>
        <w:rPr>
          <w:spacing w:val="-3"/>
        </w:rPr>
        <w:t xml:space="preserve"> </w:t>
      </w:r>
      <w:r>
        <w:t>break</w:t>
      </w:r>
      <w:r>
        <w:rPr>
          <w:spacing w:val="-3"/>
        </w:rPr>
        <w:t xml:space="preserve"> </w:t>
      </w:r>
      <w:r>
        <w:t>this</w:t>
      </w:r>
      <w:r>
        <w:rPr>
          <w:spacing w:val="-5"/>
        </w:rPr>
        <w:t xml:space="preserve"> </w:t>
      </w:r>
      <w:r>
        <w:t xml:space="preserve">down: </w:t>
      </w:r>
      <w:r>
        <w:rPr>
          <w:b/>
        </w:rPr>
        <w:t>From 5% to 4% growth rate:</w:t>
      </w:r>
    </w:p>
    <w:p w14:paraId="0447D5CD" w14:textId="77777777" w:rsidR="00F66501" w:rsidRDefault="00000000">
      <w:pPr>
        <w:pStyle w:val="BodyText"/>
        <w:spacing w:line="269" w:lineRule="exact"/>
      </w:pPr>
      <w:r>
        <w:t>A</w:t>
      </w:r>
      <w:r>
        <w:rPr>
          <w:spacing w:val="-7"/>
        </w:rPr>
        <w:t xml:space="preserve"> </w:t>
      </w:r>
      <w:r>
        <w:t>reduction</w:t>
      </w:r>
      <w:r>
        <w:rPr>
          <w:spacing w:val="-3"/>
        </w:rPr>
        <w:t xml:space="preserve"> </w:t>
      </w:r>
      <w:r>
        <w:t>of</w:t>
      </w:r>
      <w:r>
        <w:rPr>
          <w:spacing w:val="-7"/>
        </w:rPr>
        <w:t xml:space="preserve"> </w:t>
      </w:r>
      <w:r>
        <w:t>the</w:t>
      </w:r>
      <w:r>
        <w:rPr>
          <w:spacing w:val="-4"/>
        </w:rPr>
        <w:t xml:space="preserve"> </w:t>
      </w:r>
      <w:r>
        <w:t>terminal</w:t>
      </w:r>
      <w:r>
        <w:rPr>
          <w:spacing w:val="-4"/>
        </w:rPr>
        <w:t xml:space="preserve"> </w:t>
      </w:r>
      <w:r>
        <w:t>growth</w:t>
      </w:r>
      <w:r>
        <w:rPr>
          <w:spacing w:val="-3"/>
        </w:rPr>
        <w:t xml:space="preserve"> </w:t>
      </w:r>
      <w:r>
        <w:t>rate</w:t>
      </w:r>
      <w:r>
        <w:rPr>
          <w:spacing w:val="-5"/>
        </w:rPr>
        <w:t xml:space="preserve"> </w:t>
      </w:r>
      <w:r>
        <w:t>by</w:t>
      </w:r>
      <w:r>
        <w:rPr>
          <w:spacing w:val="-8"/>
        </w:rPr>
        <w:t xml:space="preserve"> </w:t>
      </w:r>
      <w:r>
        <w:t>1%</w:t>
      </w:r>
      <w:r>
        <w:rPr>
          <w:spacing w:val="2"/>
        </w:rPr>
        <w:t xml:space="preserve"> </w:t>
      </w:r>
      <w:r>
        <w:t>(from</w:t>
      </w:r>
      <w:r>
        <w:rPr>
          <w:spacing w:val="-7"/>
        </w:rPr>
        <w:t xml:space="preserve"> </w:t>
      </w:r>
      <w:r>
        <w:t>5%</w:t>
      </w:r>
      <w:r>
        <w:rPr>
          <w:spacing w:val="3"/>
        </w:rPr>
        <w:t xml:space="preserve"> </w:t>
      </w:r>
      <w:r>
        <w:t>to</w:t>
      </w:r>
      <w:r>
        <w:rPr>
          <w:spacing w:val="16"/>
        </w:rPr>
        <w:t xml:space="preserve"> </w:t>
      </w:r>
      <w:r>
        <w:t>4%)</w:t>
      </w:r>
      <w:r>
        <w:rPr>
          <w:spacing w:val="2"/>
        </w:rPr>
        <w:t xml:space="preserve"> </w:t>
      </w:r>
      <w:r>
        <w:t>decreases the equity</w:t>
      </w:r>
      <w:r>
        <w:rPr>
          <w:spacing w:val="-3"/>
        </w:rPr>
        <w:t xml:space="preserve"> </w:t>
      </w:r>
      <w:r>
        <w:t>value</w:t>
      </w:r>
      <w:r>
        <w:rPr>
          <w:spacing w:val="6"/>
        </w:rPr>
        <w:t xml:space="preserve"> </w:t>
      </w:r>
      <w:r>
        <w:rPr>
          <w:spacing w:val="-4"/>
        </w:rPr>
        <w:t>from</w:t>
      </w:r>
    </w:p>
    <w:p w14:paraId="52E1C60E" w14:textId="77777777" w:rsidR="00F66501" w:rsidRDefault="00000000">
      <w:pPr>
        <w:pStyle w:val="BodyText"/>
        <w:spacing w:before="137"/>
      </w:pPr>
      <w:r>
        <w:t>₹512,658.30</w:t>
      </w:r>
      <w:r>
        <w:rPr>
          <w:spacing w:val="-4"/>
        </w:rPr>
        <w:t xml:space="preserve"> </w:t>
      </w:r>
      <w:r>
        <w:t>crore</w:t>
      </w:r>
      <w:r>
        <w:rPr>
          <w:spacing w:val="-5"/>
        </w:rPr>
        <w:t xml:space="preserve"> </w:t>
      </w:r>
      <w:r>
        <w:t>to</w:t>
      </w:r>
      <w:r>
        <w:rPr>
          <w:spacing w:val="1"/>
        </w:rPr>
        <w:t xml:space="preserve"> </w:t>
      </w:r>
      <w:r>
        <w:t>₹487,120.45</w:t>
      </w:r>
      <w:r>
        <w:rPr>
          <w:spacing w:val="-4"/>
        </w:rPr>
        <w:t xml:space="preserve"> </w:t>
      </w:r>
      <w:r>
        <w:t>crore,</w:t>
      </w:r>
      <w:r>
        <w:rPr>
          <w:spacing w:val="-2"/>
        </w:rPr>
        <w:t xml:space="preserve"> </w:t>
      </w:r>
      <w:r>
        <w:t>a drop</w:t>
      </w:r>
      <w:r>
        <w:rPr>
          <w:spacing w:val="-4"/>
        </w:rPr>
        <w:t xml:space="preserve"> </w:t>
      </w:r>
      <w:r>
        <w:t>of</w:t>
      </w:r>
      <w:r>
        <w:rPr>
          <w:spacing w:val="-7"/>
        </w:rPr>
        <w:t xml:space="preserve"> </w:t>
      </w:r>
      <w:r>
        <w:t>₹25,537.85</w:t>
      </w:r>
      <w:r>
        <w:rPr>
          <w:spacing w:val="-4"/>
        </w:rPr>
        <w:t xml:space="preserve"> </w:t>
      </w:r>
      <w:r>
        <w:t>crore.</w:t>
      </w:r>
      <w:r>
        <w:rPr>
          <w:spacing w:val="-2"/>
        </w:rPr>
        <w:t xml:space="preserve"> </w:t>
      </w:r>
      <w:r>
        <w:t>This</w:t>
      </w:r>
      <w:r>
        <w:rPr>
          <w:spacing w:val="-2"/>
        </w:rPr>
        <w:t xml:space="preserve"> </w:t>
      </w:r>
      <w:r>
        <w:t>results</w:t>
      </w:r>
      <w:r>
        <w:rPr>
          <w:spacing w:val="3"/>
        </w:rPr>
        <w:t xml:space="preserve"> </w:t>
      </w:r>
      <w:r>
        <w:t>in</w:t>
      </w:r>
      <w:r>
        <w:rPr>
          <w:spacing w:val="-4"/>
        </w:rPr>
        <w:t xml:space="preserve"> </w:t>
      </w:r>
      <w:r>
        <w:t xml:space="preserve">a decrease </w:t>
      </w:r>
      <w:r>
        <w:rPr>
          <w:spacing w:val="-5"/>
        </w:rPr>
        <w:t>of</w:t>
      </w:r>
    </w:p>
    <w:p w14:paraId="3A77E3D9" w14:textId="77777777" w:rsidR="00F66501" w:rsidRDefault="00000000">
      <w:pPr>
        <w:pStyle w:val="BodyText"/>
        <w:spacing w:before="141"/>
      </w:pPr>
      <w:r>
        <w:t>₹61.54</w:t>
      </w:r>
      <w:r>
        <w:rPr>
          <w:spacing w:val="-3"/>
        </w:rPr>
        <w:t xml:space="preserve"> </w:t>
      </w:r>
      <w:r>
        <w:t>in</w:t>
      </w:r>
      <w:r>
        <w:rPr>
          <w:spacing w:val="-5"/>
        </w:rPr>
        <w:t xml:space="preserve"> </w:t>
      </w:r>
      <w:r>
        <w:t>the</w:t>
      </w:r>
      <w:r>
        <w:rPr>
          <w:spacing w:val="4"/>
        </w:rPr>
        <w:t xml:space="preserve"> </w:t>
      </w:r>
      <w:r>
        <w:t>intrinsic</w:t>
      </w:r>
      <w:r>
        <w:rPr>
          <w:spacing w:val="-1"/>
        </w:rPr>
        <w:t xml:space="preserve"> </w:t>
      </w:r>
      <w:r>
        <w:t>value</w:t>
      </w:r>
      <w:r>
        <w:rPr>
          <w:spacing w:val="-1"/>
        </w:rPr>
        <w:t xml:space="preserve"> </w:t>
      </w:r>
      <w:r>
        <w:t>per</w:t>
      </w:r>
      <w:r>
        <w:rPr>
          <w:spacing w:val="1"/>
        </w:rPr>
        <w:t xml:space="preserve"> </w:t>
      </w:r>
      <w:r>
        <w:t>share</w:t>
      </w:r>
      <w:r>
        <w:rPr>
          <w:spacing w:val="-1"/>
        </w:rPr>
        <w:t xml:space="preserve"> </w:t>
      </w:r>
      <w:r>
        <w:t>(from</w:t>
      </w:r>
      <w:r>
        <w:rPr>
          <w:spacing w:val="-9"/>
        </w:rPr>
        <w:t xml:space="preserve"> </w:t>
      </w:r>
      <w:r>
        <w:t>₹1,235.05</w:t>
      </w:r>
      <w:r>
        <w:rPr>
          <w:spacing w:val="-5"/>
        </w:rPr>
        <w:t xml:space="preserve"> </w:t>
      </w:r>
      <w:r>
        <w:t xml:space="preserve">to </w:t>
      </w:r>
      <w:r>
        <w:rPr>
          <w:spacing w:val="-2"/>
        </w:rPr>
        <w:t>₹1,173.51).</w:t>
      </w:r>
    </w:p>
    <w:p w14:paraId="246CD0BA" w14:textId="77777777" w:rsidR="00F66501" w:rsidRDefault="00000000">
      <w:pPr>
        <w:pStyle w:val="Heading1"/>
        <w:spacing w:before="142"/>
      </w:pPr>
      <w:r>
        <w:t>From</w:t>
      </w:r>
      <w:r>
        <w:rPr>
          <w:spacing w:val="-2"/>
        </w:rPr>
        <w:t xml:space="preserve"> </w:t>
      </w:r>
      <w:proofErr w:type="gramStart"/>
      <w:r>
        <w:t>a</w:t>
      </w:r>
      <w:r>
        <w:rPr>
          <w:spacing w:val="1"/>
        </w:rPr>
        <w:t xml:space="preserve"> </w:t>
      </w:r>
      <w:r>
        <w:t>5</w:t>
      </w:r>
      <w:proofErr w:type="gramEnd"/>
      <w:r>
        <w:t>%</w:t>
      </w:r>
      <w:r>
        <w:rPr>
          <w:spacing w:val="-5"/>
        </w:rPr>
        <w:t xml:space="preserve"> </w:t>
      </w:r>
      <w:r>
        <w:t>to</w:t>
      </w:r>
      <w:r>
        <w:rPr>
          <w:spacing w:val="1"/>
        </w:rPr>
        <w:t xml:space="preserve"> </w:t>
      </w:r>
      <w:proofErr w:type="gramStart"/>
      <w:r>
        <w:t>a 6</w:t>
      </w:r>
      <w:proofErr w:type="gramEnd"/>
      <w:r>
        <w:t>%</w:t>
      </w:r>
      <w:r>
        <w:rPr>
          <w:spacing w:val="-4"/>
        </w:rPr>
        <w:t xml:space="preserve"> </w:t>
      </w:r>
      <w:r>
        <w:t>growth</w:t>
      </w:r>
      <w:r>
        <w:rPr>
          <w:spacing w:val="1"/>
        </w:rPr>
        <w:t xml:space="preserve"> </w:t>
      </w:r>
      <w:r>
        <w:rPr>
          <w:spacing w:val="-4"/>
        </w:rPr>
        <w:t>rate:</w:t>
      </w:r>
    </w:p>
    <w:p w14:paraId="7D9041B0" w14:textId="77777777" w:rsidR="00F66501" w:rsidRDefault="00000000">
      <w:pPr>
        <w:pStyle w:val="BodyText"/>
        <w:spacing w:before="132"/>
      </w:pPr>
      <w:r>
        <w:t>A</w:t>
      </w:r>
      <w:r>
        <w:rPr>
          <w:spacing w:val="-4"/>
        </w:rPr>
        <w:t xml:space="preserve"> </w:t>
      </w:r>
      <w:r>
        <w:t>rise</w:t>
      </w:r>
      <w:r>
        <w:rPr>
          <w:spacing w:val="1"/>
        </w:rPr>
        <w:t xml:space="preserve"> </w:t>
      </w:r>
      <w:r>
        <w:t>of</w:t>
      </w:r>
      <w:r>
        <w:rPr>
          <w:spacing w:val="-6"/>
        </w:rPr>
        <w:t xml:space="preserve"> </w:t>
      </w:r>
      <w:r>
        <w:t>the</w:t>
      </w:r>
      <w:r>
        <w:rPr>
          <w:spacing w:val="1"/>
        </w:rPr>
        <w:t xml:space="preserve"> </w:t>
      </w:r>
      <w:r>
        <w:t>terminal</w:t>
      </w:r>
      <w:r>
        <w:rPr>
          <w:spacing w:val="-8"/>
        </w:rPr>
        <w:t xml:space="preserve"> </w:t>
      </w:r>
      <w:r>
        <w:t>growth</w:t>
      </w:r>
      <w:r>
        <w:rPr>
          <w:spacing w:val="-3"/>
        </w:rPr>
        <w:t xml:space="preserve"> </w:t>
      </w:r>
      <w:r>
        <w:t>rate by</w:t>
      </w:r>
      <w:r>
        <w:rPr>
          <w:spacing w:val="-9"/>
        </w:rPr>
        <w:t xml:space="preserve"> </w:t>
      </w:r>
      <w:r>
        <w:t>1%</w:t>
      </w:r>
      <w:r>
        <w:rPr>
          <w:spacing w:val="3"/>
        </w:rPr>
        <w:t xml:space="preserve"> </w:t>
      </w:r>
      <w:r>
        <w:t>(from</w:t>
      </w:r>
      <w:r>
        <w:rPr>
          <w:spacing w:val="-8"/>
        </w:rPr>
        <w:t xml:space="preserve"> </w:t>
      </w:r>
      <w:r>
        <w:t>5%</w:t>
      </w:r>
      <w:r>
        <w:rPr>
          <w:spacing w:val="-1"/>
        </w:rPr>
        <w:t xml:space="preserve"> </w:t>
      </w:r>
      <w:r>
        <w:t>to</w:t>
      </w:r>
      <w:r>
        <w:rPr>
          <w:spacing w:val="6"/>
        </w:rPr>
        <w:t xml:space="preserve"> </w:t>
      </w:r>
      <w:r>
        <w:t>6%)</w:t>
      </w:r>
      <w:r>
        <w:rPr>
          <w:spacing w:val="-2"/>
        </w:rPr>
        <w:t xml:space="preserve"> </w:t>
      </w:r>
      <w:r>
        <w:t>raises the equity</w:t>
      </w:r>
      <w:r>
        <w:rPr>
          <w:spacing w:val="-4"/>
        </w:rPr>
        <w:t xml:space="preserve"> </w:t>
      </w:r>
      <w:r>
        <w:t>value</w:t>
      </w:r>
      <w:r>
        <w:rPr>
          <w:spacing w:val="6"/>
        </w:rPr>
        <w:t xml:space="preserve"> </w:t>
      </w:r>
      <w:r>
        <w:rPr>
          <w:spacing w:val="-4"/>
        </w:rPr>
        <w:t>from</w:t>
      </w:r>
    </w:p>
    <w:p w14:paraId="22350024" w14:textId="77777777" w:rsidR="00F66501" w:rsidRDefault="00000000">
      <w:pPr>
        <w:pStyle w:val="BodyText"/>
        <w:spacing w:before="137" w:line="362" w:lineRule="auto"/>
        <w:ind w:right="758"/>
      </w:pPr>
      <w:r>
        <w:t>₹512,658.30</w:t>
      </w:r>
      <w:r>
        <w:rPr>
          <w:spacing w:val="-6"/>
        </w:rPr>
        <w:t xml:space="preserve"> </w:t>
      </w:r>
      <w:r>
        <w:t>crore</w:t>
      </w:r>
      <w:r>
        <w:rPr>
          <w:spacing w:val="-7"/>
        </w:rPr>
        <w:t xml:space="preserve"> </w:t>
      </w:r>
      <w:r>
        <w:t>to</w:t>
      </w:r>
      <w:r>
        <w:rPr>
          <w:spacing w:val="-1"/>
        </w:rPr>
        <w:t xml:space="preserve"> </w:t>
      </w:r>
      <w:r>
        <w:t>₹541,827.12</w:t>
      </w:r>
      <w:r>
        <w:rPr>
          <w:spacing w:val="-6"/>
        </w:rPr>
        <w:t xml:space="preserve"> </w:t>
      </w:r>
      <w:r>
        <w:t>crore,</w:t>
      </w:r>
      <w:r>
        <w:rPr>
          <w:spacing w:val="-4"/>
        </w:rPr>
        <w:t xml:space="preserve"> </w:t>
      </w:r>
      <w:r>
        <w:t>an</w:t>
      </w:r>
      <w:r>
        <w:rPr>
          <w:spacing w:val="-1"/>
        </w:rPr>
        <w:t xml:space="preserve"> </w:t>
      </w:r>
      <w:r>
        <w:t>increase</w:t>
      </w:r>
      <w:r>
        <w:rPr>
          <w:spacing w:val="-2"/>
        </w:rPr>
        <w:t xml:space="preserve"> </w:t>
      </w:r>
      <w:r>
        <w:t>of</w:t>
      </w:r>
      <w:r>
        <w:rPr>
          <w:spacing w:val="-9"/>
        </w:rPr>
        <w:t xml:space="preserve"> </w:t>
      </w:r>
      <w:r>
        <w:t>₹29,168.82</w:t>
      </w:r>
      <w:r>
        <w:rPr>
          <w:spacing w:val="-6"/>
        </w:rPr>
        <w:t xml:space="preserve"> </w:t>
      </w:r>
      <w:r>
        <w:t>crore.</w:t>
      </w:r>
      <w:r>
        <w:rPr>
          <w:spacing w:val="-4"/>
        </w:rPr>
        <w:t xml:space="preserve"> </w:t>
      </w:r>
      <w:r>
        <w:t>This</w:t>
      </w:r>
      <w:r>
        <w:rPr>
          <w:spacing w:val="-4"/>
        </w:rPr>
        <w:t xml:space="preserve"> </w:t>
      </w:r>
      <w:r>
        <w:t>results in</w:t>
      </w:r>
      <w:r>
        <w:rPr>
          <w:spacing w:val="-6"/>
        </w:rPr>
        <w:t xml:space="preserve"> </w:t>
      </w:r>
      <w:r>
        <w:t>an increase of ₹70.00 in the intrinsic value per share (from ₹1,235.05 to ₹1,305.05).</w:t>
      </w:r>
    </w:p>
    <w:p w14:paraId="66531AA6" w14:textId="77777777" w:rsidR="00F66501" w:rsidRDefault="00000000">
      <w:pPr>
        <w:pStyle w:val="Heading1"/>
        <w:numPr>
          <w:ilvl w:val="1"/>
          <w:numId w:val="2"/>
        </w:numPr>
        <w:tabs>
          <w:tab w:val="left" w:pos="1079"/>
        </w:tabs>
        <w:spacing w:before="160"/>
        <w:ind w:left="1079" w:hanging="359"/>
      </w:pPr>
      <w:bookmarkStart w:id="25" w:name="3.5_Key_Risk_Factors"/>
      <w:bookmarkStart w:id="26" w:name="_bookmark10"/>
      <w:bookmarkEnd w:id="25"/>
      <w:bookmarkEnd w:id="26"/>
      <w:r>
        <w:t>Key</w:t>
      </w:r>
      <w:r>
        <w:rPr>
          <w:spacing w:val="3"/>
        </w:rPr>
        <w:t xml:space="preserve"> </w:t>
      </w:r>
      <w:r>
        <w:t>Risk</w:t>
      </w:r>
      <w:r>
        <w:rPr>
          <w:spacing w:val="-1"/>
        </w:rPr>
        <w:t xml:space="preserve"> </w:t>
      </w:r>
      <w:r>
        <w:rPr>
          <w:spacing w:val="-2"/>
        </w:rPr>
        <w:t>Factors</w:t>
      </w:r>
    </w:p>
    <w:p w14:paraId="1D324DA4" w14:textId="77777777" w:rsidR="00F66501" w:rsidRDefault="00000000">
      <w:pPr>
        <w:pStyle w:val="BodyText"/>
        <w:spacing w:before="214" w:line="360" w:lineRule="auto"/>
        <w:ind w:right="763" w:firstLine="720"/>
      </w:pPr>
      <w:r>
        <w:rPr>
          <w:color w:val="0D0F1A"/>
        </w:rPr>
        <w:t>Infosys's projected cash flows are subject to several</w:t>
      </w:r>
      <w:r>
        <w:rPr>
          <w:color w:val="0D0F1A"/>
          <w:spacing w:val="-1"/>
        </w:rPr>
        <w:t xml:space="preserve"> </w:t>
      </w:r>
      <w:r>
        <w:rPr>
          <w:color w:val="0D0F1A"/>
        </w:rPr>
        <w:t>risks that could lead to deviations from the estimates. One of the primary concerns is macroeconomic risks. When the global or domestic economy slows down, it directly impacts demand for IT services. Koti</w:t>
      </w:r>
      <w:r>
        <w:rPr>
          <w:color w:val="0D0F1A"/>
          <w:spacing w:val="-1"/>
        </w:rPr>
        <w:t xml:space="preserve"> </w:t>
      </w:r>
      <w:r>
        <w:rPr>
          <w:color w:val="0D0F1A"/>
        </w:rPr>
        <w:t>(2013) states that clients</w:t>
      </w:r>
      <w:r>
        <w:rPr>
          <w:color w:val="0D0F1A"/>
          <w:spacing w:val="-2"/>
        </w:rPr>
        <w:t xml:space="preserve"> </w:t>
      </w:r>
      <w:r>
        <w:rPr>
          <w:color w:val="0D0F1A"/>
        </w:rPr>
        <w:t>may</w:t>
      </w:r>
      <w:r>
        <w:rPr>
          <w:color w:val="0D0F1A"/>
          <w:spacing w:val="-10"/>
        </w:rPr>
        <w:t xml:space="preserve"> </w:t>
      </w:r>
      <w:r>
        <w:rPr>
          <w:color w:val="0D0F1A"/>
        </w:rPr>
        <w:t>tighten</w:t>
      </w:r>
      <w:r>
        <w:rPr>
          <w:color w:val="0D0F1A"/>
          <w:spacing w:val="-5"/>
        </w:rPr>
        <w:t xml:space="preserve"> </w:t>
      </w:r>
      <w:r>
        <w:rPr>
          <w:color w:val="0D0F1A"/>
        </w:rPr>
        <w:t>their budgets</w:t>
      </w:r>
      <w:r>
        <w:rPr>
          <w:color w:val="0D0F1A"/>
          <w:spacing w:val="-7"/>
        </w:rPr>
        <w:t xml:space="preserve"> </w:t>
      </w:r>
      <w:r>
        <w:rPr>
          <w:color w:val="0D0F1A"/>
        </w:rPr>
        <w:t>or delay</w:t>
      </w:r>
      <w:r>
        <w:rPr>
          <w:color w:val="0D0F1A"/>
          <w:spacing w:val="-5"/>
        </w:rPr>
        <w:t xml:space="preserve"> </w:t>
      </w:r>
      <w:r>
        <w:rPr>
          <w:color w:val="0D0F1A"/>
        </w:rPr>
        <w:t>investments, which</w:t>
      </w:r>
      <w:r>
        <w:rPr>
          <w:color w:val="0D0F1A"/>
          <w:spacing w:val="-5"/>
        </w:rPr>
        <w:t xml:space="preserve"> </w:t>
      </w:r>
      <w:r>
        <w:rPr>
          <w:color w:val="0D0F1A"/>
        </w:rPr>
        <w:t>would affect Infosys's</w:t>
      </w:r>
      <w:r>
        <w:rPr>
          <w:color w:val="0D0F1A"/>
          <w:spacing w:val="-2"/>
        </w:rPr>
        <w:t xml:space="preserve"> </w:t>
      </w:r>
      <w:r>
        <w:rPr>
          <w:color w:val="0D0F1A"/>
        </w:rPr>
        <w:t>revenue streams. Besides, fluctuations in currency exchange rates, inflation, or rising interest rates can make</w:t>
      </w:r>
      <w:r>
        <w:rPr>
          <w:color w:val="0D0F1A"/>
          <w:spacing w:val="-5"/>
        </w:rPr>
        <w:t xml:space="preserve"> </w:t>
      </w:r>
      <w:r>
        <w:rPr>
          <w:color w:val="0D0F1A"/>
        </w:rPr>
        <w:t>operations</w:t>
      </w:r>
      <w:r>
        <w:rPr>
          <w:color w:val="0D0F1A"/>
          <w:spacing w:val="-2"/>
        </w:rPr>
        <w:t xml:space="preserve"> </w:t>
      </w:r>
      <w:r>
        <w:rPr>
          <w:color w:val="0D0F1A"/>
        </w:rPr>
        <w:t>more</w:t>
      </w:r>
      <w:r>
        <w:rPr>
          <w:color w:val="0D0F1A"/>
          <w:spacing w:val="-5"/>
        </w:rPr>
        <w:t xml:space="preserve"> </w:t>
      </w:r>
      <w:r>
        <w:rPr>
          <w:color w:val="0D0F1A"/>
        </w:rPr>
        <w:t>expensive and</w:t>
      </w:r>
      <w:r>
        <w:rPr>
          <w:color w:val="0D0F1A"/>
          <w:spacing w:val="-4"/>
        </w:rPr>
        <w:t xml:space="preserve"> </w:t>
      </w:r>
      <w:r>
        <w:rPr>
          <w:color w:val="0D0F1A"/>
        </w:rPr>
        <w:t>reduce</w:t>
      </w:r>
      <w:r>
        <w:rPr>
          <w:color w:val="0D0F1A"/>
          <w:spacing w:val="-5"/>
        </w:rPr>
        <w:t xml:space="preserve"> </w:t>
      </w:r>
      <w:r>
        <w:rPr>
          <w:color w:val="0D0F1A"/>
        </w:rPr>
        <w:t>profit margins.</w:t>
      </w:r>
      <w:r>
        <w:rPr>
          <w:color w:val="0D0F1A"/>
          <w:spacing w:val="-2"/>
        </w:rPr>
        <w:t xml:space="preserve"> </w:t>
      </w:r>
      <w:r>
        <w:rPr>
          <w:color w:val="0D0F1A"/>
        </w:rPr>
        <w:t>If</w:t>
      </w:r>
      <w:r>
        <w:rPr>
          <w:color w:val="0D0F1A"/>
          <w:spacing w:val="-11"/>
        </w:rPr>
        <w:t xml:space="preserve"> </w:t>
      </w:r>
      <w:r>
        <w:rPr>
          <w:color w:val="0D0F1A"/>
        </w:rPr>
        <w:t>these</w:t>
      </w:r>
      <w:r>
        <w:rPr>
          <w:color w:val="0D0F1A"/>
          <w:spacing w:val="-5"/>
        </w:rPr>
        <w:t xml:space="preserve"> </w:t>
      </w:r>
      <w:r>
        <w:rPr>
          <w:color w:val="0D0F1A"/>
        </w:rPr>
        <w:t>economic</w:t>
      </w:r>
      <w:r>
        <w:rPr>
          <w:color w:val="0D0F1A"/>
          <w:spacing w:val="-5"/>
        </w:rPr>
        <w:t xml:space="preserve"> </w:t>
      </w:r>
      <w:r>
        <w:rPr>
          <w:color w:val="0D0F1A"/>
        </w:rPr>
        <w:t>conditions</w:t>
      </w:r>
      <w:r>
        <w:rPr>
          <w:color w:val="0D0F1A"/>
          <w:spacing w:val="-6"/>
        </w:rPr>
        <w:t xml:space="preserve"> </w:t>
      </w:r>
      <w:r>
        <w:rPr>
          <w:color w:val="0D0F1A"/>
        </w:rPr>
        <w:t>persist, SONI &amp; NATHVANI (2023) claim</w:t>
      </w:r>
      <w:r>
        <w:rPr>
          <w:color w:val="0D0F1A"/>
          <w:spacing w:val="-3"/>
        </w:rPr>
        <w:t xml:space="preserve"> </w:t>
      </w:r>
      <w:r>
        <w:rPr>
          <w:color w:val="0D0F1A"/>
        </w:rPr>
        <w:t>that it could become more difficult for Infosys to keep its costs under control, potentially affecting its ability to generate the expected free cash flows.</w:t>
      </w:r>
    </w:p>
    <w:p w14:paraId="2DD93F4E" w14:textId="77777777" w:rsidR="00F66501" w:rsidRDefault="00F66501">
      <w:pPr>
        <w:pStyle w:val="BodyText"/>
        <w:spacing w:line="360" w:lineRule="auto"/>
        <w:sectPr w:rsidR="00F66501">
          <w:pgSz w:w="12240" w:h="15840"/>
          <w:pgMar w:top="980" w:right="720" w:bottom="280" w:left="720" w:header="723" w:footer="0" w:gutter="0"/>
          <w:cols w:space="720"/>
        </w:sectPr>
      </w:pPr>
    </w:p>
    <w:p w14:paraId="025E6C0E" w14:textId="77777777" w:rsidR="00F66501" w:rsidRDefault="00000000">
      <w:pPr>
        <w:pStyle w:val="BodyText"/>
        <w:spacing w:before="168"/>
        <w:ind w:left="0"/>
      </w:pPr>
      <w:r>
        <w:rPr>
          <w:noProof/>
        </w:rPr>
        <w:lastRenderedPageBreak/>
        <mc:AlternateContent>
          <mc:Choice Requires="wps">
            <w:drawing>
              <wp:anchor distT="0" distB="0" distL="0" distR="0" simplePos="0" relativeHeight="487362048" behindDoc="1" locked="0" layoutInCell="1" allowOverlap="1" wp14:anchorId="10654CA6" wp14:editId="193A327B">
                <wp:simplePos x="0" y="0"/>
                <wp:positionH relativeFrom="page">
                  <wp:posOffset>307848</wp:posOffset>
                </wp:positionH>
                <wp:positionV relativeFrom="page">
                  <wp:posOffset>307847</wp:posOffset>
                </wp:positionV>
                <wp:extent cx="7162800" cy="94488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31B379" id="Graphic 15" o:spid="_x0000_s1026" style="position:absolute;margin-left:24.25pt;margin-top:24.25pt;width:564pt;height:744pt;z-index:-15954432;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p w14:paraId="7B640AF5" w14:textId="77777777" w:rsidR="00F66501" w:rsidRDefault="00000000">
      <w:pPr>
        <w:pStyle w:val="BodyText"/>
        <w:spacing w:line="360" w:lineRule="auto"/>
        <w:ind w:right="834" w:firstLine="720"/>
      </w:pPr>
      <w:r>
        <w:rPr>
          <w:color w:val="0D0F1A"/>
        </w:rPr>
        <w:t>Besides that, there is also competitive pressure. Laghari et al. (2023) state that the IT services industry is very</w:t>
      </w:r>
      <w:r>
        <w:rPr>
          <w:color w:val="0D0F1A"/>
          <w:spacing w:val="-1"/>
        </w:rPr>
        <w:t xml:space="preserve"> </w:t>
      </w:r>
      <w:r>
        <w:rPr>
          <w:color w:val="0D0F1A"/>
        </w:rPr>
        <w:t>competitive because large players like Tata Consultancy Services (TCS), Accenture, and emerging disruptors are always pushing for a larger slice of</w:t>
      </w:r>
      <w:r>
        <w:rPr>
          <w:color w:val="0D0F1A"/>
          <w:spacing w:val="-2"/>
        </w:rPr>
        <w:t xml:space="preserve"> </w:t>
      </w:r>
      <w:r>
        <w:rPr>
          <w:color w:val="0D0F1A"/>
        </w:rPr>
        <w:t>the market. Besides,</w:t>
      </w:r>
      <w:r>
        <w:rPr>
          <w:color w:val="0D0F1A"/>
          <w:spacing w:val="-7"/>
        </w:rPr>
        <w:t xml:space="preserve"> </w:t>
      </w:r>
      <w:r>
        <w:rPr>
          <w:color w:val="0D0F1A"/>
        </w:rPr>
        <w:t>there</w:t>
      </w:r>
      <w:r>
        <w:rPr>
          <w:color w:val="0D0F1A"/>
          <w:spacing w:val="-5"/>
        </w:rPr>
        <w:t xml:space="preserve"> </w:t>
      </w:r>
      <w:r>
        <w:rPr>
          <w:color w:val="0D0F1A"/>
        </w:rPr>
        <w:t>are</w:t>
      </w:r>
      <w:r>
        <w:rPr>
          <w:color w:val="0D0F1A"/>
          <w:spacing w:val="-5"/>
        </w:rPr>
        <w:t xml:space="preserve"> </w:t>
      </w:r>
      <w:r>
        <w:rPr>
          <w:color w:val="0D0F1A"/>
        </w:rPr>
        <w:t>regulatory</w:t>
      </w:r>
      <w:r>
        <w:rPr>
          <w:color w:val="0D0F1A"/>
          <w:spacing w:val="-13"/>
        </w:rPr>
        <w:t xml:space="preserve"> </w:t>
      </w:r>
      <w:r>
        <w:rPr>
          <w:color w:val="0D0F1A"/>
        </w:rPr>
        <w:t>risks</w:t>
      </w:r>
      <w:r>
        <w:rPr>
          <w:color w:val="0D0F1A"/>
          <w:spacing w:val="-6"/>
        </w:rPr>
        <w:t xml:space="preserve"> </w:t>
      </w:r>
      <w:r>
        <w:rPr>
          <w:color w:val="0D0F1A"/>
        </w:rPr>
        <w:t>that could</w:t>
      </w:r>
      <w:r>
        <w:rPr>
          <w:color w:val="0D0F1A"/>
          <w:spacing w:val="-1"/>
        </w:rPr>
        <w:t xml:space="preserve"> </w:t>
      </w:r>
      <w:r>
        <w:rPr>
          <w:color w:val="0D0F1A"/>
        </w:rPr>
        <w:t>impact</w:t>
      </w:r>
      <w:r>
        <w:rPr>
          <w:color w:val="0D0F1A"/>
          <w:spacing w:val="-4"/>
        </w:rPr>
        <w:t xml:space="preserve"> </w:t>
      </w:r>
      <w:r>
        <w:rPr>
          <w:color w:val="0D0F1A"/>
        </w:rPr>
        <w:t>Infosys's</w:t>
      </w:r>
      <w:r>
        <w:rPr>
          <w:color w:val="0D0F1A"/>
          <w:spacing w:val="-2"/>
        </w:rPr>
        <w:t xml:space="preserve"> </w:t>
      </w:r>
      <w:r>
        <w:rPr>
          <w:color w:val="0D0F1A"/>
        </w:rPr>
        <w:t>business.</w:t>
      </w:r>
      <w:r>
        <w:rPr>
          <w:color w:val="0D0F1A"/>
          <w:spacing w:val="-2"/>
        </w:rPr>
        <w:t xml:space="preserve"> </w:t>
      </w:r>
      <w:r>
        <w:rPr>
          <w:color w:val="0D0F1A"/>
        </w:rPr>
        <w:t>For</w:t>
      </w:r>
      <w:r>
        <w:rPr>
          <w:color w:val="0D0F1A"/>
          <w:spacing w:val="-3"/>
        </w:rPr>
        <w:t xml:space="preserve"> </w:t>
      </w:r>
      <w:r>
        <w:rPr>
          <w:color w:val="0D0F1A"/>
        </w:rPr>
        <w:t>example,</w:t>
      </w:r>
      <w:r>
        <w:rPr>
          <w:color w:val="0D0F1A"/>
          <w:spacing w:val="-2"/>
        </w:rPr>
        <w:t xml:space="preserve"> </w:t>
      </w:r>
      <w:r>
        <w:rPr>
          <w:color w:val="0D0F1A"/>
        </w:rPr>
        <w:t>changes</w:t>
      </w:r>
      <w:r>
        <w:rPr>
          <w:color w:val="0D0F1A"/>
          <w:spacing w:val="-6"/>
        </w:rPr>
        <w:t xml:space="preserve"> </w:t>
      </w:r>
      <w:r>
        <w:rPr>
          <w:color w:val="0D0F1A"/>
        </w:rPr>
        <w:t>to visa regulations, data protection laws, or tax policies, especially in important markets like the United States, could affect the ability</w:t>
      </w:r>
      <w:r>
        <w:rPr>
          <w:color w:val="0D0F1A"/>
          <w:spacing w:val="-4"/>
        </w:rPr>
        <w:t xml:space="preserve"> </w:t>
      </w:r>
      <w:r>
        <w:rPr>
          <w:color w:val="0D0F1A"/>
        </w:rPr>
        <w:t>of</w:t>
      </w:r>
      <w:r>
        <w:rPr>
          <w:color w:val="0D0F1A"/>
          <w:spacing w:val="-7"/>
        </w:rPr>
        <w:t xml:space="preserve"> </w:t>
      </w:r>
      <w:r>
        <w:rPr>
          <w:color w:val="0D0F1A"/>
        </w:rPr>
        <w:t>Infosys</w:t>
      </w:r>
      <w:r>
        <w:rPr>
          <w:color w:val="0D0F1A"/>
          <w:spacing w:val="-1"/>
        </w:rPr>
        <w:t xml:space="preserve"> </w:t>
      </w:r>
      <w:r>
        <w:rPr>
          <w:color w:val="0D0F1A"/>
        </w:rPr>
        <w:t>to hire skilled workers</w:t>
      </w:r>
      <w:r>
        <w:rPr>
          <w:color w:val="0D0F1A"/>
          <w:spacing w:val="-6"/>
        </w:rPr>
        <w:t xml:space="preserve"> </w:t>
      </w:r>
      <w:r>
        <w:rPr>
          <w:color w:val="0D0F1A"/>
        </w:rPr>
        <w:t>or increase costs</w:t>
      </w:r>
      <w:r>
        <w:rPr>
          <w:color w:val="0D0F1A"/>
          <w:spacing w:val="-1"/>
        </w:rPr>
        <w:t xml:space="preserve"> </w:t>
      </w:r>
      <w:r>
        <w:rPr>
          <w:color w:val="0D0F1A"/>
        </w:rPr>
        <w:t>related to compliance, and this would put pressure on its profitability.</w:t>
      </w:r>
    </w:p>
    <w:p w14:paraId="480549D9" w14:textId="77777777" w:rsidR="00F66501" w:rsidRDefault="00F66501">
      <w:pPr>
        <w:pStyle w:val="BodyText"/>
        <w:spacing w:before="91"/>
        <w:ind w:left="0"/>
      </w:pPr>
    </w:p>
    <w:p w14:paraId="0DEEE985" w14:textId="77777777" w:rsidR="00F66501" w:rsidRDefault="00000000">
      <w:pPr>
        <w:pStyle w:val="Heading1"/>
        <w:numPr>
          <w:ilvl w:val="0"/>
          <w:numId w:val="2"/>
        </w:numPr>
        <w:tabs>
          <w:tab w:val="left" w:pos="964"/>
        </w:tabs>
        <w:ind w:hanging="244"/>
      </w:pPr>
      <w:bookmarkStart w:id="27" w:name="4._Conclusion"/>
      <w:bookmarkStart w:id="28" w:name="_bookmark11"/>
      <w:bookmarkEnd w:id="27"/>
      <w:bookmarkEnd w:id="28"/>
      <w:r>
        <w:rPr>
          <w:spacing w:val="-2"/>
        </w:rPr>
        <w:t>Conclusion</w:t>
      </w:r>
    </w:p>
    <w:p w14:paraId="21814512" w14:textId="77777777" w:rsidR="00F66501" w:rsidRDefault="00000000">
      <w:pPr>
        <w:pStyle w:val="BodyText"/>
        <w:spacing w:before="214" w:line="360" w:lineRule="auto"/>
        <w:ind w:right="758" w:firstLine="720"/>
      </w:pPr>
      <w:r>
        <w:rPr>
          <w:color w:val="0D0F1A"/>
        </w:rPr>
        <w:t>After</w:t>
      </w:r>
      <w:r>
        <w:rPr>
          <w:color w:val="0D0F1A"/>
          <w:spacing w:val="-1"/>
        </w:rPr>
        <w:t xml:space="preserve"> </w:t>
      </w:r>
      <w:r>
        <w:rPr>
          <w:color w:val="0D0F1A"/>
        </w:rPr>
        <w:t>valuation</w:t>
      </w:r>
      <w:r>
        <w:rPr>
          <w:color w:val="0D0F1A"/>
          <w:spacing w:val="-6"/>
        </w:rPr>
        <w:t xml:space="preserve"> </w:t>
      </w:r>
      <w:r>
        <w:rPr>
          <w:color w:val="0D0F1A"/>
        </w:rPr>
        <w:t>of</w:t>
      </w:r>
      <w:r>
        <w:rPr>
          <w:color w:val="0D0F1A"/>
          <w:spacing w:val="-6"/>
        </w:rPr>
        <w:t xml:space="preserve"> </w:t>
      </w:r>
      <w:r>
        <w:rPr>
          <w:color w:val="0D0F1A"/>
        </w:rPr>
        <w:t>the</w:t>
      </w:r>
      <w:r>
        <w:rPr>
          <w:color w:val="0D0F1A"/>
          <w:spacing w:val="-3"/>
        </w:rPr>
        <w:t xml:space="preserve"> </w:t>
      </w:r>
      <w:r>
        <w:rPr>
          <w:color w:val="0D0F1A"/>
        </w:rPr>
        <w:t>FCFE, the</w:t>
      </w:r>
      <w:r>
        <w:rPr>
          <w:color w:val="0D0F1A"/>
          <w:spacing w:val="-3"/>
        </w:rPr>
        <w:t xml:space="preserve"> </w:t>
      </w:r>
      <w:r>
        <w:rPr>
          <w:color w:val="0D0F1A"/>
        </w:rPr>
        <w:t>intrinsic value</w:t>
      </w:r>
      <w:r>
        <w:rPr>
          <w:color w:val="0D0F1A"/>
          <w:spacing w:val="-1"/>
        </w:rPr>
        <w:t xml:space="preserve"> </w:t>
      </w:r>
      <w:r>
        <w:rPr>
          <w:color w:val="0D0F1A"/>
        </w:rPr>
        <w:t>of</w:t>
      </w:r>
      <w:r>
        <w:rPr>
          <w:color w:val="0D0F1A"/>
          <w:spacing w:val="-4"/>
        </w:rPr>
        <w:t xml:space="preserve"> </w:t>
      </w:r>
      <w:r>
        <w:rPr>
          <w:color w:val="0D0F1A"/>
        </w:rPr>
        <w:t>Infosys</w:t>
      </w:r>
      <w:r>
        <w:rPr>
          <w:color w:val="0D0F1A"/>
          <w:spacing w:val="-4"/>
        </w:rPr>
        <w:t xml:space="preserve"> </w:t>
      </w:r>
      <w:r>
        <w:rPr>
          <w:color w:val="0D0F1A"/>
        </w:rPr>
        <w:t>Limited</w:t>
      </w:r>
      <w:r>
        <w:rPr>
          <w:color w:val="0D0F1A"/>
          <w:spacing w:val="-2"/>
        </w:rPr>
        <w:t xml:space="preserve"> </w:t>
      </w:r>
      <w:r>
        <w:rPr>
          <w:color w:val="0D0F1A"/>
        </w:rPr>
        <w:t>stands</w:t>
      </w:r>
      <w:r>
        <w:rPr>
          <w:color w:val="0D0F1A"/>
          <w:spacing w:val="-4"/>
        </w:rPr>
        <w:t xml:space="preserve"> </w:t>
      </w:r>
      <w:r>
        <w:rPr>
          <w:color w:val="0D0F1A"/>
        </w:rPr>
        <w:t>at ₹512,658.30 crore. This value gives a per-share value of ₹1,235.05. Therefore, this value suggests that if the market price</w:t>
      </w:r>
      <w:r>
        <w:rPr>
          <w:color w:val="0D0F1A"/>
          <w:spacing w:val="-4"/>
        </w:rPr>
        <w:t xml:space="preserve"> </w:t>
      </w:r>
      <w:r>
        <w:rPr>
          <w:color w:val="0D0F1A"/>
        </w:rPr>
        <w:t>of</w:t>
      </w:r>
      <w:r>
        <w:rPr>
          <w:color w:val="0D0F1A"/>
          <w:spacing w:val="-10"/>
        </w:rPr>
        <w:t xml:space="preserve"> </w:t>
      </w:r>
      <w:r>
        <w:rPr>
          <w:color w:val="0D0F1A"/>
        </w:rPr>
        <w:t>Infosys happens</w:t>
      </w:r>
      <w:r>
        <w:rPr>
          <w:color w:val="0D0F1A"/>
          <w:spacing w:val="-5"/>
        </w:rPr>
        <w:t xml:space="preserve"> </w:t>
      </w:r>
      <w:r>
        <w:rPr>
          <w:color w:val="0D0F1A"/>
        </w:rPr>
        <w:t>to</w:t>
      </w:r>
      <w:r>
        <w:rPr>
          <w:color w:val="0D0F1A"/>
          <w:spacing w:val="-3"/>
        </w:rPr>
        <w:t xml:space="preserve"> </w:t>
      </w:r>
      <w:r>
        <w:rPr>
          <w:color w:val="0D0F1A"/>
        </w:rPr>
        <w:t>be lower</w:t>
      </w:r>
      <w:r>
        <w:rPr>
          <w:color w:val="0D0F1A"/>
          <w:spacing w:val="-6"/>
        </w:rPr>
        <w:t xml:space="preserve"> </w:t>
      </w:r>
      <w:r>
        <w:rPr>
          <w:color w:val="0D0F1A"/>
        </w:rPr>
        <w:t>than</w:t>
      </w:r>
      <w:r>
        <w:rPr>
          <w:color w:val="0D0F1A"/>
          <w:spacing w:val="-7"/>
        </w:rPr>
        <w:t xml:space="preserve"> </w:t>
      </w:r>
      <w:r>
        <w:rPr>
          <w:color w:val="0D0F1A"/>
        </w:rPr>
        <w:t>₹1,235.05,</w:t>
      </w:r>
      <w:r>
        <w:rPr>
          <w:color w:val="0D0F1A"/>
          <w:spacing w:val="-3"/>
        </w:rPr>
        <w:t xml:space="preserve"> </w:t>
      </w:r>
      <w:r>
        <w:rPr>
          <w:color w:val="0D0F1A"/>
        </w:rPr>
        <w:t>then, the</w:t>
      </w:r>
      <w:r>
        <w:rPr>
          <w:color w:val="0D0F1A"/>
          <w:spacing w:val="-4"/>
        </w:rPr>
        <w:t xml:space="preserve"> </w:t>
      </w:r>
      <w:r>
        <w:rPr>
          <w:color w:val="0D0F1A"/>
        </w:rPr>
        <w:t>stock</w:t>
      </w:r>
      <w:r>
        <w:rPr>
          <w:color w:val="0D0F1A"/>
          <w:spacing w:val="-3"/>
        </w:rPr>
        <w:t xml:space="preserve"> </w:t>
      </w:r>
      <w:r>
        <w:rPr>
          <w:color w:val="0D0F1A"/>
        </w:rPr>
        <w:t>may</w:t>
      </w:r>
      <w:r>
        <w:rPr>
          <w:color w:val="0D0F1A"/>
          <w:spacing w:val="-7"/>
        </w:rPr>
        <w:t xml:space="preserve"> </w:t>
      </w:r>
      <w:r>
        <w:rPr>
          <w:color w:val="0D0F1A"/>
        </w:rPr>
        <w:t>be</w:t>
      </w:r>
      <w:r>
        <w:rPr>
          <w:color w:val="0D0F1A"/>
          <w:spacing w:val="-2"/>
        </w:rPr>
        <w:t xml:space="preserve"> </w:t>
      </w:r>
      <w:r>
        <w:rPr>
          <w:color w:val="0D0F1A"/>
        </w:rPr>
        <w:t>undervalued, and this may offer a potential investment opportunity. However, this assumes that the assumptions used in</w:t>
      </w:r>
      <w:r>
        <w:rPr>
          <w:color w:val="0D0F1A"/>
          <w:spacing w:val="-2"/>
        </w:rPr>
        <w:t xml:space="preserve"> </w:t>
      </w:r>
      <w:r>
        <w:rPr>
          <w:color w:val="0D0F1A"/>
        </w:rPr>
        <w:t>the valuation</w:t>
      </w:r>
      <w:r>
        <w:rPr>
          <w:color w:val="0D0F1A"/>
          <w:spacing w:val="-2"/>
        </w:rPr>
        <w:t xml:space="preserve"> </w:t>
      </w:r>
      <w:r>
        <w:rPr>
          <w:color w:val="0D0F1A"/>
        </w:rPr>
        <w:t>are accurate and</w:t>
      </w:r>
      <w:r>
        <w:rPr>
          <w:color w:val="0D0F1A"/>
          <w:spacing w:val="-2"/>
        </w:rPr>
        <w:t xml:space="preserve"> </w:t>
      </w:r>
      <w:r>
        <w:rPr>
          <w:color w:val="0D0F1A"/>
        </w:rPr>
        <w:t>that the company's fundamentals stay</w:t>
      </w:r>
      <w:r>
        <w:rPr>
          <w:color w:val="0D0F1A"/>
          <w:spacing w:val="-7"/>
        </w:rPr>
        <w:t xml:space="preserve"> </w:t>
      </w:r>
      <w:r>
        <w:rPr>
          <w:color w:val="0D0F1A"/>
        </w:rPr>
        <w:t>strong. When looking at the investment Implication in an undervalued scenario, if Infosys shares are priced below ₹1,235.05, it could be a good time for investors to buy</w:t>
      </w:r>
      <w:r>
        <w:rPr>
          <w:color w:val="0D0F1A"/>
          <w:spacing w:val="-3"/>
        </w:rPr>
        <w:t xml:space="preserve"> </w:t>
      </w:r>
      <w:r>
        <w:rPr>
          <w:color w:val="0D0F1A"/>
        </w:rPr>
        <w:t>the stock if</w:t>
      </w:r>
      <w:r>
        <w:rPr>
          <w:color w:val="0D0F1A"/>
          <w:spacing w:val="-1"/>
        </w:rPr>
        <w:t xml:space="preserve"> </w:t>
      </w:r>
      <w:r>
        <w:rPr>
          <w:color w:val="0D0F1A"/>
        </w:rPr>
        <w:t>the company's performance remains stable. On the other hand, in an overvalued scenario, where the market price is</w:t>
      </w:r>
      <w:r>
        <w:rPr>
          <w:color w:val="0D0F1A"/>
          <w:spacing w:val="-3"/>
        </w:rPr>
        <w:t xml:space="preserve"> </w:t>
      </w:r>
      <w:r>
        <w:rPr>
          <w:color w:val="0D0F1A"/>
        </w:rPr>
        <w:t>higher than</w:t>
      </w:r>
      <w:r>
        <w:rPr>
          <w:color w:val="0D0F1A"/>
          <w:spacing w:val="-5"/>
        </w:rPr>
        <w:t xml:space="preserve"> </w:t>
      </w:r>
      <w:r>
        <w:rPr>
          <w:color w:val="0D0F1A"/>
        </w:rPr>
        <w:t>₹1,235.05, then investors</w:t>
      </w:r>
      <w:r>
        <w:rPr>
          <w:color w:val="0D0F1A"/>
          <w:spacing w:val="-2"/>
        </w:rPr>
        <w:t xml:space="preserve"> </w:t>
      </w:r>
      <w:r>
        <w:rPr>
          <w:color w:val="0D0F1A"/>
        </w:rPr>
        <w:t>should be</w:t>
      </w:r>
      <w:r>
        <w:rPr>
          <w:color w:val="0D0F1A"/>
          <w:spacing w:val="-1"/>
        </w:rPr>
        <w:t xml:space="preserve"> </w:t>
      </w:r>
      <w:r>
        <w:rPr>
          <w:color w:val="0D0F1A"/>
        </w:rPr>
        <w:t>careful. It might be</w:t>
      </w:r>
      <w:r>
        <w:rPr>
          <w:color w:val="0D0F1A"/>
          <w:spacing w:val="-1"/>
        </w:rPr>
        <w:t xml:space="preserve"> </w:t>
      </w:r>
      <w:r>
        <w:rPr>
          <w:color w:val="0D0F1A"/>
        </w:rPr>
        <w:t>wise for investors</w:t>
      </w:r>
      <w:r>
        <w:rPr>
          <w:color w:val="0D0F1A"/>
          <w:spacing w:val="-5"/>
        </w:rPr>
        <w:t xml:space="preserve"> </w:t>
      </w:r>
      <w:r>
        <w:rPr>
          <w:color w:val="0D0F1A"/>
        </w:rPr>
        <w:t>to wait for a better price or rethink the assumptions used in the valuation before making any investment decisions.</w:t>
      </w:r>
    </w:p>
    <w:p w14:paraId="77438E64" w14:textId="77777777" w:rsidR="00F66501" w:rsidRDefault="00F66501">
      <w:pPr>
        <w:pStyle w:val="BodyText"/>
        <w:spacing w:line="360" w:lineRule="auto"/>
        <w:sectPr w:rsidR="00F66501">
          <w:pgSz w:w="12240" w:h="15840"/>
          <w:pgMar w:top="980" w:right="720" w:bottom="280" w:left="720" w:header="723" w:footer="0" w:gutter="0"/>
          <w:cols w:space="720"/>
        </w:sectPr>
      </w:pPr>
    </w:p>
    <w:p w14:paraId="75BA7DC6" w14:textId="77777777" w:rsidR="00F66501" w:rsidRDefault="00000000">
      <w:pPr>
        <w:pStyle w:val="BodyText"/>
        <w:spacing w:before="172"/>
        <w:ind w:left="0"/>
      </w:pPr>
      <w:r>
        <w:rPr>
          <w:noProof/>
        </w:rPr>
        <w:lastRenderedPageBreak/>
        <mc:AlternateContent>
          <mc:Choice Requires="wps">
            <w:drawing>
              <wp:anchor distT="0" distB="0" distL="0" distR="0" simplePos="0" relativeHeight="487362560" behindDoc="1" locked="0" layoutInCell="1" allowOverlap="1" wp14:anchorId="68AF58AC" wp14:editId="29E99CF8">
                <wp:simplePos x="0" y="0"/>
                <wp:positionH relativeFrom="page">
                  <wp:posOffset>307848</wp:posOffset>
                </wp:positionH>
                <wp:positionV relativeFrom="page">
                  <wp:posOffset>307847</wp:posOffset>
                </wp:positionV>
                <wp:extent cx="7162800" cy="94488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48800"/>
                        </a:xfrm>
                        <a:custGeom>
                          <a:avLst/>
                          <a:gdLst/>
                          <a:ahLst/>
                          <a:cxnLst/>
                          <a:rect l="l" t="t" r="r" b="b"/>
                          <a:pathLst>
                            <a:path w="7162800" h="9448800">
                              <a:moveTo>
                                <a:pt x="3035" y="9442412"/>
                              </a:moveTo>
                              <a:lnTo>
                                <a:pt x="0" y="9442412"/>
                              </a:lnTo>
                              <a:lnTo>
                                <a:pt x="0" y="9445447"/>
                              </a:lnTo>
                              <a:lnTo>
                                <a:pt x="3035" y="9445447"/>
                              </a:lnTo>
                              <a:lnTo>
                                <a:pt x="3035" y="9442412"/>
                              </a:lnTo>
                              <a:close/>
                            </a:path>
                            <a:path w="7162800" h="9448800">
                              <a:moveTo>
                                <a:pt x="3035" y="0"/>
                              </a:moveTo>
                              <a:lnTo>
                                <a:pt x="0" y="0"/>
                              </a:lnTo>
                              <a:lnTo>
                                <a:pt x="0" y="2997"/>
                              </a:lnTo>
                              <a:lnTo>
                                <a:pt x="0" y="9442399"/>
                              </a:lnTo>
                              <a:lnTo>
                                <a:pt x="3035" y="9442399"/>
                              </a:lnTo>
                              <a:lnTo>
                                <a:pt x="3035" y="3048"/>
                              </a:lnTo>
                              <a:lnTo>
                                <a:pt x="3035" y="0"/>
                              </a:lnTo>
                              <a:close/>
                            </a:path>
                            <a:path w="7162800" h="9448800">
                              <a:moveTo>
                                <a:pt x="7159485" y="9442412"/>
                              </a:moveTo>
                              <a:lnTo>
                                <a:pt x="7156450" y="9442412"/>
                              </a:lnTo>
                              <a:lnTo>
                                <a:pt x="3048" y="9442412"/>
                              </a:lnTo>
                              <a:lnTo>
                                <a:pt x="3048" y="9445447"/>
                              </a:lnTo>
                              <a:lnTo>
                                <a:pt x="7156450" y="9445447"/>
                              </a:lnTo>
                              <a:lnTo>
                                <a:pt x="7159485" y="9445447"/>
                              </a:lnTo>
                              <a:lnTo>
                                <a:pt x="7159485" y="9442412"/>
                              </a:lnTo>
                              <a:close/>
                            </a:path>
                            <a:path w="7162800" h="9448800">
                              <a:moveTo>
                                <a:pt x="7159485" y="0"/>
                              </a:moveTo>
                              <a:lnTo>
                                <a:pt x="7156450" y="0"/>
                              </a:lnTo>
                              <a:lnTo>
                                <a:pt x="3048" y="0"/>
                              </a:lnTo>
                              <a:lnTo>
                                <a:pt x="3048" y="3048"/>
                              </a:lnTo>
                              <a:lnTo>
                                <a:pt x="7156450" y="3048"/>
                              </a:lnTo>
                              <a:lnTo>
                                <a:pt x="7156450" y="9442399"/>
                              </a:lnTo>
                              <a:lnTo>
                                <a:pt x="7159485" y="9442399"/>
                              </a:lnTo>
                              <a:lnTo>
                                <a:pt x="7159485" y="3048"/>
                              </a:lnTo>
                              <a:lnTo>
                                <a:pt x="7159485" y="0"/>
                              </a:lnTo>
                              <a:close/>
                            </a:path>
                            <a:path w="7162800" h="9448800">
                              <a:moveTo>
                                <a:pt x="7162533" y="9442412"/>
                              </a:moveTo>
                              <a:lnTo>
                                <a:pt x="7159498" y="9442412"/>
                              </a:lnTo>
                              <a:lnTo>
                                <a:pt x="7159498" y="9445460"/>
                              </a:lnTo>
                              <a:lnTo>
                                <a:pt x="7156450" y="9445460"/>
                              </a:lnTo>
                              <a:lnTo>
                                <a:pt x="3048" y="9445460"/>
                              </a:lnTo>
                              <a:lnTo>
                                <a:pt x="3048" y="9448495"/>
                              </a:lnTo>
                              <a:lnTo>
                                <a:pt x="7156450" y="9448495"/>
                              </a:lnTo>
                              <a:lnTo>
                                <a:pt x="7159498" y="9448495"/>
                              </a:lnTo>
                              <a:lnTo>
                                <a:pt x="7162533" y="9448495"/>
                              </a:lnTo>
                              <a:lnTo>
                                <a:pt x="7162533" y="9445460"/>
                              </a:lnTo>
                              <a:lnTo>
                                <a:pt x="7162533" y="9442412"/>
                              </a:lnTo>
                              <a:close/>
                            </a:path>
                            <a:path w="7162800" h="9448800">
                              <a:moveTo>
                                <a:pt x="7162533" y="2997"/>
                              </a:moveTo>
                              <a:lnTo>
                                <a:pt x="7159498" y="2997"/>
                              </a:lnTo>
                              <a:lnTo>
                                <a:pt x="7159498" y="9442399"/>
                              </a:lnTo>
                              <a:lnTo>
                                <a:pt x="7162533" y="9442399"/>
                              </a:lnTo>
                              <a:lnTo>
                                <a:pt x="7162533" y="29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F6EA33" id="Graphic 16" o:spid="_x0000_s1026" style="position:absolute;margin-left:24.25pt;margin-top:24.25pt;width:564pt;height:744pt;z-index:-15953920;visibility:visible;mso-wrap-style:square;mso-wrap-distance-left:0;mso-wrap-distance-top:0;mso-wrap-distance-right:0;mso-wrap-distance-bottom:0;mso-position-horizontal:absolute;mso-position-horizontal-relative:page;mso-position-vertical:absolute;mso-position-vertical-relative:page;v-text-anchor:top" coordsize="7162800,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" path="m3035,9442412r-3035,l,9445447r3035,l3035,9442412xem3035,l,,,2997,,9442399r3035,l3035,3048,3035,xem7159485,9442412r-3035,l3048,9442412r,3035l7156450,9445447r3035,l7159485,9442412xem7159485,r-3035,l3048,r,3048l7156450,3048r,9439351l7159485,9442399r,-9439351l7159485,xem7162533,9442412r-3035,l7159498,9445460r-3048,l3048,9445460r,3035l7156450,9448495r3048,l7162533,9448495r,-3035l7162533,9442412xem7162533,2997r-3035,l7159498,9442399r3035,l7162533,2997xe" fillcolor="black" stroked="f">
                <v:path arrowok="t"/>
                <w10:wrap anchorx="page" anchory="page"/>
              </v:shape>
            </w:pict>
          </mc:Fallback>
        </mc:AlternateContent>
      </w:r>
    </w:p>
    <w:p w14:paraId="0E78010E" w14:textId="77777777" w:rsidR="00F66501" w:rsidRDefault="00000000">
      <w:pPr>
        <w:pStyle w:val="Heading1"/>
        <w:numPr>
          <w:ilvl w:val="0"/>
          <w:numId w:val="2"/>
        </w:numPr>
        <w:tabs>
          <w:tab w:val="left" w:pos="902"/>
        </w:tabs>
        <w:spacing w:before="1"/>
        <w:ind w:left="902" w:hanging="182"/>
      </w:pPr>
      <w:bookmarkStart w:id="29" w:name="5.References"/>
      <w:bookmarkStart w:id="30" w:name="_bookmark12"/>
      <w:bookmarkEnd w:id="29"/>
      <w:bookmarkEnd w:id="30"/>
      <w:r>
        <w:rPr>
          <w:spacing w:val="-2"/>
        </w:rPr>
        <w:t>References</w:t>
      </w:r>
    </w:p>
    <w:p w14:paraId="2CCD2DC2" w14:textId="77777777" w:rsidR="00F66501" w:rsidRDefault="00000000">
      <w:pPr>
        <w:pStyle w:val="BodyText"/>
        <w:spacing w:before="213" w:line="360" w:lineRule="auto"/>
        <w:ind w:left="1441" w:right="834" w:hanging="721"/>
      </w:pPr>
      <w:r>
        <w:t>Ashton,</w:t>
      </w:r>
      <w:r>
        <w:rPr>
          <w:spacing w:val="-1"/>
        </w:rPr>
        <w:t xml:space="preserve"> </w:t>
      </w:r>
      <w:r>
        <w:t>D.,</w:t>
      </w:r>
      <w:r>
        <w:rPr>
          <w:spacing w:val="-6"/>
        </w:rPr>
        <w:t xml:space="preserve"> </w:t>
      </w:r>
      <w:r>
        <w:t>&amp;</w:t>
      </w:r>
      <w:r>
        <w:rPr>
          <w:spacing w:val="-7"/>
        </w:rPr>
        <w:t xml:space="preserve"> </w:t>
      </w:r>
      <w:r>
        <w:t>Wang,</w:t>
      </w:r>
      <w:r>
        <w:rPr>
          <w:spacing w:val="-1"/>
        </w:rPr>
        <w:t xml:space="preserve"> </w:t>
      </w:r>
      <w:r>
        <w:t>P.</w:t>
      </w:r>
      <w:r>
        <w:rPr>
          <w:spacing w:val="-6"/>
        </w:rPr>
        <w:t xml:space="preserve"> </w:t>
      </w:r>
      <w:r>
        <w:t>(2013).</w:t>
      </w:r>
      <w:r>
        <w:rPr>
          <w:spacing w:val="-6"/>
        </w:rPr>
        <w:t xml:space="preserve"> </w:t>
      </w:r>
      <w:r>
        <w:t>Terminal</w:t>
      </w:r>
      <w:r>
        <w:rPr>
          <w:spacing w:val="-3"/>
        </w:rPr>
        <w:t xml:space="preserve"> </w:t>
      </w:r>
      <w:r>
        <w:t>valuations,</w:t>
      </w:r>
      <w:r>
        <w:rPr>
          <w:spacing w:val="-1"/>
        </w:rPr>
        <w:t xml:space="preserve"> </w:t>
      </w:r>
      <w:r>
        <w:t>growth</w:t>
      </w:r>
      <w:r>
        <w:rPr>
          <w:spacing w:val="-7"/>
        </w:rPr>
        <w:t xml:space="preserve"> </w:t>
      </w:r>
      <w:r>
        <w:t>rates</w:t>
      </w:r>
      <w:r>
        <w:rPr>
          <w:spacing w:val="-5"/>
        </w:rPr>
        <w:t xml:space="preserve"> </w:t>
      </w:r>
      <w:r>
        <w:t>and</w:t>
      </w:r>
      <w:r>
        <w:rPr>
          <w:spacing w:val="-3"/>
        </w:rPr>
        <w:t xml:space="preserve"> </w:t>
      </w:r>
      <w:r>
        <w:t>the implied</w:t>
      </w:r>
      <w:r>
        <w:rPr>
          <w:spacing w:val="-3"/>
        </w:rPr>
        <w:t xml:space="preserve"> </w:t>
      </w:r>
      <w:r>
        <w:t>cost</w:t>
      </w:r>
      <w:r>
        <w:rPr>
          <w:spacing w:val="-3"/>
        </w:rPr>
        <w:t xml:space="preserve"> </w:t>
      </w:r>
      <w:r>
        <w:t>of capital. Review of Accounting Studies, 18, 261-290.</w:t>
      </w:r>
    </w:p>
    <w:p w14:paraId="566143BE" w14:textId="77777777" w:rsidR="00F66501" w:rsidRDefault="00000000">
      <w:pPr>
        <w:pStyle w:val="BodyText"/>
        <w:spacing w:before="200" w:line="360" w:lineRule="auto"/>
        <w:ind w:left="1441" w:right="758" w:hanging="721"/>
      </w:pPr>
      <w:r>
        <w:t>Damodaran,</w:t>
      </w:r>
      <w:r>
        <w:rPr>
          <w:spacing w:val="-4"/>
        </w:rPr>
        <w:t xml:space="preserve"> </w:t>
      </w:r>
      <w:r>
        <w:t>A.</w:t>
      </w:r>
      <w:r>
        <w:rPr>
          <w:spacing w:val="-2"/>
        </w:rPr>
        <w:t xml:space="preserve"> </w:t>
      </w:r>
      <w:r>
        <w:t>(2012).</w:t>
      </w:r>
      <w:r>
        <w:rPr>
          <w:spacing w:val="-9"/>
        </w:rPr>
        <w:t xml:space="preserve"> </w:t>
      </w:r>
      <w:r>
        <w:t>Investment</w:t>
      </w:r>
      <w:r>
        <w:rPr>
          <w:spacing w:val="-2"/>
        </w:rPr>
        <w:t xml:space="preserve"> </w:t>
      </w:r>
      <w:r>
        <w:t>Valuation:</w:t>
      </w:r>
      <w:r>
        <w:rPr>
          <w:spacing w:val="-6"/>
        </w:rPr>
        <w:t xml:space="preserve"> </w:t>
      </w:r>
      <w:r>
        <w:t>Tools</w:t>
      </w:r>
      <w:r>
        <w:rPr>
          <w:spacing w:val="-8"/>
        </w:rPr>
        <w:t xml:space="preserve"> </w:t>
      </w:r>
      <w:r>
        <w:t>and</w:t>
      </w:r>
      <w:r>
        <w:rPr>
          <w:spacing w:val="-6"/>
        </w:rPr>
        <w:t xml:space="preserve"> </w:t>
      </w:r>
      <w:r>
        <w:t>Techniques</w:t>
      </w:r>
      <w:r>
        <w:rPr>
          <w:spacing w:val="-4"/>
        </w:rPr>
        <w:t xml:space="preserve"> </w:t>
      </w:r>
      <w:r>
        <w:t>for</w:t>
      </w:r>
      <w:r>
        <w:rPr>
          <w:spacing w:val="-5"/>
        </w:rPr>
        <w:t xml:space="preserve"> </w:t>
      </w:r>
      <w:r>
        <w:t>Determining</w:t>
      </w:r>
      <w:r>
        <w:rPr>
          <w:spacing w:val="-6"/>
        </w:rPr>
        <w:t xml:space="preserve"> </w:t>
      </w:r>
      <w:r>
        <w:t>the</w:t>
      </w:r>
      <w:r>
        <w:rPr>
          <w:spacing w:val="-7"/>
        </w:rPr>
        <w:t xml:space="preserve"> </w:t>
      </w:r>
      <w:r>
        <w:t>Value of Any Asset. 3rd ed. Wiley.</w:t>
      </w:r>
    </w:p>
    <w:p w14:paraId="6C70A8D0" w14:textId="77777777" w:rsidR="00F66501" w:rsidRDefault="00000000">
      <w:pPr>
        <w:pStyle w:val="BodyText"/>
        <w:spacing w:before="200" w:line="360" w:lineRule="auto"/>
        <w:ind w:left="1441" w:right="1161" w:hanging="721"/>
        <w:jc w:val="both"/>
      </w:pPr>
      <w:proofErr w:type="spellStart"/>
      <w:r>
        <w:t>Gnap</w:t>
      </w:r>
      <w:proofErr w:type="spellEnd"/>
      <w:r>
        <w:t>, M., &amp;</w:t>
      </w:r>
      <w:r>
        <w:rPr>
          <w:spacing w:val="-5"/>
        </w:rPr>
        <w:t xml:space="preserve"> </w:t>
      </w:r>
      <w:r>
        <w:t>Pitera, R.</w:t>
      </w:r>
      <w:r>
        <w:rPr>
          <w:spacing w:val="-3"/>
        </w:rPr>
        <w:t xml:space="preserve"> </w:t>
      </w:r>
      <w:r>
        <w:t>(2023).</w:t>
      </w:r>
      <w:r>
        <w:rPr>
          <w:spacing w:val="-3"/>
        </w:rPr>
        <w:t xml:space="preserve"> </w:t>
      </w:r>
      <w:r>
        <w:t>The</w:t>
      </w:r>
      <w:r>
        <w:rPr>
          <w:spacing w:val="-1"/>
        </w:rPr>
        <w:t xml:space="preserve"> </w:t>
      </w:r>
      <w:r>
        <w:t>relevance</w:t>
      </w:r>
      <w:r>
        <w:rPr>
          <w:spacing w:val="-1"/>
        </w:rPr>
        <w:t xml:space="preserve"> </w:t>
      </w:r>
      <w:r>
        <w:t>of</w:t>
      </w:r>
      <w:r>
        <w:rPr>
          <w:spacing w:val="-8"/>
        </w:rPr>
        <w:t xml:space="preserve"> </w:t>
      </w:r>
      <w:r>
        <w:t>using cash flows</w:t>
      </w:r>
      <w:r>
        <w:rPr>
          <w:spacing w:val="-2"/>
        </w:rPr>
        <w:t xml:space="preserve"> </w:t>
      </w:r>
      <w:r>
        <w:t>and economic</w:t>
      </w:r>
      <w:r>
        <w:rPr>
          <w:spacing w:val="-1"/>
        </w:rPr>
        <w:t xml:space="preserve"> </w:t>
      </w:r>
      <w:r>
        <w:t>profit-based methods</w:t>
      </w:r>
      <w:r>
        <w:rPr>
          <w:spacing w:val="-1"/>
        </w:rPr>
        <w:t xml:space="preserve"> </w:t>
      </w:r>
      <w:r>
        <w:t>in</w:t>
      </w:r>
      <w:r>
        <w:rPr>
          <w:spacing w:val="-8"/>
        </w:rPr>
        <w:t xml:space="preserve"> </w:t>
      </w:r>
      <w:r>
        <w:t>capital</w:t>
      </w:r>
      <w:r>
        <w:rPr>
          <w:spacing w:val="-8"/>
        </w:rPr>
        <w:t xml:space="preserve"> </w:t>
      </w:r>
      <w:r>
        <w:t>budgeting:</w:t>
      </w:r>
      <w:r>
        <w:rPr>
          <w:spacing w:val="-3"/>
        </w:rPr>
        <w:t xml:space="preserve"> </w:t>
      </w:r>
      <w:r>
        <w:t>a focus</w:t>
      </w:r>
      <w:r>
        <w:rPr>
          <w:spacing w:val="-5"/>
        </w:rPr>
        <w:t xml:space="preserve"> </w:t>
      </w:r>
      <w:r>
        <w:t>on</w:t>
      </w:r>
      <w:r>
        <w:rPr>
          <w:spacing w:val="-12"/>
        </w:rPr>
        <w:t xml:space="preserve"> </w:t>
      </w:r>
      <w:r>
        <w:t>techniques–FCFF,</w:t>
      </w:r>
      <w:r>
        <w:rPr>
          <w:spacing w:val="-1"/>
        </w:rPr>
        <w:t xml:space="preserve"> </w:t>
      </w:r>
      <w:r>
        <w:t>FCFE</w:t>
      </w:r>
      <w:r>
        <w:rPr>
          <w:spacing w:val="-1"/>
        </w:rPr>
        <w:t xml:space="preserve"> </w:t>
      </w:r>
      <w:r>
        <w:t>and</w:t>
      </w:r>
      <w:r>
        <w:rPr>
          <w:spacing w:val="-3"/>
        </w:rPr>
        <w:t xml:space="preserve"> </w:t>
      </w:r>
      <w:r>
        <w:t xml:space="preserve">EVA. </w:t>
      </w:r>
      <w:proofErr w:type="spellStart"/>
      <w:r>
        <w:t>Zeszyty</w:t>
      </w:r>
      <w:proofErr w:type="spellEnd"/>
      <w:r>
        <w:t xml:space="preserve"> Naukowe. Organizacja </w:t>
      </w:r>
      <w:proofErr w:type="spellStart"/>
      <w:r>
        <w:t>i</w:t>
      </w:r>
      <w:proofErr w:type="spellEnd"/>
      <w:r>
        <w:t xml:space="preserve"> </w:t>
      </w:r>
      <w:proofErr w:type="spellStart"/>
      <w:r>
        <w:t>Zarządzanie</w:t>
      </w:r>
      <w:proofErr w:type="spellEnd"/>
      <w:r>
        <w:t>/</w:t>
      </w:r>
      <w:proofErr w:type="spellStart"/>
      <w:r>
        <w:t>Politechnika</w:t>
      </w:r>
      <w:proofErr w:type="spellEnd"/>
      <w:r>
        <w:t xml:space="preserve"> Śląska.</w:t>
      </w:r>
    </w:p>
    <w:p w14:paraId="390916C5" w14:textId="77777777" w:rsidR="00F66501" w:rsidRDefault="00000000">
      <w:pPr>
        <w:pStyle w:val="BodyText"/>
        <w:spacing w:before="203" w:line="360" w:lineRule="auto"/>
        <w:ind w:left="1441" w:right="2723" w:hanging="721"/>
        <w:jc w:val="both"/>
      </w:pPr>
      <w:r>
        <w:t xml:space="preserve">Infosys Limited. (2024). Annual Report 2023-2024. Infosys Limited. </w:t>
      </w:r>
      <w:hyperlink r:id="rId10">
        <w:r w:rsidR="00F66501">
          <w:rPr>
            <w:color w:val="0000FF"/>
            <w:spacing w:val="-2"/>
            <w:u w:val="single" w:color="0000FF"/>
          </w:rPr>
          <w:t>https://www.infosys.com/investors/reports-filings/annual-report.html</w:t>
        </w:r>
      </w:hyperlink>
    </w:p>
    <w:p w14:paraId="2CBB49ED" w14:textId="77777777" w:rsidR="00F66501" w:rsidRDefault="00000000">
      <w:pPr>
        <w:pStyle w:val="BodyText"/>
        <w:spacing w:before="199" w:line="360" w:lineRule="auto"/>
        <w:ind w:left="1441" w:right="1351" w:hanging="721"/>
        <w:jc w:val="both"/>
      </w:pPr>
      <w:r>
        <w:t>Koti, K. (2013).</w:t>
      </w:r>
      <w:r>
        <w:rPr>
          <w:spacing w:val="-2"/>
        </w:rPr>
        <w:t xml:space="preserve"> </w:t>
      </w:r>
      <w:r>
        <w:t>Fundamental</w:t>
      </w:r>
      <w:r>
        <w:rPr>
          <w:spacing w:val="-10"/>
        </w:rPr>
        <w:t xml:space="preserve"> </w:t>
      </w:r>
      <w:r>
        <w:t>Equity</w:t>
      </w:r>
      <w:r>
        <w:rPr>
          <w:spacing w:val="-11"/>
        </w:rPr>
        <w:t xml:space="preserve"> </w:t>
      </w:r>
      <w:r>
        <w:t>Valuation:</w:t>
      </w:r>
      <w:r>
        <w:rPr>
          <w:spacing w:val="-2"/>
        </w:rPr>
        <w:t xml:space="preserve"> </w:t>
      </w:r>
      <w:r>
        <w:t>A</w:t>
      </w:r>
      <w:r>
        <w:rPr>
          <w:spacing w:val="-3"/>
        </w:rPr>
        <w:t xml:space="preserve"> </w:t>
      </w:r>
      <w:r>
        <w:t>Case</w:t>
      </w:r>
      <w:r>
        <w:rPr>
          <w:spacing w:val="-3"/>
        </w:rPr>
        <w:t xml:space="preserve"> </w:t>
      </w:r>
      <w:r>
        <w:t>Study</w:t>
      </w:r>
      <w:r>
        <w:rPr>
          <w:spacing w:val="-11"/>
        </w:rPr>
        <w:t xml:space="preserve"> </w:t>
      </w:r>
      <w:r>
        <w:t>of</w:t>
      </w:r>
      <w:r>
        <w:rPr>
          <w:spacing w:val="-9"/>
        </w:rPr>
        <w:t xml:space="preserve"> </w:t>
      </w:r>
      <w:r>
        <w:t>TCS, Infosys, and</w:t>
      </w:r>
      <w:r>
        <w:rPr>
          <w:spacing w:val="-2"/>
        </w:rPr>
        <w:t xml:space="preserve"> </w:t>
      </w:r>
      <w:r>
        <w:t xml:space="preserve">Wipro </w:t>
      </w:r>
      <w:r>
        <w:rPr>
          <w:spacing w:val="-2"/>
        </w:rPr>
        <w:t>Companies.</w:t>
      </w:r>
    </w:p>
    <w:p w14:paraId="280FD214" w14:textId="77777777" w:rsidR="00F66501" w:rsidRDefault="00000000">
      <w:pPr>
        <w:pStyle w:val="BodyText"/>
        <w:spacing w:before="200" w:line="360" w:lineRule="auto"/>
        <w:ind w:left="1441" w:right="1144" w:hanging="721"/>
        <w:jc w:val="both"/>
      </w:pPr>
      <w:r>
        <w:t>Laghari, F., Ahmed, F., &amp;</w:t>
      </w:r>
      <w:r>
        <w:rPr>
          <w:spacing w:val="-6"/>
        </w:rPr>
        <w:t xml:space="preserve"> </w:t>
      </w:r>
      <w:r>
        <w:t>López</w:t>
      </w:r>
      <w:r>
        <w:rPr>
          <w:spacing w:val="-2"/>
        </w:rPr>
        <w:t xml:space="preserve"> </w:t>
      </w:r>
      <w:r>
        <w:t>García, M. D. L.</w:t>
      </w:r>
      <w:r>
        <w:rPr>
          <w:spacing w:val="-8"/>
        </w:rPr>
        <w:t xml:space="preserve"> </w:t>
      </w:r>
      <w:r>
        <w:t>N. (2023).</w:t>
      </w:r>
      <w:r>
        <w:rPr>
          <w:spacing w:val="-4"/>
        </w:rPr>
        <w:t xml:space="preserve"> </w:t>
      </w:r>
      <w:r>
        <w:t>Cash</w:t>
      </w:r>
      <w:r>
        <w:rPr>
          <w:spacing w:val="-1"/>
        </w:rPr>
        <w:t xml:space="preserve"> </w:t>
      </w:r>
      <w:r>
        <w:t>flow management and its effect</w:t>
      </w:r>
      <w:r>
        <w:rPr>
          <w:spacing w:val="-2"/>
        </w:rPr>
        <w:t xml:space="preserve"> </w:t>
      </w:r>
      <w:r>
        <w:t>on</w:t>
      </w:r>
      <w:r>
        <w:rPr>
          <w:spacing w:val="-6"/>
        </w:rPr>
        <w:t xml:space="preserve"> </w:t>
      </w:r>
      <w:r>
        <w:t>firm</w:t>
      </w:r>
      <w:r>
        <w:rPr>
          <w:spacing w:val="-10"/>
        </w:rPr>
        <w:t xml:space="preserve"> </w:t>
      </w:r>
      <w:r>
        <w:t>performance: Empirical</w:t>
      </w:r>
      <w:r>
        <w:rPr>
          <w:spacing w:val="-6"/>
        </w:rPr>
        <w:t xml:space="preserve"> </w:t>
      </w:r>
      <w:r>
        <w:t>evidence</w:t>
      </w:r>
      <w:r>
        <w:rPr>
          <w:spacing w:val="-3"/>
        </w:rPr>
        <w:t xml:space="preserve"> </w:t>
      </w:r>
      <w:r>
        <w:t>on</w:t>
      </w:r>
      <w:r>
        <w:rPr>
          <w:spacing w:val="-6"/>
        </w:rPr>
        <w:t xml:space="preserve"> </w:t>
      </w:r>
      <w:r>
        <w:t>non-financial</w:t>
      </w:r>
      <w:r>
        <w:rPr>
          <w:spacing w:val="-2"/>
        </w:rPr>
        <w:t xml:space="preserve"> </w:t>
      </w:r>
      <w:r>
        <w:t>firms</w:t>
      </w:r>
      <w:r>
        <w:rPr>
          <w:spacing w:val="-3"/>
        </w:rPr>
        <w:t xml:space="preserve"> </w:t>
      </w:r>
      <w:r>
        <w:t>of</w:t>
      </w:r>
      <w:r>
        <w:rPr>
          <w:spacing w:val="-9"/>
        </w:rPr>
        <w:t xml:space="preserve"> </w:t>
      </w:r>
      <w:r>
        <w:t xml:space="preserve">China. </w:t>
      </w:r>
      <w:proofErr w:type="spellStart"/>
      <w:r>
        <w:t>Plos</w:t>
      </w:r>
      <w:proofErr w:type="spellEnd"/>
      <w:r>
        <w:t xml:space="preserve"> one, 18(6), e0287135.</w:t>
      </w:r>
    </w:p>
    <w:p w14:paraId="01FB1FF6" w14:textId="77777777" w:rsidR="00F66501" w:rsidRDefault="00000000">
      <w:pPr>
        <w:pStyle w:val="BodyText"/>
        <w:spacing w:before="198" w:line="362" w:lineRule="auto"/>
        <w:ind w:left="1441" w:right="1005" w:hanging="721"/>
        <w:jc w:val="both"/>
      </w:pPr>
      <w:r>
        <w:t>Malik,</w:t>
      </w:r>
      <w:r>
        <w:rPr>
          <w:spacing w:val="-1"/>
        </w:rPr>
        <w:t xml:space="preserve"> </w:t>
      </w:r>
      <w:r>
        <w:t>F.</w:t>
      </w:r>
      <w:r>
        <w:rPr>
          <w:spacing w:val="-1"/>
        </w:rPr>
        <w:t xml:space="preserve"> </w:t>
      </w:r>
      <w:r>
        <w:t>A.,</w:t>
      </w:r>
      <w:r>
        <w:rPr>
          <w:spacing w:val="-1"/>
        </w:rPr>
        <w:t xml:space="preserve"> </w:t>
      </w:r>
      <w:r>
        <w:t>&amp;</w:t>
      </w:r>
      <w:r>
        <w:rPr>
          <w:spacing w:val="-8"/>
        </w:rPr>
        <w:t xml:space="preserve"> </w:t>
      </w:r>
      <w:r>
        <w:t>Sikarwar,</w:t>
      </w:r>
      <w:r>
        <w:rPr>
          <w:spacing w:val="-1"/>
        </w:rPr>
        <w:t xml:space="preserve"> </w:t>
      </w:r>
      <w:r>
        <w:t>T.</w:t>
      </w:r>
      <w:r>
        <w:rPr>
          <w:spacing w:val="-6"/>
        </w:rPr>
        <w:t xml:space="preserve"> </w:t>
      </w:r>
      <w:r>
        <w:t>S.</w:t>
      </w:r>
      <w:r>
        <w:rPr>
          <w:spacing w:val="-1"/>
        </w:rPr>
        <w:t xml:space="preserve"> </w:t>
      </w:r>
      <w:r>
        <w:t>(Eds.).</w:t>
      </w:r>
      <w:r>
        <w:rPr>
          <w:spacing w:val="-6"/>
        </w:rPr>
        <w:t xml:space="preserve"> </w:t>
      </w:r>
      <w:r>
        <w:t>(2024). The</w:t>
      </w:r>
      <w:r>
        <w:rPr>
          <w:spacing w:val="-4"/>
        </w:rPr>
        <w:t xml:space="preserve"> </w:t>
      </w:r>
      <w:r>
        <w:t>economics</w:t>
      </w:r>
      <w:r>
        <w:rPr>
          <w:spacing w:val="-5"/>
        </w:rPr>
        <w:t xml:space="preserve"> </w:t>
      </w:r>
      <w:r>
        <w:t>of</w:t>
      </w:r>
      <w:r>
        <w:rPr>
          <w:spacing w:val="-6"/>
        </w:rPr>
        <w:t xml:space="preserve"> </w:t>
      </w:r>
      <w:r>
        <w:t>financial</w:t>
      </w:r>
      <w:r>
        <w:rPr>
          <w:spacing w:val="-8"/>
        </w:rPr>
        <w:t xml:space="preserve"> </w:t>
      </w:r>
      <w:r>
        <w:t>inclusion.</w:t>
      </w:r>
      <w:r>
        <w:rPr>
          <w:spacing w:val="-1"/>
        </w:rPr>
        <w:t xml:space="preserve"> </w:t>
      </w:r>
      <w:r>
        <w:t>Taylor</w:t>
      </w:r>
      <w:r>
        <w:rPr>
          <w:spacing w:val="-2"/>
        </w:rPr>
        <w:t xml:space="preserve"> </w:t>
      </w:r>
      <w:r>
        <w:t>&amp; Francis Group.</w:t>
      </w:r>
    </w:p>
    <w:p w14:paraId="1A05D9EA" w14:textId="77777777" w:rsidR="00F66501" w:rsidRDefault="00000000">
      <w:pPr>
        <w:pStyle w:val="BodyText"/>
        <w:spacing w:before="194"/>
        <w:jc w:val="both"/>
      </w:pPr>
      <w:r>
        <w:t>Nissim,</w:t>
      </w:r>
      <w:r>
        <w:rPr>
          <w:spacing w:val="-2"/>
        </w:rPr>
        <w:t xml:space="preserve"> </w:t>
      </w:r>
      <w:r>
        <w:t>D.</w:t>
      </w:r>
      <w:r>
        <w:rPr>
          <w:spacing w:val="-1"/>
        </w:rPr>
        <w:t xml:space="preserve"> </w:t>
      </w:r>
      <w:r>
        <w:t>(2019).</w:t>
      </w:r>
      <w:r>
        <w:rPr>
          <w:spacing w:val="-4"/>
        </w:rPr>
        <w:t xml:space="preserve"> </w:t>
      </w:r>
      <w:r>
        <w:t>Terminal</w:t>
      </w:r>
      <w:r>
        <w:rPr>
          <w:spacing w:val="-2"/>
        </w:rPr>
        <w:t xml:space="preserve"> </w:t>
      </w:r>
      <w:r>
        <w:t>value.</w:t>
      </w:r>
      <w:r>
        <w:rPr>
          <w:spacing w:val="6"/>
        </w:rPr>
        <w:t xml:space="preserve"> </w:t>
      </w:r>
      <w:r>
        <w:t>Columbia</w:t>
      </w:r>
      <w:r>
        <w:rPr>
          <w:spacing w:val="-2"/>
        </w:rPr>
        <w:t xml:space="preserve"> </w:t>
      </w:r>
      <w:r>
        <w:t>Business</w:t>
      </w:r>
      <w:r>
        <w:rPr>
          <w:spacing w:val="-4"/>
        </w:rPr>
        <w:t xml:space="preserve"> </w:t>
      </w:r>
      <w:r>
        <w:t>School</w:t>
      </w:r>
      <w:r>
        <w:rPr>
          <w:spacing w:val="-10"/>
        </w:rPr>
        <w:t xml:space="preserve"> </w:t>
      </w:r>
      <w:r>
        <w:t>Research</w:t>
      </w:r>
      <w:r>
        <w:rPr>
          <w:spacing w:val="-6"/>
        </w:rPr>
        <w:t xml:space="preserve"> </w:t>
      </w:r>
      <w:r>
        <w:t>Paper,</w:t>
      </w:r>
      <w:r>
        <w:rPr>
          <w:spacing w:val="1"/>
        </w:rPr>
        <w:t xml:space="preserve"> </w:t>
      </w:r>
      <w:r>
        <w:t>(18-</w:t>
      </w:r>
      <w:r>
        <w:rPr>
          <w:spacing w:val="-4"/>
        </w:rPr>
        <w:t>12).</w:t>
      </w:r>
    </w:p>
    <w:p w14:paraId="6D85ACAA" w14:textId="77777777" w:rsidR="00F66501" w:rsidRDefault="00F66501">
      <w:pPr>
        <w:pStyle w:val="BodyText"/>
        <w:spacing w:before="63"/>
        <w:ind w:left="0"/>
      </w:pPr>
    </w:p>
    <w:p w14:paraId="3C3DF19D" w14:textId="77777777" w:rsidR="00F66501" w:rsidRDefault="00000000">
      <w:pPr>
        <w:pStyle w:val="BodyText"/>
        <w:spacing w:line="364" w:lineRule="auto"/>
        <w:ind w:left="1441" w:hanging="721"/>
      </w:pPr>
      <w:r>
        <w:t>Reynolds,</w:t>
      </w:r>
      <w:r>
        <w:rPr>
          <w:spacing w:val="-1"/>
        </w:rPr>
        <w:t xml:space="preserve"> </w:t>
      </w:r>
      <w:r>
        <w:t>F.</w:t>
      </w:r>
      <w:r>
        <w:rPr>
          <w:spacing w:val="-1"/>
        </w:rPr>
        <w:t xml:space="preserve"> </w:t>
      </w:r>
      <w:r>
        <w:t>S.</w:t>
      </w:r>
      <w:r>
        <w:rPr>
          <w:spacing w:val="-6"/>
        </w:rPr>
        <w:t xml:space="preserve"> </w:t>
      </w:r>
      <w:r>
        <w:t>(1959).</w:t>
      </w:r>
      <w:r>
        <w:rPr>
          <w:spacing w:val="-1"/>
        </w:rPr>
        <w:t xml:space="preserve"> </w:t>
      </w:r>
      <w:r>
        <w:t>Discounted</w:t>
      </w:r>
      <w:r>
        <w:rPr>
          <w:spacing w:val="-3"/>
        </w:rPr>
        <w:t xml:space="preserve"> </w:t>
      </w:r>
      <w:r>
        <w:t>cash</w:t>
      </w:r>
      <w:r>
        <w:rPr>
          <w:spacing w:val="-3"/>
        </w:rPr>
        <w:t xml:space="preserve"> </w:t>
      </w:r>
      <w:r>
        <w:t>flow</w:t>
      </w:r>
      <w:r>
        <w:rPr>
          <w:spacing w:val="-4"/>
        </w:rPr>
        <w:t xml:space="preserve"> </w:t>
      </w:r>
      <w:r>
        <w:t>as</w:t>
      </w:r>
      <w:r>
        <w:rPr>
          <w:spacing w:val="-5"/>
        </w:rPr>
        <w:t xml:space="preserve"> </w:t>
      </w:r>
      <w:r>
        <w:t>a</w:t>
      </w:r>
      <w:r>
        <w:rPr>
          <w:spacing w:val="-4"/>
        </w:rPr>
        <w:t xml:space="preserve"> </w:t>
      </w:r>
      <w:r>
        <w:t>measure</w:t>
      </w:r>
      <w:r>
        <w:rPr>
          <w:spacing w:val="-4"/>
        </w:rPr>
        <w:t xml:space="preserve"> </w:t>
      </w:r>
      <w:r>
        <w:t>of</w:t>
      </w:r>
      <w:r>
        <w:rPr>
          <w:spacing w:val="-6"/>
        </w:rPr>
        <w:t xml:space="preserve"> </w:t>
      </w:r>
      <w:r>
        <w:t>market value. Journal</w:t>
      </w:r>
      <w:r>
        <w:rPr>
          <w:spacing w:val="-11"/>
        </w:rPr>
        <w:t xml:space="preserve"> </w:t>
      </w:r>
      <w:r>
        <w:t>of</w:t>
      </w:r>
      <w:r>
        <w:rPr>
          <w:spacing w:val="-10"/>
        </w:rPr>
        <w:t xml:space="preserve"> </w:t>
      </w:r>
      <w:r>
        <w:t>Petroleum Technology, 11(11), 15-19.</w:t>
      </w:r>
    </w:p>
    <w:p w14:paraId="2F6AF79E" w14:textId="77777777" w:rsidR="00F66501" w:rsidRDefault="00000000">
      <w:pPr>
        <w:pStyle w:val="BodyText"/>
        <w:spacing w:before="193" w:line="360" w:lineRule="auto"/>
        <w:ind w:left="1441" w:right="758" w:hanging="721"/>
      </w:pPr>
      <w:r>
        <w:t>Soni,</w:t>
      </w:r>
      <w:r>
        <w:rPr>
          <w:spacing w:val="-2"/>
        </w:rPr>
        <w:t xml:space="preserve"> </w:t>
      </w:r>
      <w:r>
        <w:t>D.</w:t>
      </w:r>
      <w:r>
        <w:rPr>
          <w:spacing w:val="-2"/>
        </w:rPr>
        <w:t xml:space="preserve"> </w:t>
      </w:r>
      <w:r>
        <w:t>A.</w:t>
      </w:r>
      <w:r>
        <w:rPr>
          <w:spacing w:val="-2"/>
        </w:rPr>
        <w:t xml:space="preserve"> </w:t>
      </w:r>
      <w:r>
        <w:t>B.,</w:t>
      </w:r>
      <w:r>
        <w:rPr>
          <w:spacing w:val="-2"/>
        </w:rPr>
        <w:t xml:space="preserve"> </w:t>
      </w:r>
      <w:r>
        <w:t>&amp;</w:t>
      </w:r>
      <w:r>
        <w:rPr>
          <w:spacing w:val="-8"/>
        </w:rPr>
        <w:t xml:space="preserve"> </w:t>
      </w:r>
      <w:proofErr w:type="spellStart"/>
      <w:r>
        <w:t>Nathvani</w:t>
      </w:r>
      <w:proofErr w:type="spellEnd"/>
      <w:r>
        <w:t>,</w:t>
      </w:r>
      <w:r>
        <w:rPr>
          <w:spacing w:val="-2"/>
        </w:rPr>
        <w:t xml:space="preserve"> </w:t>
      </w:r>
      <w:r>
        <w:t>M.</w:t>
      </w:r>
      <w:r>
        <w:rPr>
          <w:spacing w:val="-2"/>
        </w:rPr>
        <w:t xml:space="preserve"> </w:t>
      </w:r>
      <w:r>
        <w:t>D.</w:t>
      </w:r>
      <w:r>
        <w:rPr>
          <w:spacing w:val="-2"/>
        </w:rPr>
        <w:t xml:space="preserve"> </w:t>
      </w:r>
      <w:r>
        <w:t>(2023).</w:t>
      </w:r>
      <w:r>
        <w:rPr>
          <w:spacing w:val="-6"/>
        </w:rPr>
        <w:t xml:space="preserve"> </w:t>
      </w:r>
      <w:r>
        <w:t>Valuation</w:t>
      </w:r>
      <w:r>
        <w:rPr>
          <w:spacing w:val="-13"/>
        </w:rPr>
        <w:t xml:space="preserve"> </w:t>
      </w:r>
      <w:r>
        <w:t>of</w:t>
      </w:r>
      <w:r>
        <w:rPr>
          <w:spacing w:val="-11"/>
        </w:rPr>
        <w:t xml:space="preserve"> </w:t>
      </w:r>
      <w:r>
        <w:t>Corporate</w:t>
      </w:r>
      <w:r>
        <w:rPr>
          <w:spacing w:val="-4"/>
        </w:rPr>
        <w:t xml:space="preserve"> </w:t>
      </w:r>
      <w:r>
        <w:t>Restructuring</w:t>
      </w:r>
      <w:r>
        <w:rPr>
          <w:spacing w:val="-3"/>
        </w:rPr>
        <w:t xml:space="preserve"> </w:t>
      </w:r>
      <w:r>
        <w:t>Companies Through Financial Modelling.</w:t>
      </w:r>
    </w:p>
    <w:p w14:paraId="35AA2B3C" w14:textId="77777777" w:rsidR="00F66501" w:rsidRDefault="00000000">
      <w:pPr>
        <w:pStyle w:val="BodyText"/>
        <w:spacing w:before="200" w:line="360" w:lineRule="auto"/>
        <w:ind w:left="1441" w:right="758" w:hanging="721"/>
      </w:pPr>
      <w:r>
        <w:t>Subramanyam, K.</w:t>
      </w:r>
      <w:r>
        <w:rPr>
          <w:spacing w:val="-4"/>
        </w:rPr>
        <w:t xml:space="preserve"> </w:t>
      </w:r>
      <w:r>
        <w:t>R.,</w:t>
      </w:r>
      <w:r>
        <w:rPr>
          <w:spacing w:val="-4"/>
        </w:rPr>
        <w:t xml:space="preserve"> </w:t>
      </w:r>
      <w:r>
        <w:t>&amp;</w:t>
      </w:r>
      <w:r>
        <w:rPr>
          <w:spacing w:val="-10"/>
        </w:rPr>
        <w:t xml:space="preserve"> </w:t>
      </w:r>
      <w:r>
        <w:t>Venkatachalam,</w:t>
      </w:r>
      <w:r>
        <w:rPr>
          <w:spacing w:val="-4"/>
        </w:rPr>
        <w:t xml:space="preserve"> </w:t>
      </w:r>
      <w:r>
        <w:t>M.</w:t>
      </w:r>
      <w:r>
        <w:rPr>
          <w:spacing w:val="-4"/>
        </w:rPr>
        <w:t xml:space="preserve"> </w:t>
      </w:r>
      <w:r>
        <w:t>(2007).</w:t>
      </w:r>
      <w:r>
        <w:rPr>
          <w:spacing w:val="-8"/>
        </w:rPr>
        <w:t xml:space="preserve"> </w:t>
      </w:r>
      <w:r>
        <w:t>Earnings,</w:t>
      </w:r>
      <w:r>
        <w:rPr>
          <w:spacing w:val="-4"/>
        </w:rPr>
        <w:t xml:space="preserve"> </w:t>
      </w:r>
      <w:r>
        <w:t>cash</w:t>
      </w:r>
      <w:r>
        <w:rPr>
          <w:spacing w:val="-5"/>
        </w:rPr>
        <w:t xml:space="preserve"> </w:t>
      </w:r>
      <w:r>
        <w:t>flows,</w:t>
      </w:r>
      <w:r>
        <w:rPr>
          <w:spacing w:val="-4"/>
        </w:rPr>
        <w:t xml:space="preserve"> </w:t>
      </w:r>
      <w:r>
        <w:t>and</w:t>
      </w:r>
      <w:r>
        <w:rPr>
          <w:spacing w:val="-5"/>
        </w:rPr>
        <w:t xml:space="preserve"> </w:t>
      </w:r>
      <w:r>
        <w:t>ex</w:t>
      </w:r>
      <w:r>
        <w:rPr>
          <w:spacing w:val="-10"/>
        </w:rPr>
        <w:t xml:space="preserve"> </w:t>
      </w:r>
      <w:r>
        <w:t>post</w:t>
      </w:r>
      <w:r>
        <w:rPr>
          <w:spacing w:val="-1"/>
        </w:rPr>
        <w:t xml:space="preserve"> </w:t>
      </w:r>
      <w:r>
        <w:t>intrinsic value of equity. The Accounting Review, 82(2), 457-481.</w:t>
      </w:r>
    </w:p>
    <w:p w14:paraId="5C497789" w14:textId="77777777" w:rsidR="00F66501" w:rsidRDefault="00000000">
      <w:pPr>
        <w:pStyle w:val="BodyText"/>
        <w:spacing w:before="199" w:line="360" w:lineRule="auto"/>
        <w:ind w:left="1441" w:right="3329" w:hanging="721"/>
      </w:pPr>
      <w:r>
        <w:t xml:space="preserve">Yahoo Finance. (2024). Infosys Limited Financials. </w:t>
      </w:r>
      <w:hyperlink r:id="rId11">
        <w:r w:rsidR="00F66501">
          <w:rPr>
            <w:color w:val="0000FF"/>
            <w:spacing w:val="-2"/>
            <w:u w:val="single" w:color="0000FF"/>
          </w:rPr>
          <w:t>https://finance.yahoo.com/quote/INFY/financials</w:t>
        </w:r>
      </w:hyperlink>
    </w:p>
    <w:sectPr w:rsidR="00F66501">
      <w:pgSz w:w="12240" w:h="15840"/>
      <w:pgMar w:top="980" w:right="720" w:bottom="280" w:left="720" w:header="72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2CC6" w14:textId="77777777" w:rsidR="00695FEF" w:rsidRDefault="00695FEF">
      <w:r>
        <w:separator/>
      </w:r>
    </w:p>
  </w:endnote>
  <w:endnote w:type="continuationSeparator" w:id="0">
    <w:p w14:paraId="5836B4D0" w14:textId="77777777" w:rsidR="00695FEF" w:rsidRDefault="00695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64A82" w14:textId="77777777" w:rsidR="00695FEF" w:rsidRDefault="00695FEF">
      <w:r>
        <w:separator/>
      </w:r>
    </w:p>
  </w:footnote>
  <w:footnote w:type="continuationSeparator" w:id="0">
    <w:p w14:paraId="0B3B8989" w14:textId="77777777" w:rsidR="00695FEF" w:rsidRDefault="00695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42EB" w14:textId="77777777" w:rsidR="00F66501" w:rsidRDefault="00000000">
    <w:pPr>
      <w:pStyle w:val="BodyText"/>
      <w:spacing w:line="14" w:lineRule="auto"/>
      <w:ind w:left="0"/>
      <w:rPr>
        <w:sz w:val="20"/>
      </w:rPr>
    </w:pPr>
    <w:r>
      <w:rPr>
        <w:noProof/>
        <w:sz w:val="20"/>
      </w:rPr>
      <mc:AlternateContent>
        <mc:Choice Requires="wps">
          <w:drawing>
            <wp:anchor distT="0" distB="0" distL="0" distR="0" simplePos="0" relativeHeight="487356928" behindDoc="1" locked="0" layoutInCell="1" allowOverlap="1" wp14:anchorId="4485C40C" wp14:editId="5ABEEB81">
              <wp:simplePos x="0" y="0"/>
              <wp:positionH relativeFrom="page">
                <wp:posOffset>6746113</wp:posOffset>
              </wp:positionH>
              <wp:positionV relativeFrom="page">
                <wp:posOffset>446108</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95DAA53" w14:textId="77777777" w:rsidR="00F6650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485C40C" id="_x0000_t202" coordsize="21600,21600" o:spt="202" path="m,l,21600r21600,l21600,xe">
              <v:stroke joinstyle="miter"/>
              <v:path gradientshapeok="t" o:connecttype="rect"/>
            </v:shapetype>
            <v:shape id="Textbox 6" o:spid="_x0000_s1026" type="#_x0000_t202" style="position:absolute;margin-left:531.2pt;margin-top:35.15pt;width:13pt;height:15.3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" filled="f" stroked="f">
              <v:textbox inset="0,0,0,0">
                <w:txbxContent>
                  <w:p w14:paraId="695DAA53" w14:textId="77777777" w:rsidR="00F6650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B3C"/>
    <w:multiLevelType w:val="multilevel"/>
    <w:tmpl w:val="335E1F4C"/>
    <w:lvl w:ilvl="0">
      <w:start w:val="2"/>
      <w:numFmt w:val="decimal"/>
      <w:lvlText w:val="%1."/>
      <w:lvlJc w:val="left"/>
      <w:pPr>
        <w:ind w:left="964" w:hanging="245"/>
        <w:jc w:val="left"/>
      </w:pPr>
      <w:rPr>
        <w:rFonts w:ascii="Times New Roman" w:eastAsia="Times New Roman" w:hAnsi="Times New Roman" w:cs="Times New Roman" w:hint="default"/>
        <w:b/>
        <w:bCs/>
        <w:i w:val="0"/>
        <w:iCs w:val="0"/>
        <w:spacing w:val="0"/>
        <w:w w:val="89"/>
        <w:sz w:val="24"/>
        <w:szCs w:val="24"/>
        <w:lang w:val="en-US" w:eastAsia="en-US" w:bidi="ar-SA"/>
      </w:rPr>
    </w:lvl>
    <w:lvl w:ilvl="1">
      <w:start w:val="1"/>
      <w:numFmt w:val="decimal"/>
      <w:lvlText w:val="%1.%2"/>
      <w:lvlJc w:val="left"/>
      <w:pPr>
        <w:ind w:left="1084"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1441" w:hanging="36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610" w:hanging="361"/>
      </w:pPr>
      <w:rPr>
        <w:rFonts w:hint="default"/>
        <w:lang w:val="en-US" w:eastAsia="en-US" w:bidi="ar-SA"/>
      </w:rPr>
    </w:lvl>
    <w:lvl w:ilvl="4">
      <w:numFmt w:val="bullet"/>
      <w:lvlText w:val="•"/>
      <w:lvlJc w:val="left"/>
      <w:pPr>
        <w:ind w:left="3780" w:hanging="361"/>
      </w:pPr>
      <w:rPr>
        <w:rFonts w:hint="default"/>
        <w:lang w:val="en-US" w:eastAsia="en-US" w:bidi="ar-SA"/>
      </w:rPr>
    </w:lvl>
    <w:lvl w:ilvl="5">
      <w:numFmt w:val="bullet"/>
      <w:lvlText w:val="•"/>
      <w:lvlJc w:val="left"/>
      <w:pPr>
        <w:ind w:left="4950" w:hanging="361"/>
      </w:pPr>
      <w:rPr>
        <w:rFonts w:hint="default"/>
        <w:lang w:val="en-US" w:eastAsia="en-US" w:bidi="ar-SA"/>
      </w:rPr>
    </w:lvl>
    <w:lvl w:ilvl="6">
      <w:numFmt w:val="bullet"/>
      <w:lvlText w:val="•"/>
      <w:lvlJc w:val="left"/>
      <w:pPr>
        <w:ind w:left="6120" w:hanging="361"/>
      </w:pPr>
      <w:rPr>
        <w:rFonts w:hint="default"/>
        <w:lang w:val="en-US" w:eastAsia="en-US" w:bidi="ar-SA"/>
      </w:rPr>
    </w:lvl>
    <w:lvl w:ilvl="7">
      <w:numFmt w:val="bullet"/>
      <w:lvlText w:val="•"/>
      <w:lvlJc w:val="left"/>
      <w:pPr>
        <w:ind w:left="7290" w:hanging="361"/>
      </w:pPr>
      <w:rPr>
        <w:rFonts w:hint="default"/>
        <w:lang w:val="en-US" w:eastAsia="en-US" w:bidi="ar-SA"/>
      </w:rPr>
    </w:lvl>
    <w:lvl w:ilvl="8">
      <w:numFmt w:val="bullet"/>
      <w:lvlText w:val="•"/>
      <w:lvlJc w:val="left"/>
      <w:pPr>
        <w:ind w:left="8460" w:hanging="361"/>
      </w:pPr>
      <w:rPr>
        <w:rFonts w:hint="default"/>
        <w:lang w:val="en-US" w:eastAsia="en-US" w:bidi="ar-SA"/>
      </w:rPr>
    </w:lvl>
  </w:abstractNum>
  <w:abstractNum w:abstractNumId="1" w15:restartNumberingAfterBreak="0">
    <w:nsid w:val="294E4689"/>
    <w:multiLevelType w:val="multilevel"/>
    <w:tmpl w:val="11D0CE52"/>
    <w:lvl w:ilvl="0">
      <w:start w:val="2"/>
      <w:numFmt w:val="decimal"/>
      <w:lvlText w:val="%1."/>
      <w:lvlJc w:val="left"/>
      <w:pPr>
        <w:ind w:left="964" w:hanging="245"/>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start w:val="1"/>
      <w:numFmt w:val="decimal"/>
      <w:lvlText w:val="%1.%2"/>
      <w:lvlJc w:val="left"/>
      <w:pPr>
        <w:ind w:left="1305"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55" w:hanging="365"/>
      </w:pPr>
      <w:rPr>
        <w:rFonts w:hint="default"/>
        <w:lang w:val="en-US" w:eastAsia="en-US" w:bidi="ar-SA"/>
      </w:rPr>
    </w:lvl>
    <w:lvl w:ilvl="3">
      <w:numFmt w:val="bullet"/>
      <w:lvlText w:val="•"/>
      <w:lvlJc w:val="left"/>
      <w:pPr>
        <w:ind w:left="3411" w:hanging="365"/>
      </w:pPr>
      <w:rPr>
        <w:rFonts w:hint="default"/>
        <w:lang w:val="en-US" w:eastAsia="en-US" w:bidi="ar-SA"/>
      </w:rPr>
    </w:lvl>
    <w:lvl w:ilvl="4">
      <w:numFmt w:val="bullet"/>
      <w:lvlText w:val="•"/>
      <w:lvlJc w:val="left"/>
      <w:pPr>
        <w:ind w:left="4466" w:hanging="365"/>
      </w:pPr>
      <w:rPr>
        <w:rFonts w:hint="default"/>
        <w:lang w:val="en-US" w:eastAsia="en-US" w:bidi="ar-SA"/>
      </w:rPr>
    </w:lvl>
    <w:lvl w:ilvl="5">
      <w:numFmt w:val="bullet"/>
      <w:lvlText w:val="•"/>
      <w:lvlJc w:val="left"/>
      <w:pPr>
        <w:ind w:left="5522" w:hanging="365"/>
      </w:pPr>
      <w:rPr>
        <w:rFonts w:hint="default"/>
        <w:lang w:val="en-US" w:eastAsia="en-US" w:bidi="ar-SA"/>
      </w:rPr>
    </w:lvl>
    <w:lvl w:ilvl="6">
      <w:numFmt w:val="bullet"/>
      <w:lvlText w:val="•"/>
      <w:lvlJc w:val="left"/>
      <w:pPr>
        <w:ind w:left="6577" w:hanging="365"/>
      </w:pPr>
      <w:rPr>
        <w:rFonts w:hint="default"/>
        <w:lang w:val="en-US" w:eastAsia="en-US" w:bidi="ar-SA"/>
      </w:rPr>
    </w:lvl>
    <w:lvl w:ilvl="7">
      <w:numFmt w:val="bullet"/>
      <w:lvlText w:val="•"/>
      <w:lvlJc w:val="left"/>
      <w:pPr>
        <w:ind w:left="7633" w:hanging="365"/>
      </w:pPr>
      <w:rPr>
        <w:rFonts w:hint="default"/>
        <w:lang w:val="en-US" w:eastAsia="en-US" w:bidi="ar-SA"/>
      </w:rPr>
    </w:lvl>
    <w:lvl w:ilvl="8">
      <w:numFmt w:val="bullet"/>
      <w:lvlText w:val="•"/>
      <w:lvlJc w:val="left"/>
      <w:pPr>
        <w:ind w:left="8688" w:hanging="365"/>
      </w:pPr>
      <w:rPr>
        <w:rFonts w:hint="default"/>
        <w:lang w:val="en-US" w:eastAsia="en-US" w:bidi="ar-SA"/>
      </w:rPr>
    </w:lvl>
  </w:abstractNum>
  <w:abstractNum w:abstractNumId="2" w15:restartNumberingAfterBreak="0">
    <w:nsid w:val="5F4D553A"/>
    <w:multiLevelType w:val="hybridMultilevel"/>
    <w:tmpl w:val="EC063AA6"/>
    <w:lvl w:ilvl="0" w:tplc="6BE6CCEC">
      <w:start w:val="1"/>
      <w:numFmt w:val="lowerLetter"/>
      <w:lvlText w:val="%1)"/>
      <w:lvlJc w:val="left"/>
      <w:pPr>
        <w:ind w:left="984" w:hanging="264"/>
        <w:jc w:val="left"/>
      </w:pPr>
      <w:rPr>
        <w:rFonts w:ascii="Times New Roman" w:eastAsia="Times New Roman" w:hAnsi="Times New Roman" w:cs="Times New Roman" w:hint="default"/>
        <w:b/>
        <w:bCs/>
        <w:i w:val="0"/>
        <w:iCs w:val="0"/>
        <w:spacing w:val="0"/>
        <w:w w:val="100"/>
        <w:sz w:val="24"/>
        <w:szCs w:val="24"/>
        <w:lang w:val="en-US" w:eastAsia="en-US" w:bidi="ar-SA"/>
      </w:rPr>
    </w:lvl>
    <w:lvl w:ilvl="1" w:tplc="2640D7B0">
      <w:numFmt w:val="bullet"/>
      <w:lvlText w:val="•"/>
      <w:lvlJc w:val="left"/>
      <w:pPr>
        <w:ind w:left="1962" w:hanging="264"/>
      </w:pPr>
      <w:rPr>
        <w:rFonts w:hint="default"/>
        <w:lang w:val="en-US" w:eastAsia="en-US" w:bidi="ar-SA"/>
      </w:rPr>
    </w:lvl>
    <w:lvl w:ilvl="2" w:tplc="182E23CE">
      <w:numFmt w:val="bullet"/>
      <w:lvlText w:val="•"/>
      <w:lvlJc w:val="left"/>
      <w:pPr>
        <w:ind w:left="2944" w:hanging="264"/>
      </w:pPr>
      <w:rPr>
        <w:rFonts w:hint="default"/>
        <w:lang w:val="en-US" w:eastAsia="en-US" w:bidi="ar-SA"/>
      </w:rPr>
    </w:lvl>
    <w:lvl w:ilvl="3" w:tplc="14E4E476">
      <w:numFmt w:val="bullet"/>
      <w:lvlText w:val="•"/>
      <w:lvlJc w:val="left"/>
      <w:pPr>
        <w:ind w:left="3926" w:hanging="264"/>
      </w:pPr>
      <w:rPr>
        <w:rFonts w:hint="default"/>
        <w:lang w:val="en-US" w:eastAsia="en-US" w:bidi="ar-SA"/>
      </w:rPr>
    </w:lvl>
    <w:lvl w:ilvl="4" w:tplc="3C7CD926">
      <w:numFmt w:val="bullet"/>
      <w:lvlText w:val="•"/>
      <w:lvlJc w:val="left"/>
      <w:pPr>
        <w:ind w:left="4908" w:hanging="264"/>
      </w:pPr>
      <w:rPr>
        <w:rFonts w:hint="default"/>
        <w:lang w:val="en-US" w:eastAsia="en-US" w:bidi="ar-SA"/>
      </w:rPr>
    </w:lvl>
    <w:lvl w:ilvl="5" w:tplc="245C3FCC">
      <w:numFmt w:val="bullet"/>
      <w:lvlText w:val="•"/>
      <w:lvlJc w:val="left"/>
      <w:pPr>
        <w:ind w:left="5890" w:hanging="264"/>
      </w:pPr>
      <w:rPr>
        <w:rFonts w:hint="default"/>
        <w:lang w:val="en-US" w:eastAsia="en-US" w:bidi="ar-SA"/>
      </w:rPr>
    </w:lvl>
    <w:lvl w:ilvl="6" w:tplc="008EA252">
      <w:numFmt w:val="bullet"/>
      <w:lvlText w:val="•"/>
      <w:lvlJc w:val="left"/>
      <w:pPr>
        <w:ind w:left="6872" w:hanging="264"/>
      </w:pPr>
      <w:rPr>
        <w:rFonts w:hint="default"/>
        <w:lang w:val="en-US" w:eastAsia="en-US" w:bidi="ar-SA"/>
      </w:rPr>
    </w:lvl>
    <w:lvl w:ilvl="7" w:tplc="8B0E1FE0">
      <w:numFmt w:val="bullet"/>
      <w:lvlText w:val="•"/>
      <w:lvlJc w:val="left"/>
      <w:pPr>
        <w:ind w:left="7854" w:hanging="264"/>
      </w:pPr>
      <w:rPr>
        <w:rFonts w:hint="default"/>
        <w:lang w:val="en-US" w:eastAsia="en-US" w:bidi="ar-SA"/>
      </w:rPr>
    </w:lvl>
    <w:lvl w:ilvl="8" w:tplc="323687FA">
      <w:numFmt w:val="bullet"/>
      <w:lvlText w:val="•"/>
      <w:lvlJc w:val="left"/>
      <w:pPr>
        <w:ind w:left="8836" w:hanging="264"/>
      </w:pPr>
      <w:rPr>
        <w:rFonts w:hint="default"/>
        <w:lang w:val="en-US" w:eastAsia="en-US" w:bidi="ar-SA"/>
      </w:rPr>
    </w:lvl>
  </w:abstractNum>
  <w:num w:numId="1" w16cid:durableId="1501506892">
    <w:abstractNumId w:val="2"/>
  </w:num>
  <w:num w:numId="2" w16cid:durableId="1689141103">
    <w:abstractNumId w:val="0"/>
  </w:num>
  <w:num w:numId="3" w16cid:durableId="1123230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501"/>
    <w:rsid w:val="000B5D2F"/>
    <w:rsid w:val="002718F6"/>
    <w:rsid w:val="00297725"/>
    <w:rsid w:val="003577A5"/>
    <w:rsid w:val="0039036B"/>
    <w:rsid w:val="00695FEF"/>
    <w:rsid w:val="006B615E"/>
    <w:rsid w:val="00A005F2"/>
    <w:rsid w:val="00F66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C9C2"/>
  <w15:docId w15:val="{BE1D2C9F-CBB4-4F2D-A800-0D3F9C63F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964" w:hanging="244"/>
    </w:pPr>
    <w:rPr>
      <w:sz w:val="24"/>
      <w:szCs w:val="24"/>
    </w:rPr>
  </w:style>
  <w:style w:type="paragraph" w:styleId="TOC2">
    <w:name w:val="toc 2"/>
    <w:basedOn w:val="Normal"/>
    <w:uiPriority w:val="1"/>
    <w:qFormat/>
    <w:pPr>
      <w:spacing w:before="238"/>
      <w:ind w:left="1305" w:hanging="364"/>
    </w:pPr>
    <w:rPr>
      <w:sz w:val="24"/>
      <w:szCs w:val="24"/>
    </w:rPr>
  </w:style>
  <w:style w:type="paragraph" w:styleId="BodyText">
    <w:name w:val="Body Text"/>
    <w:basedOn w:val="Normal"/>
    <w:uiPriority w:val="1"/>
    <w:qFormat/>
    <w:pPr>
      <w:ind w:left="720"/>
    </w:pPr>
    <w:rPr>
      <w:sz w:val="24"/>
      <w:szCs w:val="24"/>
    </w:rPr>
  </w:style>
  <w:style w:type="paragraph" w:styleId="ListParagraph">
    <w:name w:val="List Paragraph"/>
    <w:basedOn w:val="Normal"/>
    <w:uiPriority w:val="1"/>
    <w:qFormat/>
    <w:pPr>
      <w:spacing w:before="238"/>
      <w:ind w:left="1084" w:hanging="364"/>
    </w:pPr>
  </w:style>
  <w:style w:type="paragraph" w:customStyle="1" w:styleId="TableParagraph">
    <w:name w:val="Table Paragraph"/>
    <w:basedOn w:val="Normal"/>
    <w:uiPriority w:val="1"/>
    <w:qFormat/>
    <w:pPr>
      <w:spacing w:line="268"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ance.yahoo.com/quote/INFY/financials" TargetMode="External"/><Relationship Id="rId5" Type="http://schemas.openxmlformats.org/officeDocument/2006/relationships/webSettings" Target="webSettings.xml"/><Relationship Id="rId10" Type="http://schemas.openxmlformats.org/officeDocument/2006/relationships/hyperlink" Target="https://www.infosys.com/investors/reports-filings/annual-report.html"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C5936-E2C3-4F15-AC4F-DFBD5725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financial asset valuation group assignment</dc:subject>
  <dc:creator>Viranchi Pathak</dc:creator>
  <cp:lastModifiedBy>Janit Pathak</cp:lastModifiedBy>
  <cp:revision>2</cp:revision>
  <dcterms:created xsi:type="dcterms:W3CDTF">2026-02-11T18:28:00Z</dcterms:created>
  <dcterms:modified xsi:type="dcterms:W3CDTF">2026-02-11T18:28:00Z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www.ilovepdf.com</vt:lpwstr>
  </property>
</Properties>
</file>