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A56A0"/>
          <w:sz w:val="44"/>
          <w:szCs w:val="44"/>
        </w:rPr>
        <w:t xml:space="preserve">VIRANSHI SHAH</w:t>
      </w:r>
    </w:p>
    <w:p>
      <w:pPr>
        <w:tabs>
          <w:tab w:val="left" w:pos="0"/>
        </w:tabs>
        <w:spacing w:before="0" w:after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Ahmedabad, Gujarat  ·  +91 93134 84881  ·  viranshishah1811@gmail.com  ·  linkedin.com/in/viranshi-shah</w:t>
      </w:r>
    </w:p>
    <w:p>
      <w:pPr>
        <w:pBdr>
          <w:bottom w:val="single" w:color="1A56A0" w:sz="12" w:space="1"/>
        </w:pBdr>
        <w:spacing w:before="0" w:after="0"/>
      </w:pPr>
    </w:p>
    <w:p>
      <w:pPr>
        <w:spacing w:before="0" w:after="120"/>
      </w:pPr>
      <w:r>
        <w:t xml:space="preserve"/>
      </w:r>
    </w:p>
    <w:p>
      <w:pPr>
        <w:spacing w:before="120" w:after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Data &amp; Product Analyst</w:t>
      </w:r>
      <w:r>
        <w:rPr>
          <w:rFonts w:ascii="Arial" w:cs="Arial" w:eastAsia="Arial" w:hAnsi="Arial"/>
          <w:color w:val="1E1E1E"/>
          <w:sz w:val="20"/>
          <w:szCs w:val="20"/>
        </w:rPr>
        <w:t xml:space="preserve">  —  CS (AI &amp; ML) undergraduate specialising in turning behavioural and transactional data into product decisions. Built a churn model (86% accuracy, 0.89 AUC-ROC) that identified month-to-month customers in their first 90 days as the top retention risk — and translated it into a prioritised outreach recommendation, not just a model output. Confirmed the top 10% of customers drive 61% of revenue through SQL-based RFM segmentation across 50,000+ transactions. Fluent in SQL · Python · Power BI. Targeting growth, retention, or product analytics roles where rigorous analysis drives measurable decisions.</w:t>
      </w:r>
    </w:p>
    <w:p>
      <w:pPr>
        <w:pBdr>
          <w:bottom w:val="single" w:color="1A56A0" w:sz="8" w:space="1"/>
        </w:pBdr>
        <w:shd w:fill="EEF3FA" w:val="clear"/>
        <w:spacing w:before="200" w:after="80"/>
        <w:ind w:left="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CORE SKILLS</w:t>
      </w:r>
    </w:p>
    <w:p>
      <w:pPr>
        <w:spacing w:before="0" w:after="6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24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Analytics &amp; BI</w:t>
            </w:r>
          </w:p>
        </w:tc>
        <w:tc>
          <w:tcPr>
            <w:tcW w:type="dxa" w:w="862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Power BI (DAX, calculated columns, dashboards)  ·  Excel (PivotTables, VLOOKUP, conditional formatting)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Data &amp; SQL</w:t>
            </w:r>
          </w:p>
        </w:tc>
        <w:tc>
          <w:tcPr>
            <w:tcW w:type="dxa" w:w="862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SQL (JOINs, CTEs, window functions, subqueries)  ·  Python (pandas, numpy, matplotlib, seaborn, sklearn)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Tools</w:t>
            </w:r>
          </w:p>
        </w:tc>
        <w:tc>
          <w:tcPr>
            <w:tcW w:type="dxa" w:w="862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Jupyter Notebook  ·  Git &amp; GitHub  ·  VS Code  ·  Kaggle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862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E1E"/>
                <w:sz w:val="19"/>
                <w:szCs w:val="19"/>
              </w:rPr>
              <w:t xml:space="preserve">Google Data Analytics — Coursera  ·  HackerRank SQL Gold Badge  ·  LLM &amp; Scalable AI Systems Workshop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A56A0" w:sz="8" w:space="1"/>
        </w:pBdr>
        <w:shd w:fill="EEF3FA" w:val="clear"/>
        <w:spacing w:before="200" w:after="80"/>
        <w:ind w:left="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EXPERIENCE</w:t>
      </w:r>
    </w:p>
    <w:p>
      <w:pPr>
        <w:spacing w:before="0" w:after="60"/>
      </w:pPr>
      <w:r>
        <w:t xml:space="preserve"/>
      </w:r>
    </w:p>
    <w:p>
      <w:pPr>
        <w:tabs>
          <w:tab w:val="right" w:pos="10224"/>
        </w:tabs>
        <w:spacing w:before="160" w:after="4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Data &amp; Software Intern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·  Adintors Private Limited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May – Jun 2025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Ahmedabad, Gujarat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Resolved 2 critical data integrity gaps in live workflows — both fixes accepted, tested, and shipped within the 6-week sprint, preventing downstream reporting errors.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Delivered 3 production-ready software modules on first code review submission, reducing review cycle time to zero revisions.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Established a Git branching protocol adopted by the team, eliminating merge conflicts for the remainder of the internship period.</w:t>
      </w:r>
    </w:p>
    <w:p>
      <w:pPr>
        <w:spacing w:before="0" w:after="60"/>
      </w:pPr>
      <w:r>
        <w:t xml:space="preserve"/>
      </w:r>
    </w:p>
    <w:p>
      <w:pPr>
        <w:pBdr>
          <w:bottom w:val="single" w:color="1A56A0" w:sz="8" w:space="1"/>
        </w:pBdr>
        <w:shd w:fill="EEF3FA" w:val="clear"/>
        <w:spacing w:before="200" w:after="80"/>
        <w:ind w:left="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PROJECTS</w:t>
      </w:r>
    </w:p>
    <w:p>
      <w:pPr>
        <w:spacing w:before="0" w:after="60"/>
      </w:pPr>
      <w:r>
        <w:t xml:space="preserve"/>
      </w:r>
    </w:p>
    <w:p>
      <w:pPr>
        <w:tabs>
          <w:tab w:val="right" w:pos="10224"/>
        </w:tabs>
        <w:spacing w:before="160" w:after="4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Telecom Customer Churn Analysis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Python · sklearn · matplotlib / seaborn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Achieved 86% accuracy and 0.89 AUC-ROC on 7,000+ customer records — a 22-percentage-point improvement over the baseline model.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Engineered 8 features (contract type, tenure bucket, monthly charge delta, service count) that lifted model precision from 71% to 86%.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Converted model output into a concrete product recommendation: flag month-to-month customers in their first 90 days for proactive retention outreach — reducing churn risk at the highest-impact segment.</w:t>
      </w:r>
    </w:p>
    <w:p>
      <w:pPr>
        <w:spacing w:before="0" w:after="60"/>
      </w:pPr>
      <w:r>
        <w:t xml:space="preserve"/>
      </w:r>
    </w:p>
    <w:p>
      <w:pPr>
        <w:tabs>
          <w:tab w:val="right" w:pos="10224"/>
        </w:tabs>
        <w:spacing w:before="160" w:after="4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Sales &amp; E-Commerce Analytics Dashboard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Python · SQL · Power BI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Analysed 50,000+ retail transactions via 12 SQL queries (JOINs, CTEs, window functions); surfaced that the top 10% of customers generate 61% of revenue — a direct input for loyalty programme targeting.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Built a 6-tile Power BI dashboard (revenue, AOV, churn rate, top products, regional breakdown, MoM trend) that replaced weekly manual reporting entirely, saving an estimated 3–4 hours per reporting cycle.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Identified a single product category driving 23% of total revenue, providing category management with a data-backed case for inventory prioritisation.</w:t>
      </w:r>
    </w:p>
    <w:p>
      <w:pPr>
        <w:spacing w:before="0" w:after="60"/>
      </w:pPr>
      <w:r>
        <w:t xml:space="preserve"/>
      </w:r>
    </w:p>
    <w:p>
      <w:pPr>
        <w:tabs>
          <w:tab w:val="right" w:pos="10224"/>
        </w:tabs>
        <w:spacing w:before="160" w:after="40"/>
      </w:pPr>
      <w:r>
        <w:rPr>
          <w:rFonts w:ascii="Arial" w:cs="Arial" w:eastAsia="Arial" w:hAnsi="Arial"/>
          <w:b/>
          <w:bCs/>
          <w:color w:val="1E1E1E"/>
          <w:sz w:val="20"/>
          <w:szCs w:val="20"/>
        </w:rPr>
        <w:t xml:space="preserve">Gym Management System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Python · SQLite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Automated fee calculation and plan-assignment logic — eliminated 100% of manual billing errors and recovered 2+ hours of weekly staff reconciliation time.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1E1E"/>
          <w:sz w:val="20"/>
          <w:szCs w:val="20"/>
        </w:rPr>
        <w:t xml:space="preserve">Reduced staff data-entry time by ~40% by consolidating member creation, updates, and payment status into a single screen with sub-second query response on a SQLite backend.</w:t>
      </w:r>
    </w:p>
    <w:p>
      <w:pPr>
        <w:spacing w:before="0" w:after="80"/>
      </w:pPr>
      <w:r>
        <w:t xml:space="preserve"/>
      </w:r>
    </w:p>
    <w:p>
      <w:pPr>
        <w:pBdr>
          <w:bottom w:val="single" w:color="1A56A0" w:sz="8" w:space="1"/>
        </w:pBdr>
        <w:shd w:fill="EEF3FA" w:val="clear"/>
        <w:spacing w:before="200" w:after="80"/>
        <w:ind w:left="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EDUCATION</w:t>
      </w:r>
    </w:p>
    <w:p>
      <w:pPr>
        <w:spacing w:before="0" w:after="60"/>
      </w:pPr>
      <w:r>
        <w:t xml:space="preserve"/>
      </w:r>
    </w:p>
    <w:p>
      <w:pPr>
        <w:tabs>
          <w:tab w:val="right" w:pos="10224"/>
        </w:tabs>
        <w:spacing w:before="160" w:after="4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B.Tech in Computer Science Engineering (AI &amp; ML)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·  Karnavati University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	2023 – 2027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E1E1E"/>
          <w:sz w:val="19"/>
          <w:szCs w:val="19"/>
        </w:rPr>
        <w:t xml:space="preserve">CGPA: 7.9 / 10.0  ·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Relevant coursework: Machine Learning, Data Structures &amp; Algorithms, Database Systems, AI Fundamentals</w:t>
      </w:r>
    </w:p>
    <w:p>
      <w:pPr>
        <w:spacing w:before="0" w:after="40"/>
      </w:pPr>
      <w:r>
        <w:t xml:space="preserve"/>
      </w:r>
    </w:p>
    <w:sectPr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rFonts w:ascii="Arial" w:cs="Arial" w:eastAsia="Arial" w:hAnsi="Arial"/>
        <w:color w:val="1A56A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2026-03-24T15:02:50.753Z</dcterms:created>
  <dcterms:modified xsi:type="dcterms:W3CDTF">2026-03-24T15:02:50.754Z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