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C0000"/>
          <w:sz w:val="52"/>
          <w:szCs w:val="52"/>
        </w:rPr>
        <w:t xml:space="preserve">UNDER ARMOUR IN THE NEWS</w:t>
      </w:r>
    </w:p>
    <w:p>
      <w:pPr>
        <w:pBdr>
          <w:bottom w:val="single" w:color="CC0000" w:sz="8" w:space="4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Chronological Record of Major Headlines  ·  2020–2026</w:t>
      </w:r>
    </w:p>
    <w:p>
      <w:pPr>
        <w:spacing w:before="120" w:after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Compiled March 2026</w:t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Lays Off 6,000 Store and Distribution Workers as COVID-19 Closes Majority of Retail Locations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Sells MyFitnessPal App to Francisco Partners for $345M — Far Below Its $475M Purchase Price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Posts 41% Revenue Decline in Q2 as Pandemic Devastates Apparel Sales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Launches $70–$90M Restructuring Plan to Rebalance Cost Base Amid COVID Disruption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Full-Year 2020 Revenue Drops 3% to $4.47B; DTC Up 11%, Wholesale Down 12%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Board Members and EVPs Take 25% Pay Cut as COVID Strains Balance Sheet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Pays $9 Million to Settle SEC Charges Over Revenue Shifting Practices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Q3 Revenue Grows 8% to $1.5B; CEO Frisk Declares 'Majority of Transformational Work Is Done'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Raises Full-Year 2021 Outlook as Post-Pandemic Demand Rebounds Strongly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Net Income Surges 191% Year-Over-Year in Q3 2021 to $113 Million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Direct-to-Consumer Revenue Hits $604M in Q3, Up 12%; E-Commerce Leads Growth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Restructuring Plan Costs Expected to Come in Below $575M Ceiling, CEO Says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CEO Patrik Frisk Abruptly Steps Down After Just Two Years; COO Colin Browne Named Interim CEO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Stock Plunges 23% After Surprise Q1 Loss and Weak Sales Guidance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Warns China COVID Lockdowns and Supply Chain Issues Will Weigh on Fiscal 2023 Outlook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Loses UCLA Sponsorship Deal to Nike in Six-Year Agreement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Board Searches for Fourth CEO in Under Four Years as Frisk Exits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Full-Year Revenue Declines 1% in North America Despite International Gains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Stephanie Linnartz Named Under Armour CEO — First Outside Hire, Former President of Marriott International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Launches 'Protect This House 3' Strategy to Rebuild Brand Identity and Boost Women's Sales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Hires John Varvatos as Head of Design to Elevate Product Aesthetics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Introduces UA Rewards Loyalty Program as Part of Linnartz's Consumer Connectivity Push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Q3 Revenue Falls 6% to $1.5B; North America Declines 12% Amid Weak Wholesale Orders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Revamps C-Suite: Two-Thirds of Direct Reports New Under Linnartz's Leadership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Kevin Plank Ousts CEO Stephanie Linnartz After Just 13 Months — Becomes Company's Fourth CEO in Four Years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 Street Punishes Under Armour: Stock Drops 12% as Analysts Downgrade on Plank's Return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Announces $70–$90M Restructuring Plan and Unspecified Layoffs on Kevin Plank's First Earnings Call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Plans to Cut SKU Count by 25% to Simplify Product Line and Improve Margins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Full-Year Revenue Falls to $5.7B, Down 3%; North America Declines 5%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Mohamed El-Erian Named Non-Executive Board Chair as Plank Returns to Day-to-Day CEO Duties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Reports Q1 FY2026 Revenue Down 4% to $1.1B; EMEA Up 10%, Asia-Pacific Down 10%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Q2 FY2026 Revenue Down 5% to $1.3B; CEO Plank Cites 'Signs of Brand Momentum' in North America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Launches 'We Are Football' Campaign; Brand Awareness Among 18–34-Year-Olds Rises to Over 80%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Fiscal 2025 Restructuring Plan Hits $147M in Total Charges; $45M in Additional Savings Targeted for FY2026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Q3 FY2026 Revenue Drops 5% to $1.33B; North America Falls 10%, EMEA Grows 6%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Books $431M Net Loss in Q3 FY2026, Including $247M Non-Cash Deferred Tax Valuation Allowance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CEO Plank: 'December Quarter Marked the Most Challenging Phase of Our Business Reset'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Retail Partners Writing Fall 2026 Orders with 'Replenishment Confidence' — Plank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Updates FY2026 Outlook: Revenue to Decline 4–5%; Adjusted Profit Raised Despite GAAP Loss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Adjusted Operating Income Beats Expectations at $26M in Q3 FY2026 Despite $150M GAAP Loss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CEO Plank: 'Most Disruptive Phase of the Reset Is Behind Us' — Targeting Revenue Stabilization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Armour Targets $55M in Restructuring Savings for FY2026 as Cost-Cutting Plan Nears Completion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before="160"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Analysts Ask: Can Under Armour Engineer a Comeback Under Kevin Plank — or Is the Brand Too Far Behind?</w:t>
      </w:r>
    </w:p>
    <w:p>
      <w:pPr>
        <w:spacing w:before="0" w:after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694902F2D31F4C995AC4B23ECF0A1E" ma:contentTypeVersion="3" ma:contentTypeDescription="Create a new document." ma:contentTypeScope="" ma:versionID="a26beb5782341879b14a3a517f89a6f6">
  <xsd:schema xmlns:xsd="http://www.w3.org/2001/XMLSchema" xmlns:xs="http://www.w3.org/2001/XMLSchema" xmlns:p="http://schemas.microsoft.com/office/2006/metadata/properties" xmlns:ns2="0db7078c-a2c6-40b0-b749-f3d4459112d1" targetNamespace="http://schemas.microsoft.com/office/2006/metadata/properties" ma:root="true" ma:fieldsID="880b5ab57711e3bab1951258a2570363" ns2:_="">
    <xsd:import namespace="0db7078c-a2c6-40b0-b749-f3d4459112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b7078c-a2c6-40b0-b749-f3d4459112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049732-75E5-41AD-983D-36E23CFA5D35}"/>
</file>

<file path=customXml/itemProps2.xml><?xml version="1.0" encoding="utf-8"?>
<ds:datastoreItem xmlns:ds="http://schemas.openxmlformats.org/officeDocument/2006/customXml" ds:itemID="{22E9A91F-68AF-4175-84CB-216C47163365}"/>
</file>

<file path=customXml/itemProps3.xml><?xml version="1.0" encoding="utf-8"?>
<ds:datastoreItem xmlns:ds="http://schemas.openxmlformats.org/officeDocument/2006/customXml" ds:itemID="{A30583B9-BB50-4C53-BB0F-04B3F4E7257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2026-03-21T03:02:49Z</dcterms:created>
  <dcterms:modified xsi:type="dcterms:W3CDTF">2026-03-21T03:02:49Z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0x010100CF694902F2D31F4C995AC4B23ECF0A1E</vt:lpwstr>
  </property>
</Properties>
</file>