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99A3D"/>
          <w:sz w:val="20"/>
          <w:szCs w:val="20"/>
        </w:rPr>
        <w:t xml:space="preserve">DEVSHOP RETAIL OS™</w:t>
      </w:r>
    </w:p>
    <w:p>
      <w:pPr>
        <w:pStyle w:val="Title"/>
        <w:spacing w:after="60"/>
      </w:pPr>
      <w:r>
        <w:rPr>
          <w:b/>
          <w:bCs/>
          <w:color w:val="1A1410"/>
          <w:sz w:val="40"/>
          <w:szCs w:val="40"/>
        </w:rPr>
        <w:t xml:space="preserve">Retail OS Partnership Terms</w:t>
      </w:r>
    </w:p>
    <w:p>
      <w:pPr>
        <w:pBdr>
          <w:bottom w:val="single" w:color="C99A3D" w:sz="6" w:space="8"/>
        </w:pBdr>
        <w:spacing w:after="260"/>
      </w:pPr>
      <w:r>
        <w:rPr>
          <w:i/>
          <w:iCs/>
          <w:color w:val="6B6259"/>
          <w:sz w:val="20"/>
          <w:szCs w:val="20"/>
        </w:rPr>
        <w:t xml:space="preserve">Summary of commercial terms</w:t>
      </w:r>
    </w:p>
    <w:p>
      <w:pPr>
        <w:spacing w:after="160"/>
      </w:pPr>
      <w:r>
        <w:rPr>
          <w:sz w:val="20"/>
          <w:szCs w:val="20"/>
        </w:rPr>
        <w:t xml:space="preserve">Agreed between Virat Mohan, operating as </w:t>
      </w:r>
      <w:r>
        <w:rPr>
          <w:b/>
          <w:bCs/>
          <w:sz w:val="20"/>
          <w:szCs w:val="20"/>
        </w:rPr>
        <w:t xml:space="preserve">DevShop Retail OS</w:t>
      </w:r>
      <w:r>
        <w:rPr>
          <w:sz w:val="20"/>
          <w:szCs w:val="20"/>
        </w:rPr>
        <w:t xml:space="preserve"> ("DevShop"), and </w:t>
      </w:r>
      <w:r>
        <w:rPr>
          <w:b/>
          <w:bCs/>
          <w:color w:val="D9714B"/>
          <w:sz w:val="21"/>
          <w:szCs w:val="21"/>
        </w:rPr>
        <w:t xml:space="preserve">[COMPANY NAME]</w:t>
      </w:r>
      <w:r>
        <w:rPr>
          <w:sz w:val="20"/>
          <w:szCs w:val="20"/>
        </w:rPr>
        <w:t xml:space="preserve"> ("the Brand") on </w:t>
      </w:r>
      <w:r>
        <w:rPr>
          <w:b/>
          <w:bCs/>
          <w:color w:val="D9714B"/>
          <w:sz w:val="21"/>
          <w:szCs w:val="21"/>
        </w:rPr>
        <w:t xml:space="preserve">[DATE]</w:t>
      </w:r>
      <w:r>
        <w:rPr>
          <w:sz w:val="20"/>
          <w:szCs w:val="20"/>
        </w:rPr>
        <w:t xml:space="preserv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DDD5C8" w:sz="2"/>
              <w:left w:val="none" w:color="FFFFFF" w:sz="0"/>
              <w:bottom w:val="single" w:color="DDD5C8" w:sz="2"/>
              <w:right w:val="none" w:color="FFFFFF" w:sz="0"/>
            </w:tcBorders>
            <w:shd w:fill="F4EEE3" w:val="clear"/>
            <w:tcMar>
              <w:top w:type="dxa" w:w="90"/>
              <w:left w:type="dxa" w:w="120"/>
              <w:bottom w:type="dxa" w:w="90"/>
              <w:right w:type="dxa" w:w="120"/>
            </w:tcMar>
          </w:tcPr>
          <w:p>
            <w:r>
              <w:rPr>
                <w:b/>
                <w:bCs/>
                <w:color w:val="1A1410"/>
                <w:sz w:val="19"/>
                <w:szCs w:val="19"/>
              </w:rPr>
              <w:t xml:space="preserve">Commercial lane (tick one)</w:t>
            </w:r>
          </w:p>
        </w:tc>
        <w:tc>
          <w:tcPr>
            <w:tcW w:type="dxa" w:w="6800"/>
            <w:tcBorders>
              <w:top w:val="single" w:color="DDD5C8" w:sz="2"/>
              <w:left w:val="none" w:color="FFFFFF" w:sz="0"/>
              <w:bottom w:val="single" w:color="DDD5C8" w:sz="2"/>
              <w:right w:val="none" w:color="FFFFFF" w:sz="0"/>
            </w:tcBorders>
            <w:shd w:fill="F4EEE3" w:val="clear"/>
            <w:tcMar>
              <w:top w:type="dxa" w:w="90"/>
              <w:left w:type="dxa" w:w="120"/>
              <w:bottom w:type="dxa" w:w="90"/>
              <w:right w:type="dxa" w:w="120"/>
            </w:tcMar>
          </w:tcPr>
          <w:p>
            <w:r>
              <w:rPr>
                <w:sz w:val="19"/>
                <w:szCs w:val="19"/>
              </w:rPr>
              <w:t xml:space="preserve">☐ Full Operate — DevShop runs the store end to end and takes </w:t>
            </w:r>
            <w:r>
              <w:rPr>
                <w:b/>
                <w:bCs/>
                <w:color w:val="D9714B"/>
                <w:sz w:val="21"/>
                <w:szCs w:val="21"/>
              </w:rPr>
              <w:t xml:space="preserve">[____]</w:t>
            </w:r>
            <w:r>
              <w:rPr>
                <w:sz w:val="19"/>
                <w:szCs w:val="19"/>
              </w:rPr>
              <w:t xml:space="preserve">% of the profit pool (range 25–50%). Brand keeps 100% of its IP.</w:t>
            </w:r>
          </w:p>
        </w:tc>
      </w:tr>
      <w:tr>
        <w:tc>
          <w:tcPr>
            <w:tcW w:type="dxa" w:w="2600"/>
            <w:tcBorders>
              <w:top w:val="single" w:color="DDD5C8" w:sz="2"/>
              <w:left w:val="none" w:color="FFFFFF" w:sz="0"/>
              <w:bottom w:val="single" w:color="DDD5C8" w:sz="2"/>
              <w:right w:val="none" w:color="FFFFFF" w:sz="0"/>
            </w:tcBorders>
            <w:shd w:fill="F4EEE3" w:val="clear"/>
            <w:tcMar>
              <w:top w:type="dxa" w:w="90"/>
              <w:left w:type="dxa" w:w="120"/>
              <w:bottom w:type="dxa" w:w="90"/>
              <w:right w:type="dxa" w:w="120"/>
            </w:tcMar>
          </w:tcPr>
          <w:p>
            <w:r>
              <w:rPr>
                <w:b/>
                <w:bCs/>
                <w:color w:val="1A1410"/>
                <w:sz w:val="19"/>
                <w:szCs w:val="19"/>
              </w:rPr>
              <w:t xml:space="preserve"/>
            </w:r>
          </w:p>
        </w:tc>
        <w:tc>
          <w:tcPr>
            <w:tcW w:type="dxa" w:w="6800"/>
            <w:tcBorders>
              <w:top w:val="single" w:color="DDD5C8" w:sz="2"/>
              <w:left w:val="none" w:color="FFFFFF" w:sz="0"/>
              <w:bottom w:val="single" w:color="DDD5C8" w:sz="2"/>
              <w:right w:val="none" w:color="FFFFFF" w:sz="0"/>
            </w:tcBorders>
            <w:shd w:fill="F4EEE3" w:val="clear"/>
            <w:tcMar>
              <w:top w:type="dxa" w:w="90"/>
              <w:left w:type="dxa" w:w="120"/>
              <w:bottom w:type="dxa" w:w="90"/>
              <w:right w:type="dxa" w:w="120"/>
            </w:tcMar>
          </w:tcPr>
          <w:p>
            <w:r>
              <w:rPr>
                <w:sz w:val="19"/>
                <w:szCs w:val="19"/>
              </w:rPr>
              <w:t xml:space="preserve">☐ AI-Enabler™ / Co-Founder — DevShop builds the brand with you and holds 50% of the brand IP. No profit-pool split.</w:t>
            </w:r>
          </w:p>
        </w:tc>
      </w:tr>
      <w:tr>
        <w:tc>
          <w:tcPr>
            <w:tcW w:type="dxa" w:w="2600"/>
            <w:tcBorders>
              <w:top w:val="single" w:color="DDD5C8" w:sz="2"/>
              <w:left w:val="none" w:color="FFFFFF" w:sz="0"/>
              <w:bottom w:val="single" w:color="DDD5C8" w:sz="2"/>
              <w:right w:val="none" w:color="FFFFFF" w:sz="0"/>
            </w:tcBorders>
            <w:shd w:fill="F4EEE3" w:val="clear"/>
            <w:tcMar>
              <w:top w:type="dxa" w:w="90"/>
              <w:left w:type="dxa" w:w="120"/>
              <w:bottom w:type="dxa" w:w="90"/>
              <w:right w:type="dxa" w:w="120"/>
            </w:tcMar>
          </w:tcPr>
          <w:p>
            <w:r>
              <w:rPr>
                <w:b/>
                <w:bCs/>
                <w:color w:val="1A1410"/>
                <w:sz w:val="19"/>
                <w:szCs w:val="19"/>
              </w:rPr>
              <w:t xml:space="preserve"/>
            </w:r>
          </w:p>
        </w:tc>
        <w:tc>
          <w:tcPr>
            <w:tcW w:type="dxa" w:w="6800"/>
            <w:tcBorders>
              <w:top w:val="single" w:color="DDD5C8" w:sz="2"/>
              <w:left w:val="none" w:color="FFFFFF" w:sz="0"/>
              <w:bottom w:val="single" w:color="DDD5C8" w:sz="2"/>
              <w:right w:val="none" w:color="FFFFFF" w:sz="0"/>
            </w:tcBorders>
            <w:shd w:fill="F4EEE3" w:val="clear"/>
            <w:tcMar>
              <w:top w:type="dxa" w:w="90"/>
              <w:left w:type="dxa" w:w="120"/>
              <w:bottom w:type="dxa" w:w="90"/>
              <w:right w:type="dxa" w:w="120"/>
            </w:tcMar>
          </w:tcPr>
          <w:p>
            <w:r>
              <w:rPr>
                <w:sz w:val="19"/>
                <w:szCs w:val="19"/>
              </w:rPr>
              <w:t xml:space="preserve">☐ Advisory / Connected Backend — read-only access to your Shopify, Meta and Google; analysis and recommendations; your team operates. Retainer ₹</w:t>
            </w:r>
            <w:r>
              <w:rPr>
                <w:b/>
                <w:bCs/>
                <w:color w:val="D9714B"/>
                <w:sz w:val="21"/>
                <w:szCs w:val="21"/>
              </w:rPr>
              <w:t xml:space="preserve">[____]</w:t>
            </w:r>
            <w:r>
              <w:rPr>
                <w:sz w:val="19"/>
                <w:szCs w:val="19"/>
              </w:rPr>
              <w:t xml:space="preserve">/month.</w:t>
            </w:r>
          </w:p>
        </w:tc>
      </w:tr>
    </w:tbl>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DDD5C8" w:sz="2"/>
              <w:left w:val="none" w:color="FFFFFF" w:sz="0"/>
              <w:bottom w:val="single" w:color="DDD5C8" w:sz="2"/>
              <w:right w:val="none" w:color="FFFFFF" w:sz="0"/>
            </w:tcBorders>
            <w:tcMar>
              <w:top w:type="dxa" w:w="90"/>
              <w:left w:type="dxa" w:w="120"/>
              <w:bottom w:type="dxa" w:w="90"/>
              <w:right w:type="dxa" w:w="120"/>
            </w:tcMar>
          </w:tcPr>
          <w:p>
            <w:r>
              <w:rPr>
                <w:b/>
                <w:bCs/>
                <w:color w:val="1A1410"/>
                <w:sz w:val="19"/>
                <w:szCs w:val="19"/>
              </w:rPr>
              <w:t xml:space="preserve">Profit pool</w:t>
            </w:r>
          </w:p>
        </w:tc>
        <w:tc>
          <w:tcPr>
            <w:tcW w:type="dxa" w:w="6800"/>
            <w:tcBorders>
              <w:top w:val="single" w:color="DDD5C8" w:sz="2"/>
              <w:left w:val="none" w:color="FFFFFF" w:sz="0"/>
              <w:bottom w:val="single" w:color="DDD5C8" w:sz="2"/>
              <w:right w:val="none" w:color="FFFFFF" w:sz="0"/>
            </w:tcBorders>
            <w:tcMar>
              <w:top w:type="dxa" w:w="90"/>
              <w:left w:type="dxa" w:w="120"/>
              <w:bottom w:type="dxa" w:w="90"/>
              <w:right w:type="dxa" w:w="120"/>
            </w:tcMar>
          </w:tcPr>
          <w:p>
            <w:r>
              <w:rPr>
                <w:sz w:val="19"/>
                <w:szCs w:val="19"/>
              </w:rPr>
              <w:t xml:space="preserve">Revenue less product and packaging, shipping, payment and platform fees, marketing, and tech costs.</w:t>
            </w:r>
          </w:p>
        </w:tc>
      </w:tr>
      <w:tr>
        <w:tc>
          <w:tcPr>
            <w:tcW w:type="dxa" w:w="2600"/>
            <w:tcBorders>
              <w:top w:val="single" w:color="DDD5C8" w:sz="2"/>
              <w:left w:val="none" w:color="FFFFFF" w:sz="0"/>
              <w:bottom w:val="single" w:color="DDD5C8" w:sz="2"/>
              <w:right w:val="none" w:color="FFFFFF" w:sz="0"/>
            </w:tcBorders>
            <w:tcMar>
              <w:top w:type="dxa" w:w="90"/>
              <w:left w:type="dxa" w:w="120"/>
              <w:bottom w:type="dxa" w:w="90"/>
              <w:right w:type="dxa" w:w="120"/>
            </w:tcMar>
          </w:tcPr>
          <w:p>
            <w:r>
              <w:rPr>
                <w:b/>
                <w:bCs/>
                <w:color w:val="1A1410"/>
                <w:sz w:val="19"/>
                <w:szCs w:val="19"/>
              </w:rPr>
              <w:t xml:space="preserve">Payments &amp; settlement</w:t>
            </w:r>
          </w:p>
        </w:tc>
        <w:tc>
          <w:tcPr>
            <w:tcW w:type="dxa" w:w="6800"/>
            <w:tcBorders>
              <w:top w:val="single" w:color="DDD5C8" w:sz="2"/>
              <w:left w:val="none" w:color="FFFFFF" w:sz="0"/>
              <w:bottom w:val="single" w:color="DDD5C8" w:sz="2"/>
              <w:right w:val="none" w:color="FFFFFF" w:sz="0"/>
            </w:tcBorders>
            <w:tcMar>
              <w:top w:type="dxa" w:w="90"/>
              <w:left w:type="dxa" w:w="120"/>
              <w:bottom w:type="dxa" w:w="90"/>
              <w:right w:type="dxa" w:w="120"/>
            </w:tcMar>
          </w:tcPr>
          <w:p>
            <w:r>
              <w:rPr>
                <w:sz w:val="19"/>
                <w:szCs w:val="19"/>
              </w:rPr>
              <w:t xml:space="preserve">Every customer payment lands in DevShop's account first. Each Monday–Sunday week is settled the following Monday by 1 PM IST with an itemised statement. Full order and settlement history visible any time.</w:t>
            </w:r>
          </w:p>
        </w:tc>
      </w:tr>
      <w:tr>
        <w:tc>
          <w:tcPr>
            <w:tcW w:type="dxa" w:w="2600"/>
            <w:tcBorders>
              <w:top w:val="single" w:color="DDD5C8" w:sz="2"/>
              <w:left w:val="none" w:color="FFFFFF" w:sz="0"/>
              <w:bottom w:val="single" w:color="DDD5C8" w:sz="2"/>
              <w:right w:val="none" w:color="FFFFFF" w:sz="0"/>
            </w:tcBorders>
            <w:tcMar>
              <w:top w:type="dxa" w:w="90"/>
              <w:left w:type="dxa" w:w="120"/>
              <w:bottom w:type="dxa" w:w="90"/>
              <w:right w:type="dxa" w:w="120"/>
            </w:tcMar>
          </w:tcPr>
          <w:p>
            <w:r>
              <w:rPr>
                <w:b/>
                <w:bCs/>
                <w:color w:val="1A1410"/>
                <w:sz w:val="19"/>
                <w:szCs w:val="19"/>
              </w:rPr>
              <w:t xml:space="preserve">Deposit</w:t>
            </w:r>
          </w:p>
        </w:tc>
        <w:tc>
          <w:tcPr>
            <w:tcW w:type="dxa" w:w="6800"/>
            <w:tcBorders>
              <w:top w:val="single" w:color="DDD5C8" w:sz="2"/>
              <w:left w:val="none" w:color="FFFFFF" w:sz="0"/>
              <w:bottom w:val="single" w:color="DDD5C8" w:sz="2"/>
              <w:right w:val="none" w:color="FFFFFF" w:sz="0"/>
            </w:tcBorders>
            <w:tcMar>
              <w:top w:type="dxa" w:w="90"/>
              <w:left w:type="dxa" w:w="120"/>
              <w:bottom w:type="dxa" w:w="90"/>
              <w:right w:type="dxa" w:w="120"/>
            </w:tcMar>
          </w:tcPr>
          <w:p>
            <w:r>
              <w:rPr>
                <w:sz w:val="19"/>
                <w:szCs w:val="19"/>
              </w:rPr>
              <w:t xml:space="preserve">₹5,000 on signing, fully adjusted against actual onboarding tech costs (hosting, database, WhatsApp, email, domain, AI). DevShop keeps none of it.</w:t>
            </w:r>
          </w:p>
        </w:tc>
      </w:tr>
      <w:tr>
        <w:tc>
          <w:tcPr>
            <w:tcW w:type="dxa" w:w="2600"/>
            <w:tcBorders>
              <w:top w:val="single" w:color="DDD5C8" w:sz="2"/>
              <w:left w:val="none" w:color="FFFFFF" w:sz="0"/>
              <w:bottom w:val="single" w:color="DDD5C8" w:sz="2"/>
              <w:right w:val="none" w:color="FFFFFF" w:sz="0"/>
            </w:tcBorders>
            <w:tcMar>
              <w:top w:type="dxa" w:w="90"/>
              <w:left w:type="dxa" w:w="120"/>
              <w:bottom w:type="dxa" w:w="90"/>
              <w:right w:type="dxa" w:w="120"/>
            </w:tcMar>
          </w:tcPr>
          <w:p>
            <w:r>
              <w:rPr>
                <w:b/>
                <w:bCs/>
                <w:color w:val="1A1410"/>
                <w:sz w:val="19"/>
                <w:szCs w:val="19"/>
              </w:rPr>
              <w:t xml:space="preserve">Build time</w:t>
            </w:r>
          </w:p>
        </w:tc>
        <w:tc>
          <w:tcPr>
            <w:tcW w:type="dxa" w:w="6800"/>
            <w:tcBorders>
              <w:top w:val="single" w:color="DDD5C8" w:sz="2"/>
              <w:left w:val="none" w:color="FFFFFF" w:sz="0"/>
              <w:bottom w:val="single" w:color="DDD5C8" w:sz="2"/>
              <w:right w:val="none" w:color="FFFFFF" w:sz="0"/>
            </w:tcBorders>
            <w:tcMar>
              <w:top w:type="dxa" w:w="90"/>
              <w:left w:type="dxa" w:w="120"/>
              <w:bottom w:type="dxa" w:w="90"/>
              <w:right w:type="dxa" w:w="120"/>
            </w:tcMar>
          </w:tcPr>
          <w:p>
            <w:r>
              <w:rPr>
                <w:sz w:val="19"/>
                <w:szCs w:val="19"/>
              </w:rPr>
              <w:t xml:space="preserve">Live within 7 days of the deposit being confirmed, subject to setup answers and third-party approvals.</w:t>
            </w:r>
          </w:p>
        </w:tc>
      </w:tr>
      <w:tr>
        <w:tc>
          <w:tcPr>
            <w:tcW w:type="dxa" w:w="2600"/>
            <w:tcBorders>
              <w:top w:val="single" w:color="DDD5C8" w:sz="2"/>
              <w:left w:val="none" w:color="FFFFFF" w:sz="0"/>
              <w:bottom w:val="single" w:color="DDD5C8" w:sz="2"/>
              <w:right w:val="none" w:color="FFFFFF" w:sz="0"/>
            </w:tcBorders>
            <w:tcMar>
              <w:top w:type="dxa" w:w="90"/>
              <w:left w:type="dxa" w:w="120"/>
              <w:bottom w:type="dxa" w:w="90"/>
              <w:right w:type="dxa" w:w="120"/>
            </w:tcMar>
          </w:tcPr>
          <w:p>
            <w:r>
              <w:rPr>
                <w:b/>
                <w:bCs/>
                <w:color w:val="1A1410"/>
                <w:sz w:val="19"/>
                <w:szCs w:val="19"/>
              </w:rPr>
              <w:t xml:space="preserve">DevShop handles</w:t>
            </w:r>
          </w:p>
        </w:tc>
        <w:tc>
          <w:tcPr>
            <w:tcW w:type="dxa" w:w="6800"/>
            <w:tcBorders>
              <w:top w:val="single" w:color="DDD5C8" w:sz="2"/>
              <w:left w:val="none" w:color="FFFFFF" w:sz="0"/>
              <w:bottom w:val="single" w:color="DDD5C8" w:sz="2"/>
              <w:right w:val="none" w:color="FFFFFF" w:sz="0"/>
            </w:tcBorders>
            <w:tcMar>
              <w:top w:type="dxa" w:w="90"/>
              <w:left w:type="dxa" w:w="120"/>
              <w:bottom w:type="dxa" w:w="90"/>
              <w:right w:type="dxa" w:w="120"/>
            </w:tcMar>
          </w:tcPr>
          <w:p>
            <w:r>
              <w:rPr>
                <w:sz w:val="19"/>
                <w:szCs w:val="19"/>
              </w:rPr>
              <w:t xml:space="preserve">Storefront and tech; payments, shipping, Meta, WhatsApp, Google; pricing (fixed jointly); marketing; weekly settlement and reporting.</w:t>
            </w:r>
          </w:p>
        </w:tc>
      </w:tr>
      <w:tr>
        <w:tc>
          <w:tcPr>
            <w:tcW w:type="dxa" w:w="2600"/>
            <w:tcBorders>
              <w:top w:val="single" w:color="DDD5C8" w:sz="2"/>
              <w:left w:val="none" w:color="FFFFFF" w:sz="0"/>
              <w:bottom w:val="single" w:color="DDD5C8" w:sz="2"/>
              <w:right w:val="none" w:color="FFFFFF" w:sz="0"/>
            </w:tcBorders>
            <w:tcMar>
              <w:top w:type="dxa" w:w="90"/>
              <w:left w:type="dxa" w:w="120"/>
              <w:bottom w:type="dxa" w:w="90"/>
              <w:right w:type="dxa" w:w="120"/>
            </w:tcMar>
          </w:tcPr>
          <w:p>
            <w:r>
              <w:rPr>
                <w:b/>
                <w:bCs/>
                <w:color w:val="1A1410"/>
                <w:sz w:val="19"/>
                <w:szCs w:val="19"/>
              </w:rPr>
              <w:t xml:space="preserve">Brand handles</w:t>
            </w:r>
          </w:p>
        </w:tc>
        <w:tc>
          <w:tcPr>
            <w:tcW w:type="dxa" w:w="6800"/>
            <w:tcBorders>
              <w:top w:val="single" w:color="DDD5C8" w:sz="2"/>
              <w:left w:val="none" w:color="FFFFFF" w:sz="0"/>
              <w:bottom w:val="single" w:color="DDD5C8" w:sz="2"/>
              <w:right w:val="none" w:color="FFFFFF" w:sz="0"/>
            </w:tcBorders>
            <w:tcMar>
              <w:top w:type="dxa" w:w="90"/>
              <w:left w:type="dxa" w:w="120"/>
              <w:bottom w:type="dxa" w:w="90"/>
              <w:right w:type="dxa" w:w="120"/>
            </w:tcMar>
          </w:tcPr>
          <w:p>
            <w:r>
              <w:rPr>
                <w:sz w:val="19"/>
                <w:szCs w:val="19"/>
              </w:rPr>
              <w:t xml:space="preserve">Sourcing, manufacturing, inventory; packing and courier handover; product photos unless agreed otherwise.</w:t>
            </w:r>
          </w:p>
        </w:tc>
      </w:tr>
      <w:tr>
        <w:tc>
          <w:tcPr>
            <w:tcW w:type="dxa" w:w="2600"/>
            <w:tcBorders>
              <w:top w:val="single" w:color="DDD5C8" w:sz="2"/>
              <w:left w:val="none" w:color="FFFFFF" w:sz="0"/>
              <w:bottom w:val="single" w:color="DDD5C8" w:sz="2"/>
              <w:right w:val="none" w:color="FFFFFF" w:sz="0"/>
            </w:tcBorders>
            <w:tcMar>
              <w:top w:type="dxa" w:w="90"/>
              <w:left w:type="dxa" w:w="120"/>
              <w:bottom w:type="dxa" w:w="90"/>
              <w:right w:type="dxa" w:w="120"/>
            </w:tcMar>
          </w:tcPr>
          <w:p>
            <w:r>
              <w:rPr>
                <w:b/>
                <w:bCs/>
                <w:color w:val="1A1410"/>
                <w:sz w:val="19"/>
                <w:szCs w:val="19"/>
              </w:rPr>
              <w:t xml:space="preserve">Decided together</w:t>
            </w:r>
          </w:p>
        </w:tc>
        <w:tc>
          <w:tcPr>
            <w:tcW w:type="dxa" w:w="6800"/>
            <w:tcBorders>
              <w:top w:val="single" w:color="DDD5C8" w:sz="2"/>
              <w:left w:val="none" w:color="FFFFFF" w:sz="0"/>
              <w:bottom w:val="single" w:color="DDD5C8" w:sz="2"/>
              <w:right w:val="none" w:color="FFFFFF" w:sz="0"/>
            </w:tcBorders>
            <w:tcMar>
              <w:top w:type="dxa" w:w="90"/>
              <w:left w:type="dxa" w:w="120"/>
              <w:bottom w:type="dxa" w:w="90"/>
              <w:right w:type="dxa" w:w="120"/>
            </w:tcMar>
          </w:tcPr>
          <w:p>
            <w:r>
              <w:rPr>
                <w:sz w:val="19"/>
                <w:szCs w:val="19"/>
              </w:rPr>
              <w:t xml:space="preserve">Discount and promotion rules; any freelancers hired and their cost.</w:t>
            </w:r>
          </w:p>
        </w:tc>
      </w:tr>
      <w:tr>
        <w:tc>
          <w:tcPr>
            <w:tcW w:type="dxa" w:w="2600"/>
            <w:tcBorders>
              <w:top w:val="single" w:color="DDD5C8" w:sz="2"/>
              <w:left w:val="none" w:color="FFFFFF" w:sz="0"/>
              <w:bottom w:val="single" w:color="DDD5C8" w:sz="2"/>
              <w:right w:val="none" w:color="FFFFFF" w:sz="0"/>
            </w:tcBorders>
            <w:tcMar>
              <w:top w:type="dxa" w:w="90"/>
              <w:left w:type="dxa" w:w="120"/>
              <w:bottom w:type="dxa" w:w="90"/>
              <w:right w:type="dxa" w:w="120"/>
            </w:tcMar>
          </w:tcPr>
          <w:p>
            <w:r>
              <w:rPr>
                <w:b/>
                <w:bCs/>
                <w:color w:val="1A1410"/>
                <w:sz w:val="19"/>
                <w:szCs w:val="19"/>
              </w:rPr>
              <w:t xml:space="preserve">Term</w:t>
            </w:r>
          </w:p>
        </w:tc>
        <w:tc>
          <w:tcPr>
            <w:tcW w:type="dxa" w:w="6800"/>
            <w:tcBorders>
              <w:top w:val="single" w:color="DDD5C8" w:sz="2"/>
              <w:left w:val="none" w:color="FFFFFF" w:sz="0"/>
              <w:bottom w:val="single" w:color="DDD5C8" w:sz="2"/>
              <w:right w:val="none" w:color="FFFFFF" w:sz="0"/>
            </w:tcBorders>
            <w:tcMar>
              <w:top w:type="dxa" w:w="90"/>
              <w:left w:type="dxa" w:w="120"/>
              <w:bottom w:type="dxa" w:w="90"/>
              <w:right w:type="dxa" w:w="120"/>
            </w:tcMar>
          </w:tcPr>
          <w:p>
            <w:r>
              <w:rPr>
                <w:sz w:val="19"/>
                <w:szCs w:val="19"/>
              </w:rPr>
              <w:t xml:space="preserve">12 months from go-live; renewable after year one on mutually agreed terms.</w:t>
            </w:r>
          </w:p>
        </w:tc>
      </w:tr>
      <w:tr>
        <w:tc>
          <w:tcPr>
            <w:tcW w:type="dxa" w:w="2600"/>
            <w:tcBorders>
              <w:top w:val="single" w:color="DDD5C8" w:sz="2"/>
              <w:left w:val="none" w:color="FFFFFF" w:sz="0"/>
              <w:bottom w:val="single" w:color="DDD5C8" w:sz="2"/>
              <w:right w:val="none" w:color="FFFFFF" w:sz="0"/>
            </w:tcBorders>
            <w:tcMar>
              <w:top w:type="dxa" w:w="90"/>
              <w:left w:type="dxa" w:w="120"/>
              <w:bottom w:type="dxa" w:w="90"/>
              <w:right w:type="dxa" w:w="120"/>
            </w:tcMar>
          </w:tcPr>
          <w:p>
            <w:r>
              <w:rPr>
                <w:b/>
                <w:bCs/>
                <w:color w:val="1A1410"/>
                <w:sz w:val="19"/>
                <w:szCs w:val="19"/>
              </w:rPr>
              <w:t xml:space="preserve">Early exit</w:t>
            </w:r>
          </w:p>
        </w:tc>
        <w:tc>
          <w:tcPr>
            <w:tcW w:type="dxa" w:w="6800"/>
            <w:tcBorders>
              <w:top w:val="single" w:color="DDD5C8" w:sz="2"/>
              <w:left w:val="none" w:color="FFFFFF" w:sz="0"/>
              <w:bottom w:val="single" w:color="DDD5C8" w:sz="2"/>
              <w:right w:val="none" w:color="FFFFFF" w:sz="0"/>
            </w:tcBorders>
            <w:tcMar>
              <w:top w:type="dxa" w:w="90"/>
              <w:left w:type="dxa" w:w="120"/>
              <w:bottom w:type="dxa" w:w="90"/>
              <w:right w:type="dxa" w:w="120"/>
            </w:tcMar>
          </w:tcPr>
          <w:p>
            <w:r>
              <w:rPr>
                <w:sz w:val="19"/>
                <w:szCs w:val="19"/>
              </w:rPr>
              <w:t xml:space="preserve">Either side, 30 days' written notice. Break fee: 5% of all revenue generated from start date to termination date, payable within 14 days.</w:t>
            </w:r>
          </w:p>
        </w:tc>
      </w:tr>
      <w:tr>
        <w:tc>
          <w:tcPr>
            <w:tcW w:type="dxa" w:w="2600"/>
            <w:tcBorders>
              <w:top w:val="single" w:color="DDD5C8" w:sz="2"/>
              <w:left w:val="none" w:color="FFFFFF" w:sz="0"/>
              <w:bottom w:val="single" w:color="DDD5C8" w:sz="2"/>
              <w:right w:val="none" w:color="FFFFFF" w:sz="0"/>
            </w:tcBorders>
            <w:tcMar>
              <w:top w:type="dxa" w:w="90"/>
              <w:left w:type="dxa" w:w="120"/>
              <w:bottom w:type="dxa" w:w="90"/>
              <w:right w:type="dxa" w:w="120"/>
            </w:tcMar>
          </w:tcPr>
          <w:p>
            <w:r>
              <w:rPr>
                <w:b/>
                <w:bCs/>
                <w:color w:val="1A1410"/>
                <w:sz w:val="19"/>
                <w:szCs w:val="19"/>
              </w:rPr>
              <w:t xml:space="preserve">Pay with a Post™ (optional)</w:t>
            </w:r>
          </w:p>
        </w:tc>
        <w:tc>
          <w:tcPr>
            <w:tcW w:type="dxa" w:w="6800"/>
            <w:tcBorders>
              <w:top w:val="single" w:color="DDD5C8" w:sz="2"/>
              <w:left w:val="none" w:color="FFFFFF" w:sz="0"/>
              <w:bottom w:val="single" w:color="DDD5C8" w:sz="2"/>
              <w:right w:val="none" w:color="FFFFFF" w:sz="0"/>
            </w:tcBorders>
            <w:tcMar>
              <w:top w:type="dxa" w:w="90"/>
              <w:left w:type="dxa" w:w="120"/>
              <w:bottom w:type="dxa" w:w="90"/>
              <w:right w:type="dxa" w:w="120"/>
            </w:tcMar>
          </w:tcPr>
          <w:p>
            <w:r>
              <w:rPr>
                <w:sz w:val="19"/>
                <w:szCs w:val="19"/>
              </w:rPr>
              <w:t xml:space="preserve">1% of the sales it drives, charged only once payment is received.</w:t>
            </w:r>
          </w:p>
        </w:tc>
      </w:tr>
      <w:tr>
        <w:tc>
          <w:tcPr>
            <w:tcW w:type="dxa" w:w="2600"/>
            <w:tcBorders>
              <w:top w:val="single" w:color="DDD5C8" w:sz="2"/>
              <w:left w:val="none" w:color="FFFFFF" w:sz="0"/>
              <w:bottom w:val="single" w:color="DDD5C8" w:sz="2"/>
              <w:right w:val="none" w:color="FFFFFF" w:sz="0"/>
            </w:tcBorders>
            <w:tcMar>
              <w:top w:type="dxa" w:w="90"/>
              <w:left w:type="dxa" w:w="120"/>
              <w:bottom w:type="dxa" w:w="90"/>
              <w:right w:type="dxa" w:w="120"/>
            </w:tcMar>
          </w:tcPr>
          <w:p>
            <w:r>
              <w:rPr>
                <w:b/>
                <w:bCs/>
                <w:color w:val="1A1410"/>
                <w:sz w:val="19"/>
                <w:szCs w:val="19"/>
              </w:rPr>
              <w:t xml:space="preserve">Brand IP</w:t>
            </w:r>
          </w:p>
        </w:tc>
        <w:tc>
          <w:tcPr>
            <w:tcW w:type="dxa" w:w="6800"/>
            <w:tcBorders>
              <w:top w:val="single" w:color="DDD5C8" w:sz="2"/>
              <w:left w:val="none" w:color="FFFFFF" w:sz="0"/>
              <w:bottom w:val="single" w:color="DDD5C8" w:sz="2"/>
              <w:right w:val="none" w:color="FFFFFF" w:sz="0"/>
            </w:tcBorders>
            <w:tcMar>
              <w:top w:type="dxa" w:w="90"/>
              <w:left w:type="dxa" w:w="120"/>
              <w:bottom w:type="dxa" w:w="90"/>
              <w:right w:type="dxa" w:w="120"/>
            </w:tcMar>
          </w:tcPr>
          <w:p>
            <w:r>
              <w:rPr>
                <w:sz w:val="19"/>
                <w:szCs w:val="19"/>
              </w:rPr>
              <w:t xml:space="preserve">Stays with the Brand, except under the AI-Enabler lane (50% held by DevShop).</w:t>
            </w:r>
          </w:p>
        </w:tc>
      </w:tr>
      <w:tr>
        <w:tc>
          <w:tcPr>
            <w:tcW w:type="dxa" w:w="2600"/>
            <w:tcBorders>
              <w:top w:val="single" w:color="DDD5C8" w:sz="2"/>
              <w:left w:val="none" w:color="FFFFFF" w:sz="0"/>
              <w:bottom w:val="single" w:color="DDD5C8" w:sz="2"/>
              <w:right w:val="none" w:color="FFFFFF" w:sz="0"/>
            </w:tcBorders>
            <w:tcMar>
              <w:top w:type="dxa" w:w="90"/>
              <w:left w:type="dxa" w:w="120"/>
              <w:bottom w:type="dxa" w:w="90"/>
              <w:right w:type="dxa" w:w="120"/>
            </w:tcMar>
          </w:tcPr>
          <w:p>
            <w:r>
              <w:rPr>
                <w:b/>
                <w:bCs/>
                <w:color w:val="1A1410"/>
                <w:sz w:val="19"/>
                <w:szCs w:val="19"/>
              </w:rPr>
              <w:t xml:space="preserve">Portfolio &amp; marketing</w:t>
            </w:r>
          </w:p>
        </w:tc>
        <w:tc>
          <w:tcPr>
            <w:tcW w:type="dxa" w:w="6800"/>
            <w:tcBorders>
              <w:top w:val="single" w:color="DDD5C8" w:sz="2"/>
              <w:left w:val="none" w:color="FFFFFF" w:sz="0"/>
              <w:bottom w:val="single" w:color="DDD5C8" w:sz="2"/>
              <w:right w:val="none" w:color="FFFFFF" w:sz="0"/>
            </w:tcBorders>
            <w:tcMar>
              <w:top w:type="dxa" w:w="90"/>
              <w:left w:type="dxa" w:w="120"/>
              <w:bottom w:type="dxa" w:w="90"/>
              <w:right w:type="dxa" w:w="120"/>
            </w:tcMar>
          </w:tcPr>
          <w:p>
            <w:r>
              <w:rPr>
                <w:sz w:val="19"/>
                <w:szCs w:val="19"/>
              </w:rPr>
              <w:t xml:space="preserve">The Brand consents to DevShop referencing its name, logo and results as part of DevShop's portfolio and marketing communications, including its website and case studies. Nothing shared in confidence beyond this is published without separate approval.</w:t>
            </w:r>
          </w:p>
        </w:tc>
      </w:tr>
      <w:tr>
        <w:tc>
          <w:tcPr>
            <w:tcW w:type="dxa" w:w="2600"/>
            <w:tcBorders>
              <w:top w:val="single" w:color="DDD5C8" w:sz="2"/>
              <w:left w:val="none" w:color="FFFFFF" w:sz="0"/>
              <w:bottom w:val="single" w:color="DDD5C8" w:sz="2"/>
              <w:right w:val="none" w:color="FFFFFF" w:sz="0"/>
            </w:tcBorders>
            <w:tcMar>
              <w:top w:type="dxa" w:w="90"/>
              <w:left w:type="dxa" w:w="120"/>
              <w:bottom w:type="dxa" w:w="90"/>
              <w:right w:type="dxa" w:w="120"/>
            </w:tcMar>
          </w:tcPr>
          <w:p>
            <w:r>
              <w:rPr>
                <w:b/>
                <w:bCs/>
                <w:color w:val="1A1410"/>
                <w:sz w:val="19"/>
                <w:szCs w:val="19"/>
              </w:rPr>
              <w:t xml:space="preserve">Confidentiality</w:t>
            </w:r>
          </w:p>
        </w:tc>
        <w:tc>
          <w:tcPr>
            <w:tcW w:type="dxa" w:w="6800"/>
            <w:tcBorders>
              <w:top w:val="single" w:color="DDD5C8" w:sz="2"/>
              <w:left w:val="none" w:color="FFFFFF" w:sz="0"/>
              <w:bottom w:val="single" w:color="DDD5C8" w:sz="2"/>
              <w:right w:val="none" w:color="FFFFFF" w:sz="0"/>
            </w:tcBorders>
            <w:tcMar>
              <w:top w:type="dxa" w:w="90"/>
              <w:left w:type="dxa" w:w="120"/>
              <w:bottom w:type="dxa" w:w="90"/>
              <w:right w:type="dxa" w:w="120"/>
            </w:tcMar>
          </w:tcPr>
          <w:p>
            <w:r>
              <w:rPr>
                <w:sz w:val="19"/>
                <w:szCs w:val="19"/>
              </w:rPr>
              <w:t xml:space="preserve">As per the NCNDA signed between the Parties.</w:t>
            </w:r>
          </w:p>
        </w:tc>
      </w:tr>
      <w:tr>
        <w:tc>
          <w:tcPr>
            <w:tcW w:type="dxa" w:w="2600"/>
            <w:tcBorders>
              <w:top w:val="single" w:color="DDD5C8" w:sz="2"/>
              <w:left w:val="none" w:color="FFFFFF" w:sz="0"/>
              <w:bottom w:val="single" w:color="DDD5C8" w:sz="2"/>
              <w:right w:val="none" w:color="FFFFFF" w:sz="0"/>
            </w:tcBorders>
            <w:tcMar>
              <w:top w:type="dxa" w:w="90"/>
              <w:left w:type="dxa" w:w="120"/>
              <w:bottom w:type="dxa" w:w="90"/>
              <w:right w:type="dxa" w:w="120"/>
            </w:tcMar>
          </w:tcPr>
          <w:p>
            <w:r>
              <w:rPr>
                <w:b/>
                <w:bCs/>
                <w:color w:val="1A1410"/>
                <w:sz w:val="19"/>
                <w:szCs w:val="19"/>
              </w:rPr>
              <w:t xml:space="preserve">Law</w:t>
            </w:r>
          </w:p>
        </w:tc>
        <w:tc>
          <w:tcPr>
            <w:tcW w:type="dxa" w:w="6800"/>
            <w:tcBorders>
              <w:top w:val="single" w:color="DDD5C8" w:sz="2"/>
              <w:left w:val="none" w:color="FFFFFF" w:sz="0"/>
              <w:bottom w:val="single" w:color="DDD5C8" w:sz="2"/>
              <w:right w:val="none" w:color="FFFFFF" w:sz="0"/>
            </w:tcBorders>
            <w:tcMar>
              <w:top w:type="dxa" w:w="90"/>
              <w:left w:type="dxa" w:w="120"/>
              <w:bottom w:type="dxa" w:w="90"/>
              <w:right w:type="dxa" w:w="120"/>
            </w:tcMar>
          </w:tcPr>
          <w:p>
            <w:r>
              <w:rPr>
                <w:sz w:val="19"/>
                <w:szCs w:val="19"/>
              </w:rPr>
              <w:t xml:space="preserve">Laws of India; courts at </w:t>
            </w:r>
            <w:r>
              <w:rPr>
                <w:b/>
                <w:bCs/>
                <w:color w:val="D9714B"/>
                <w:sz w:val="21"/>
                <w:szCs w:val="21"/>
              </w:rPr>
              <w:t xml:space="preserve">[CITY]</w:t>
            </w:r>
            <w:r>
              <w:rPr>
                <w:sz w:val="19"/>
                <w:szCs w:val="19"/>
              </w:rPr>
              <w:t xml:space="preserve">.</w:t>
            </w:r>
          </w:p>
        </w:tc>
      </w:tr>
    </w:tbl>
    <w:p>
      <w:pPr>
        <w:spacing w:after="120" w:before="200"/>
      </w:pPr>
      <w:r>
        <w:rPr>
          <w:i/>
          <w:iCs/>
          <w:color w:val="6B6259"/>
          <w:sz w:val="17"/>
          <w:szCs w:val="17"/>
        </w:rPr>
        <w:t xml:space="preserve">The full terms, as signed on the Brand's Retail OS page, are recorded with the signer's name, time and IP address.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tcBorders>
              <w:top w:val="none" w:color="FFFFFF" w:sz="0"/>
              <w:left w:val="none" w:color="FFFFFF" w:sz="0"/>
              <w:bottom w:val="none" w:color="FFFFFF" w:sz="0"/>
              <w:right w:val="none" w:color="FFFFFF" w:sz="0"/>
            </w:tcBorders>
            <w:tcMar>
              <w:top w:type="dxa" w:w="160"/>
              <w:left w:type="dxa" w:w="160"/>
              <w:bottom w:type="dxa" w:w="160"/>
              <w:right w:type="dxa" w:w="160"/>
            </w:tcMar>
          </w:tcPr>
          <w:p>
            <w:r>
              <w:rPr>
                <w:b/>
                <w:bCs/>
                <w:color w:val="1A1410"/>
                <w:sz w:val="20"/>
                <w:szCs w:val="20"/>
              </w:rPr>
              <w:t xml:space="preserve">For DevShop Retail OS</w:t>
            </w:r>
          </w:p>
          <w:p>
            <w:pPr>
              <w:pBdr>
                <w:bottom w:val="single" w:color="999999" w:sz="4" w:space="1"/>
              </w:pBdr>
              <w:spacing w:after="40" w:before="480"/>
            </w:pPr>
            <w:r>
              <w:t xml:space="preserve"> </w:t>
            </w:r>
          </w:p>
          <w:p>
            <w:pPr>
              <w:spacing w:before="60"/>
            </w:pPr>
            <w:r>
              <w:rPr>
                <w:sz w:val="19"/>
                <w:szCs w:val="19"/>
              </w:rPr>
              <w:t xml:space="preserve">Name: </w:t>
            </w:r>
            <w:r>
              <w:rPr>
                <w:b/>
                <w:bCs/>
                <w:color w:val="D9714B"/>
                <w:sz w:val="21"/>
                <w:szCs w:val="21"/>
              </w:rPr>
              <w:t xml:space="preserve">_________________________</w:t>
            </w:r>
          </w:p>
          <w:p>
            <w:pPr>
              <w:spacing w:before="40"/>
            </w:pPr>
            <w:r>
              <w:rPr>
                <w:sz w:val="19"/>
                <w:szCs w:val="19"/>
              </w:rPr>
              <w:t xml:space="preserve">Title: </w:t>
            </w:r>
            <w:r>
              <w:rPr>
                <w:b/>
                <w:bCs/>
                <w:color w:val="D9714B"/>
                <w:sz w:val="21"/>
                <w:szCs w:val="21"/>
              </w:rPr>
              <w:t xml:space="preserve">_________________________</w:t>
            </w:r>
          </w:p>
          <w:p>
            <w:pPr>
              <w:spacing w:before="40"/>
            </w:pPr>
            <w:r>
              <w:rPr>
                <w:sz w:val="19"/>
                <w:szCs w:val="19"/>
              </w:rPr>
              <w:t xml:space="preserve">Date: </w:t>
            </w:r>
            <w:r>
              <w:rPr>
                <w:b/>
                <w:bCs/>
                <w:color w:val="D9714B"/>
                <w:sz w:val="21"/>
                <w:szCs w:val="21"/>
              </w:rPr>
              <w:t xml:space="preserve">_________________________</w:t>
            </w:r>
          </w:p>
          <w:p>
            <w:pPr>
              <w:spacing w:before="40"/>
            </w:pPr>
            <w:r>
              <w:rPr>
                <w:i/>
                <w:iCs/>
                <w:color w:val="6B6259"/>
                <w:sz w:val="18"/>
                <w:szCs w:val="18"/>
              </w:rPr>
              <w:t xml:space="preserve">Virat Mohan</w:t>
            </w:r>
          </w:p>
        </w:tc>
        <w:tc>
          <w:tcPr>
            <w:tcW w:type="dxa" w:w="4700"/>
            <w:tcBorders>
              <w:top w:val="none" w:color="FFFFFF" w:sz="0"/>
              <w:left w:val="none" w:color="FFFFFF" w:sz="0"/>
              <w:bottom w:val="none" w:color="FFFFFF" w:sz="0"/>
              <w:right w:val="none" w:color="FFFFFF" w:sz="0"/>
            </w:tcBorders>
            <w:tcMar>
              <w:top w:type="dxa" w:w="160"/>
              <w:left w:type="dxa" w:w="160"/>
              <w:bottom w:type="dxa" w:w="160"/>
              <w:right w:type="dxa" w:w="160"/>
            </w:tcMar>
          </w:tcPr>
          <w:p>
            <w:r>
              <w:rPr>
                <w:b/>
                <w:bCs/>
                <w:color w:val="1A1410"/>
                <w:sz w:val="20"/>
                <w:szCs w:val="20"/>
              </w:rPr>
              <w:t xml:space="preserve">For the Brand</w:t>
            </w:r>
          </w:p>
          <w:p>
            <w:pPr>
              <w:pBdr>
                <w:bottom w:val="single" w:color="999999" w:sz="4" w:space="1"/>
              </w:pBdr>
              <w:spacing w:after="40" w:before="480"/>
            </w:pPr>
            <w:r>
              <w:t xml:space="preserve"> </w:t>
            </w:r>
          </w:p>
          <w:p>
            <w:pPr>
              <w:spacing w:before="60"/>
            </w:pPr>
            <w:r>
              <w:rPr>
                <w:sz w:val="19"/>
                <w:szCs w:val="19"/>
              </w:rPr>
              <w:t xml:space="preserve">Name: </w:t>
            </w:r>
            <w:r>
              <w:rPr>
                <w:b/>
                <w:bCs/>
                <w:color w:val="D9714B"/>
                <w:sz w:val="21"/>
                <w:szCs w:val="21"/>
              </w:rPr>
              <w:t xml:space="preserve">_________________________</w:t>
            </w:r>
          </w:p>
          <w:p>
            <w:pPr>
              <w:spacing w:before="40"/>
            </w:pPr>
            <w:r>
              <w:rPr>
                <w:sz w:val="19"/>
                <w:szCs w:val="19"/>
              </w:rPr>
              <w:t xml:space="preserve">Title: </w:t>
            </w:r>
            <w:r>
              <w:rPr>
                <w:b/>
                <w:bCs/>
                <w:color w:val="D9714B"/>
                <w:sz w:val="21"/>
                <w:szCs w:val="21"/>
              </w:rPr>
              <w:t xml:space="preserve">_________________________</w:t>
            </w:r>
          </w:p>
          <w:p>
            <w:pPr>
              <w:spacing w:before="40"/>
            </w:pPr>
            <w:r>
              <w:rPr>
                <w:sz w:val="19"/>
                <w:szCs w:val="19"/>
              </w:rPr>
              <w:t xml:space="preserve">Date: </w:t>
            </w:r>
            <w:r>
              <w:rPr>
                <w:b/>
                <w:bCs/>
                <w:color w:val="D9714B"/>
                <w:sz w:val="21"/>
                <w:szCs w:val="21"/>
              </w:rPr>
              <w:t xml:space="preserve">_________________________</w:t>
            </w:r>
          </w:p>
        </w:tc>
      </w:tr>
    </w:tbl>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420"/>
      </w:pPr>
    </w:lvl>
  </w:abstractNum>
  <w:abstractNum w:abstractNumId="3" w15:restartNumberingAfterBreak="0">
    <w:multiLevelType w:val="hybridMultilevel"/>
    <w:lvl w:ilvl="0" w15:tentative="1">
      <w:start w:val="1"/>
      <w:numFmt w:val="bullet"/>
      <w:lvlText w:val="•"/>
      <w:lvlJc w:val="star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2026-09-24T09:59:39.150Z</dcterms:created>
  <dcterms:modified xsi:type="dcterms:W3CDTF">2026-09-24T09:59:39.150Z</dcterms:modified>
</cp:coreProperties>
</file>

<file path=docProps/custom.xml><?xml version="1.0" encoding="utf-8"?>
<Properties xmlns="http://schemas.openxmlformats.org/officeDocument/2006/custom-properties" xmlns:vt="http://schemas.openxmlformats.org/officeDocument/2006/docPropsVTypes"/>
</file>