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sz w:val="24"/>
          <w:szCs w:val="24"/>
          <w:rtl w:val="0"/>
        </w:rPr>
        <w:t xml:space="preserve">The collaboration between Vijit Veer Hooda and the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NIV Art Centre</w:t>
      </w:r>
      <w:r w:rsidDel="00000000" w:rsidR="00000000" w:rsidRPr="00000000">
        <w:rPr>
          <w:sz w:val="24"/>
          <w:szCs w:val="24"/>
          <w:rtl w:val="0"/>
        </w:rPr>
        <w:t xml:space="preserve"> acts as a strategic cultural conduit, the partnership identifies visionary Indian artists within NIV’s extensive network and positions their work for high-profile exposure to international collectors, institutions, and buyers.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