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534DC046"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0F1D30">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5EF9A8AE" w14:textId="68D6165E" w:rsidR="005D527C" w:rsidRDefault="00C270AF" w:rsidP="000F1D30">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34BF0BF4" w14:textId="06CDE741" w:rsidR="003569E6" w:rsidRDefault="003569E6" w:rsidP="000F1D30">
      <w:pPr>
        <w:ind w:firstLine="576"/>
        <w:jc w:val="both"/>
      </w:pPr>
      <w:r>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393294" w14:paraId="4D5E5F2F" w14:textId="77777777" w:rsidTr="000214CD">
        <w:tc>
          <w:tcPr>
            <w:tcW w:w="534" w:type="dxa"/>
            <w:vMerge w:val="restart"/>
          </w:tcPr>
          <w:p w14:paraId="496FC9B2" w14:textId="722A0318" w:rsidR="00393294" w:rsidRDefault="00393294" w:rsidP="001658A9">
            <w:pPr>
              <w:jc w:val="both"/>
            </w:pPr>
            <w:r>
              <w:t>3</w:t>
            </w:r>
          </w:p>
        </w:tc>
        <w:tc>
          <w:tcPr>
            <w:tcW w:w="1701" w:type="dxa"/>
            <w:vMerge w:val="restart"/>
          </w:tcPr>
          <w:p w14:paraId="6A5CC257" w14:textId="77777777" w:rsidR="00E30A0C" w:rsidRDefault="00393294" w:rsidP="001658A9">
            <w:pPr>
              <w:jc w:val="both"/>
            </w:pPr>
            <w:r>
              <w:t xml:space="preserve">Beban </w:t>
            </w:r>
            <w:proofErr w:type="spellStart"/>
            <w:r>
              <w:t>Kerja</w:t>
            </w:r>
            <w:proofErr w:type="spellEnd"/>
            <w:r>
              <w:t xml:space="preserve"> (X3)</w:t>
            </w:r>
          </w:p>
          <w:p w14:paraId="60998069" w14:textId="245C40D1" w:rsidR="00393294" w:rsidRDefault="00A84C5A" w:rsidP="001658A9">
            <w:pPr>
              <w:jc w:val="both"/>
            </w:pPr>
            <w:r>
              <w:fldChar w:fldCharType="begin" w:fldLock="1"/>
            </w:r>
            <w:r w:rsidR="002423D0">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393294" w:rsidRDefault="00393294" w:rsidP="001658A9">
            <w:pPr>
              <w:jc w:val="both"/>
            </w:pPr>
            <w:r>
              <w:t xml:space="preserve">Beban </w:t>
            </w:r>
            <w:proofErr w:type="spellStart"/>
            <w:r>
              <w:t>Kualitatif</w:t>
            </w:r>
            <w:proofErr w:type="spellEnd"/>
          </w:p>
        </w:tc>
        <w:tc>
          <w:tcPr>
            <w:tcW w:w="3226" w:type="dxa"/>
          </w:tcPr>
          <w:p w14:paraId="63EB1A57" w14:textId="5D9A2DAA" w:rsidR="00393294" w:rsidRDefault="00393294"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393294" w14:paraId="145D0828" w14:textId="77777777" w:rsidTr="000214CD">
        <w:tc>
          <w:tcPr>
            <w:tcW w:w="534" w:type="dxa"/>
            <w:vMerge/>
          </w:tcPr>
          <w:p w14:paraId="21E6D5BF" w14:textId="77777777" w:rsidR="00393294" w:rsidRDefault="00393294" w:rsidP="001658A9">
            <w:pPr>
              <w:jc w:val="both"/>
            </w:pPr>
          </w:p>
        </w:tc>
        <w:tc>
          <w:tcPr>
            <w:tcW w:w="1701" w:type="dxa"/>
            <w:vMerge/>
          </w:tcPr>
          <w:p w14:paraId="2FA2BA3C" w14:textId="77777777" w:rsidR="00393294" w:rsidRDefault="00393294" w:rsidP="001658A9">
            <w:pPr>
              <w:jc w:val="both"/>
            </w:pPr>
          </w:p>
        </w:tc>
        <w:tc>
          <w:tcPr>
            <w:tcW w:w="2693" w:type="dxa"/>
            <w:vMerge/>
          </w:tcPr>
          <w:p w14:paraId="10CF4BF8" w14:textId="77777777" w:rsidR="00393294" w:rsidRDefault="00393294" w:rsidP="001658A9">
            <w:pPr>
              <w:jc w:val="both"/>
            </w:pPr>
          </w:p>
        </w:tc>
        <w:tc>
          <w:tcPr>
            <w:tcW w:w="3226" w:type="dxa"/>
          </w:tcPr>
          <w:p w14:paraId="7BA21719" w14:textId="6AE21E81" w:rsidR="00393294" w:rsidRP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393294" w14:paraId="2A85E75C" w14:textId="77777777" w:rsidTr="000214CD">
        <w:tc>
          <w:tcPr>
            <w:tcW w:w="534" w:type="dxa"/>
            <w:vMerge/>
          </w:tcPr>
          <w:p w14:paraId="3F7ADC2E" w14:textId="77777777" w:rsidR="00393294" w:rsidRDefault="00393294" w:rsidP="001658A9">
            <w:pPr>
              <w:jc w:val="both"/>
            </w:pPr>
          </w:p>
        </w:tc>
        <w:tc>
          <w:tcPr>
            <w:tcW w:w="1701" w:type="dxa"/>
            <w:vMerge/>
          </w:tcPr>
          <w:p w14:paraId="675DB018" w14:textId="77777777" w:rsidR="00393294" w:rsidRDefault="00393294" w:rsidP="001658A9">
            <w:pPr>
              <w:jc w:val="both"/>
            </w:pPr>
          </w:p>
        </w:tc>
        <w:tc>
          <w:tcPr>
            <w:tcW w:w="2693" w:type="dxa"/>
            <w:vMerge/>
          </w:tcPr>
          <w:p w14:paraId="10396B54" w14:textId="77777777" w:rsidR="00393294" w:rsidRDefault="00393294" w:rsidP="001658A9">
            <w:pPr>
              <w:jc w:val="both"/>
            </w:pPr>
          </w:p>
        </w:tc>
        <w:tc>
          <w:tcPr>
            <w:tcW w:w="3226" w:type="dxa"/>
          </w:tcPr>
          <w:p w14:paraId="05D72A7E" w14:textId="3291FF80" w:rsidR="00393294" w:rsidRDefault="00393294"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393294" w14:paraId="106FFAB4" w14:textId="77777777" w:rsidTr="000214CD">
        <w:tc>
          <w:tcPr>
            <w:tcW w:w="534" w:type="dxa"/>
            <w:vMerge/>
          </w:tcPr>
          <w:p w14:paraId="3934A7A1" w14:textId="77777777" w:rsidR="00393294" w:rsidRDefault="00393294" w:rsidP="001658A9">
            <w:pPr>
              <w:jc w:val="both"/>
            </w:pPr>
          </w:p>
        </w:tc>
        <w:tc>
          <w:tcPr>
            <w:tcW w:w="1701" w:type="dxa"/>
            <w:vMerge/>
          </w:tcPr>
          <w:p w14:paraId="340FA6FA" w14:textId="77777777" w:rsidR="00393294" w:rsidRDefault="00393294" w:rsidP="001658A9">
            <w:pPr>
              <w:jc w:val="both"/>
            </w:pPr>
          </w:p>
        </w:tc>
        <w:tc>
          <w:tcPr>
            <w:tcW w:w="2693" w:type="dxa"/>
          </w:tcPr>
          <w:p w14:paraId="57859657" w14:textId="217862E5" w:rsidR="00393294" w:rsidRDefault="00393294" w:rsidP="001658A9">
            <w:pPr>
              <w:jc w:val="both"/>
            </w:pPr>
            <w:r>
              <w:t xml:space="preserve">Beban </w:t>
            </w:r>
            <w:proofErr w:type="spellStart"/>
            <w:r>
              <w:t>Kuantitatif</w:t>
            </w:r>
            <w:proofErr w:type="spellEnd"/>
          </w:p>
        </w:tc>
        <w:tc>
          <w:tcPr>
            <w:tcW w:w="3226" w:type="dxa"/>
          </w:tcPr>
          <w:p w14:paraId="3AE5796C" w14:textId="175CAA58" w:rsidR="00393294" w:rsidRDefault="00393294"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lastRenderedPageBreak/>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393294" w14:paraId="627CFD77" w14:textId="77777777" w:rsidTr="000214CD">
        <w:tc>
          <w:tcPr>
            <w:tcW w:w="534" w:type="dxa"/>
            <w:vMerge/>
          </w:tcPr>
          <w:p w14:paraId="1D933DAE" w14:textId="77777777" w:rsidR="00393294" w:rsidRDefault="00393294" w:rsidP="001658A9">
            <w:pPr>
              <w:jc w:val="both"/>
            </w:pPr>
          </w:p>
        </w:tc>
        <w:tc>
          <w:tcPr>
            <w:tcW w:w="1701" w:type="dxa"/>
          </w:tcPr>
          <w:p w14:paraId="34B1EB0B" w14:textId="77777777" w:rsidR="00393294" w:rsidRDefault="00393294" w:rsidP="001658A9">
            <w:pPr>
              <w:jc w:val="both"/>
            </w:pPr>
          </w:p>
        </w:tc>
        <w:tc>
          <w:tcPr>
            <w:tcW w:w="2693" w:type="dxa"/>
          </w:tcPr>
          <w:p w14:paraId="2892CCA1" w14:textId="77777777" w:rsidR="00393294" w:rsidRDefault="00393294" w:rsidP="001658A9">
            <w:pPr>
              <w:jc w:val="both"/>
            </w:pPr>
          </w:p>
        </w:tc>
        <w:tc>
          <w:tcPr>
            <w:tcW w:w="3226" w:type="dxa"/>
          </w:tcPr>
          <w:p w14:paraId="22C108D8" w14:textId="126A853F" w:rsid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393294" w14:paraId="3F056C0C" w14:textId="77777777" w:rsidTr="000214CD">
        <w:tc>
          <w:tcPr>
            <w:tcW w:w="534" w:type="dxa"/>
          </w:tcPr>
          <w:p w14:paraId="60BC4C02" w14:textId="7E5ED49A" w:rsidR="00393294" w:rsidRDefault="00DD6C85" w:rsidP="001658A9">
            <w:pPr>
              <w:jc w:val="both"/>
            </w:pPr>
            <w:r>
              <w:t>4</w:t>
            </w:r>
          </w:p>
        </w:tc>
        <w:tc>
          <w:tcPr>
            <w:tcW w:w="1701" w:type="dxa"/>
          </w:tcPr>
          <w:p w14:paraId="1E73F43B" w14:textId="77777777" w:rsidR="00393294" w:rsidRDefault="00072AC1"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072AC1" w:rsidRDefault="00CF2F58" w:rsidP="001658A9">
            <w:pPr>
              <w:jc w:val="both"/>
            </w:pPr>
            <w:r>
              <w:fldChar w:fldCharType="begin" w:fldLock="1"/>
            </w:r>
            <w:r w:rsidR="00FF3C89">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393294" w:rsidRDefault="00CF2F58"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393294" w:rsidRDefault="00CF2F58"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0214CD" w14:paraId="4C2E9E6E" w14:textId="77777777" w:rsidTr="000214CD">
        <w:tc>
          <w:tcPr>
            <w:tcW w:w="534" w:type="dxa"/>
          </w:tcPr>
          <w:p w14:paraId="16FDDE4A" w14:textId="77777777" w:rsidR="000214CD" w:rsidRDefault="000214CD" w:rsidP="001658A9">
            <w:pPr>
              <w:jc w:val="both"/>
            </w:pPr>
          </w:p>
        </w:tc>
        <w:tc>
          <w:tcPr>
            <w:tcW w:w="1701" w:type="dxa"/>
          </w:tcPr>
          <w:p w14:paraId="244576A8" w14:textId="77777777" w:rsidR="000214CD" w:rsidRDefault="000214CD" w:rsidP="001658A9">
            <w:pPr>
              <w:jc w:val="both"/>
            </w:pPr>
          </w:p>
        </w:tc>
        <w:tc>
          <w:tcPr>
            <w:tcW w:w="2693" w:type="dxa"/>
          </w:tcPr>
          <w:p w14:paraId="17E5C03C" w14:textId="33E38BB8" w:rsidR="000214CD" w:rsidRDefault="00CF2F58" w:rsidP="001658A9">
            <w:pPr>
              <w:jc w:val="both"/>
            </w:pPr>
            <w:proofErr w:type="spellStart"/>
            <w:r>
              <w:t>Insentif</w:t>
            </w:r>
            <w:proofErr w:type="spellEnd"/>
          </w:p>
        </w:tc>
        <w:tc>
          <w:tcPr>
            <w:tcW w:w="3226" w:type="dxa"/>
          </w:tcPr>
          <w:p w14:paraId="640C6FEC" w14:textId="31E4244B" w:rsidR="000214CD" w:rsidRDefault="00CF2F58"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0214CD" w14:paraId="446A4E2B" w14:textId="77777777" w:rsidTr="000214CD">
        <w:tc>
          <w:tcPr>
            <w:tcW w:w="534" w:type="dxa"/>
          </w:tcPr>
          <w:p w14:paraId="04D702C0" w14:textId="77777777" w:rsidR="000214CD" w:rsidRDefault="000214CD" w:rsidP="001658A9">
            <w:pPr>
              <w:jc w:val="both"/>
            </w:pPr>
          </w:p>
        </w:tc>
        <w:tc>
          <w:tcPr>
            <w:tcW w:w="1701" w:type="dxa"/>
          </w:tcPr>
          <w:p w14:paraId="47913420" w14:textId="77777777" w:rsidR="000214CD" w:rsidRDefault="000214CD" w:rsidP="001658A9">
            <w:pPr>
              <w:jc w:val="both"/>
            </w:pPr>
          </w:p>
        </w:tc>
        <w:tc>
          <w:tcPr>
            <w:tcW w:w="2693" w:type="dxa"/>
          </w:tcPr>
          <w:p w14:paraId="28898831" w14:textId="0D0CC9E1" w:rsidR="000214CD" w:rsidRDefault="00CF2F58" w:rsidP="001658A9">
            <w:pPr>
              <w:jc w:val="both"/>
            </w:pPr>
            <w:r>
              <w:t>Pendidikan</w:t>
            </w:r>
          </w:p>
        </w:tc>
        <w:tc>
          <w:tcPr>
            <w:tcW w:w="3226" w:type="dxa"/>
          </w:tcPr>
          <w:p w14:paraId="3F3A8E1A" w14:textId="43207DF3" w:rsidR="000214CD" w:rsidRDefault="00CF2F58"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0214CD" w14:paraId="3D922A40" w14:textId="77777777" w:rsidTr="000214CD">
        <w:tc>
          <w:tcPr>
            <w:tcW w:w="534" w:type="dxa"/>
          </w:tcPr>
          <w:p w14:paraId="6D19B179" w14:textId="77777777" w:rsidR="000214CD" w:rsidRDefault="000214CD" w:rsidP="001658A9">
            <w:pPr>
              <w:jc w:val="both"/>
            </w:pPr>
          </w:p>
        </w:tc>
        <w:tc>
          <w:tcPr>
            <w:tcW w:w="1701" w:type="dxa"/>
          </w:tcPr>
          <w:p w14:paraId="0DBA5DC8" w14:textId="77777777" w:rsidR="000214CD" w:rsidRDefault="000214CD" w:rsidP="001658A9">
            <w:pPr>
              <w:jc w:val="both"/>
            </w:pPr>
          </w:p>
        </w:tc>
        <w:tc>
          <w:tcPr>
            <w:tcW w:w="2693" w:type="dxa"/>
          </w:tcPr>
          <w:p w14:paraId="41AC67A5" w14:textId="7F2170DE" w:rsidR="000214CD" w:rsidRDefault="00CF2F58"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0214CD" w:rsidRDefault="00CF2F58"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CF2F58" w14:paraId="65C204FB" w14:textId="77777777" w:rsidTr="000214CD">
        <w:tc>
          <w:tcPr>
            <w:tcW w:w="534" w:type="dxa"/>
          </w:tcPr>
          <w:p w14:paraId="6863858D" w14:textId="77777777" w:rsidR="00CF2F58" w:rsidRDefault="00CF2F58" w:rsidP="001658A9">
            <w:pPr>
              <w:jc w:val="both"/>
            </w:pPr>
          </w:p>
        </w:tc>
        <w:tc>
          <w:tcPr>
            <w:tcW w:w="1701" w:type="dxa"/>
          </w:tcPr>
          <w:p w14:paraId="4D076E74" w14:textId="77777777" w:rsidR="00CF2F58" w:rsidRDefault="00CF2F58" w:rsidP="001658A9">
            <w:pPr>
              <w:jc w:val="both"/>
            </w:pPr>
          </w:p>
        </w:tc>
        <w:tc>
          <w:tcPr>
            <w:tcW w:w="2693" w:type="dxa"/>
          </w:tcPr>
          <w:p w14:paraId="31253820" w14:textId="7D427518" w:rsidR="00CF2F58" w:rsidRPr="00CF2F58" w:rsidRDefault="00CF2F58"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CF2F58" w:rsidRDefault="00CF2F58"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w:t>
            </w:r>
            <w:r w:rsidRPr="002423D0">
              <w:lastRenderedPageBreak/>
              <w:t xml:space="preserve">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730B64A4" w14:textId="77777777" w:rsidR="006F1666" w:rsidRPr="006F1666" w:rsidRDefault="006F1666" w:rsidP="006F1666">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1720E037" w14:textId="77777777" w:rsidR="006F1666" w:rsidRPr="006F1666" w:rsidRDefault="006F1666" w:rsidP="006F1666">
      <w:pPr>
        <w:ind w:firstLine="576"/>
        <w:jc w:val="both"/>
        <w:rPr>
          <w:rFonts w:cs="Times New Roman"/>
          <w:lang w:eastAsia="id-ID"/>
        </w:rPr>
      </w:pP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lastRenderedPageBreak/>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Work-Life Balance,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lastRenderedPageBreak/>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3379B963" w14:textId="65930ED8"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proses </w:t>
      </w:r>
      <w:proofErr w:type="spellStart"/>
      <w:r w:rsidRPr="00BB2015">
        <w:rPr>
          <w:rFonts w:cs="Times New Roman"/>
          <w:lang w:eastAsia="id-ID"/>
        </w:rPr>
        <w:t>peningkatan</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program yang </w:t>
      </w:r>
      <w:proofErr w:type="spellStart"/>
      <w:r w:rsidRPr="00BB2015">
        <w:rPr>
          <w:rFonts w:cs="Times New Roman"/>
          <w:lang w:eastAsia="id-ID"/>
        </w:rPr>
        <w:t>terstruktur</w:t>
      </w:r>
      <w:proofErr w:type="spellEnd"/>
      <w:r w:rsidRPr="00BB2015">
        <w:rPr>
          <w:rFonts w:cs="Times New Roman"/>
          <w:lang w:eastAsia="id-ID"/>
        </w:rPr>
        <w:t xml:space="preserve">, dan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seperti</w:t>
      </w:r>
      <w:proofErr w:type="spellEnd"/>
      <w:r w:rsidRPr="00BB2015">
        <w:rPr>
          <w:rFonts w:cs="Times New Roman"/>
          <w:lang w:eastAsia="id-ID"/>
        </w:rPr>
        <w:t xml:space="preserve"> </w:t>
      </w:r>
      <w:proofErr w:type="spellStart"/>
      <w:r w:rsidRPr="00BB2015">
        <w:rPr>
          <w:rFonts w:cs="Times New Roman"/>
          <w:lang w:eastAsia="id-ID"/>
        </w:rPr>
        <w:t>materi</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konten</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metode</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peserta</w:t>
      </w:r>
      <w:proofErr w:type="spellEnd"/>
      <w:r w:rsidRPr="00BB2015">
        <w:rPr>
          <w:rFonts w:cs="Times New Roman"/>
          <w:lang w:eastAsia="id-ID"/>
        </w:rPr>
        <w:t xml:space="preserve">, dan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pelatih</w:t>
      </w:r>
      <w:proofErr w:type="spellEnd"/>
      <w:r w:rsidRPr="00BB2015">
        <w:rPr>
          <w:rFonts w:cs="Times New Roman"/>
          <w:lang w:eastAsia="id-ID"/>
        </w:rPr>
        <w:t>.</w:t>
      </w:r>
    </w:p>
    <w:p w14:paraId="5C59272A" w14:textId="2061DE1F"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Work-Life Balance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sejauh</w:t>
      </w:r>
      <w:proofErr w:type="spellEnd"/>
      <w:r w:rsidRPr="00BB2015">
        <w:rPr>
          <w:rFonts w:cs="Times New Roman"/>
          <w:lang w:eastAsia="id-ID"/>
        </w:rPr>
        <w:t xml:space="preserve"> mana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menyeimbangkan</w:t>
      </w:r>
      <w:proofErr w:type="spellEnd"/>
      <w:r w:rsidRPr="00BB2015">
        <w:rPr>
          <w:rFonts w:cs="Times New Roman"/>
          <w:lang w:eastAsia="id-ID"/>
        </w:rPr>
        <w:t xml:space="preserve"> </w:t>
      </w:r>
      <w:proofErr w:type="spellStart"/>
      <w:r w:rsidRPr="00BB2015">
        <w:rPr>
          <w:rFonts w:cs="Times New Roman"/>
          <w:lang w:eastAsia="id-ID"/>
        </w:rPr>
        <w:t>tuntutan</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kehidupan</w:t>
      </w:r>
      <w:proofErr w:type="spellEnd"/>
      <w:r w:rsidRPr="00BB2015">
        <w:rPr>
          <w:rFonts w:cs="Times New Roman"/>
          <w:lang w:eastAsia="id-ID"/>
        </w:rPr>
        <w:t xml:space="preserve"> </w:t>
      </w:r>
      <w:proofErr w:type="spellStart"/>
      <w:r w:rsidRPr="00BB2015">
        <w:rPr>
          <w:rFonts w:cs="Times New Roman"/>
          <w:lang w:eastAsia="id-ID"/>
        </w:rPr>
        <w:t>pribadi</w:t>
      </w:r>
      <w:proofErr w:type="spellEnd"/>
      <w:r w:rsidRPr="00BB2015">
        <w:rPr>
          <w:rFonts w:cs="Times New Roman"/>
          <w:lang w:eastAsia="id-ID"/>
        </w:rPr>
        <w:t xml:space="preserve">, yang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dimensi</w:t>
      </w:r>
      <w:proofErr w:type="spellEnd"/>
      <w:r w:rsidRPr="00BB2015">
        <w:rPr>
          <w:rFonts w:cs="Times New Roman"/>
          <w:lang w:eastAsia="id-ID"/>
        </w:rPr>
        <w:t xml:space="preserve"> work-life functioning dan work-life interference.</w:t>
      </w:r>
    </w:p>
    <w:p w14:paraId="39C5AD48" w14:textId="18634A17"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kuantitas</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dan </w:t>
      </w:r>
      <w:proofErr w:type="spellStart"/>
      <w:r w:rsidRPr="00BB2015">
        <w:rPr>
          <w:rFonts w:cs="Times New Roman"/>
          <w:lang w:eastAsia="id-ID"/>
        </w:rPr>
        <w:t>kompleksitas</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yang </w:t>
      </w:r>
      <w:proofErr w:type="spellStart"/>
      <w:r w:rsidRPr="00BB2015">
        <w:rPr>
          <w:rFonts w:cs="Times New Roman"/>
          <w:lang w:eastAsia="id-ID"/>
        </w:rPr>
        <w:t>harus</w:t>
      </w:r>
      <w:proofErr w:type="spellEnd"/>
      <w:r w:rsidRPr="00BB2015">
        <w:rPr>
          <w:rFonts w:cs="Times New Roman"/>
          <w:lang w:eastAsia="id-ID"/>
        </w:rPr>
        <w:t xml:space="preserve"> </w:t>
      </w:r>
      <w:proofErr w:type="spellStart"/>
      <w:r w:rsidRPr="00BB2015">
        <w:rPr>
          <w:rFonts w:cs="Times New Roman"/>
          <w:lang w:eastAsia="id-ID"/>
        </w:rPr>
        <w:t>diselesaikan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tertentu</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fisik</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mental, </w:t>
      </w:r>
      <w:proofErr w:type="spellStart"/>
      <w:r w:rsidRPr="00BB2015">
        <w:rPr>
          <w:rFonts w:cs="Times New Roman"/>
          <w:lang w:eastAsia="id-ID"/>
        </w:rPr>
        <w:t>tekanan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dan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emosional</w:t>
      </w:r>
      <w:proofErr w:type="spellEnd"/>
      <w:r w:rsidRPr="00BB2015">
        <w:rPr>
          <w:rFonts w:cs="Times New Roman"/>
          <w:lang w:eastAsia="id-ID"/>
        </w:rPr>
        <w:t>.</w:t>
      </w:r>
    </w:p>
    <w:p w14:paraId="564204CA" w14:textId="341E116C"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efisien</w:t>
      </w:r>
      <w:proofErr w:type="spellEnd"/>
      <w:r w:rsidRPr="00BB2015">
        <w:rPr>
          <w:rFonts w:cs="Times New Roman"/>
          <w:lang w:eastAsia="id-ID"/>
        </w:rPr>
        <w:t xml:space="preserve"> dan </w:t>
      </w:r>
      <w:proofErr w:type="spellStart"/>
      <w:r w:rsidRPr="00BB2015">
        <w:rPr>
          <w:rFonts w:cs="Times New Roman"/>
          <w:lang w:eastAsia="id-ID"/>
        </w:rPr>
        <w:t>efektif</w:t>
      </w:r>
      <w:proofErr w:type="spellEnd"/>
      <w:r w:rsidRPr="00BB2015">
        <w:rPr>
          <w:rFonts w:cs="Times New Roman"/>
          <w:lang w:eastAsia="id-ID"/>
        </w:rPr>
        <w:t xml:space="preserve">. </w:t>
      </w:r>
      <w:proofErr w:type="spellStart"/>
      <w:r w:rsidRPr="00BB2015">
        <w:rPr>
          <w:rFonts w:cs="Times New Roman"/>
          <w:lang w:eastAsia="id-ID"/>
        </w:rPr>
        <w:t>Indikatornya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pencapaian</w:t>
      </w:r>
      <w:proofErr w:type="spellEnd"/>
      <w:r w:rsidRPr="00BB2015">
        <w:rPr>
          <w:rFonts w:cs="Times New Roman"/>
          <w:lang w:eastAsia="id-ID"/>
        </w:rPr>
        <w:t xml:space="preserve"> target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kualitas</w:t>
      </w:r>
      <w:proofErr w:type="spellEnd"/>
      <w:r w:rsidRPr="00BB2015">
        <w:rPr>
          <w:rFonts w:cs="Times New Roman"/>
          <w:lang w:eastAsia="id-ID"/>
        </w:rPr>
        <w:t xml:space="preserve"> output,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efisiensi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tanggung</w:t>
      </w:r>
      <w:proofErr w:type="spellEnd"/>
      <w:r w:rsidRPr="00BB2015">
        <w:rPr>
          <w:rFonts w:cs="Times New Roman"/>
          <w:lang w:eastAsia="id-ID"/>
        </w:rPr>
        <w:t xml:space="preserve"> </w:t>
      </w:r>
      <w:proofErr w:type="spellStart"/>
      <w:r w:rsidRPr="00BB2015">
        <w:rPr>
          <w:rFonts w:cs="Times New Roman"/>
          <w:lang w:eastAsia="id-ID"/>
        </w:rPr>
        <w:t>jawab</w:t>
      </w:r>
      <w:proofErr w:type="spellEnd"/>
      <w:r w:rsidRPr="00BB2015">
        <w:rPr>
          <w:rFonts w:cs="Times New Roman"/>
          <w:lang w:eastAsia="id-ID"/>
        </w:rPr>
        <w:t>.</w:t>
      </w:r>
    </w:p>
    <w:p w14:paraId="53B83CA7" w14:textId="34D2DC89"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teknologi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integrasi</w:t>
      </w:r>
      <w:proofErr w:type="spellEnd"/>
      <w:r w:rsidRPr="00BB2015">
        <w:rPr>
          <w:rFonts w:cs="Times New Roman"/>
          <w:lang w:eastAsia="id-ID"/>
        </w:rPr>
        <w:t xml:space="preserve"> </w:t>
      </w:r>
      <w:proofErr w:type="spellStart"/>
      <w:r w:rsidRPr="00BB2015">
        <w:rPr>
          <w:rFonts w:cs="Times New Roman"/>
          <w:lang w:eastAsia="id-ID"/>
        </w:rPr>
        <w:t>sistem</w:t>
      </w:r>
      <w:proofErr w:type="spellEnd"/>
      <w:r w:rsidRPr="00BB2015">
        <w:rPr>
          <w:rFonts w:cs="Times New Roman"/>
          <w:lang w:eastAsia="id-ID"/>
        </w:rPr>
        <w:t xml:space="preserve"> digital,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kemudahan</w:t>
      </w:r>
      <w:proofErr w:type="spellEnd"/>
      <w:r w:rsidRPr="00BB2015">
        <w:rPr>
          <w:rFonts w:cs="Times New Roman"/>
          <w:lang w:eastAsia="id-ID"/>
        </w:rPr>
        <w:t xml:space="preserve"> dan </w:t>
      </w:r>
      <w:proofErr w:type="spellStart"/>
      <w:r w:rsidRPr="00BB2015">
        <w:rPr>
          <w:rFonts w:cs="Times New Roman"/>
          <w:lang w:eastAsia="id-ID"/>
        </w:rPr>
        <w:t>keefektifan</w:t>
      </w:r>
      <w:proofErr w:type="spellEnd"/>
      <w:r w:rsidRPr="00BB2015">
        <w:rPr>
          <w:rFonts w:cs="Times New Roman"/>
          <w:lang w:eastAsia="id-ID"/>
        </w:rPr>
        <w:t xml:space="preserve"> digital tools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meningkatkan</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lastRenderedPageBreak/>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55694B03" w14:textId="6BCC57D2" w:rsidR="00232984" w:rsidRPr="00C33E17" w:rsidRDefault="00BB2015" w:rsidP="00C33E17">
      <w:pPr>
        <w:ind w:firstLine="576"/>
        <w:jc w:val="both"/>
        <w:rPr>
          <w:rFonts w:cs="Times New Roman"/>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0454BB69" w14:textId="77777777" w:rsidR="00C576A9" w:rsidRDefault="00C576A9">
      <w:pPr>
        <w:rPr>
          <w:rStyle w:val="fontstyle01"/>
        </w:rPr>
      </w:pP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w:lastRenderedPageBreak/>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w:t>
      </w:r>
      <w:r w:rsidRPr="00D9676E">
        <w:rPr>
          <w:rFonts w:cs="Times New Roman"/>
          <w:szCs w:val="24"/>
          <w:lang w:val="id-ID"/>
        </w:rPr>
        <w:lastRenderedPageBreak/>
        <w:t>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5"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5"/>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6"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6"/>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 xml:space="preserve">Statistik deskriptif akan diterapkan untuk menggambarkan data demografis responden serta distribusi tanggapan mereka terhadap kuesioner. Analisis ini meliputi perhitungan frekuensi, persentase, rata-rata, dan standar deviasi untuk </w:t>
      </w:r>
      <w:r w:rsidRPr="00D9676E">
        <w:rPr>
          <w:rFonts w:cs="Times New Roman"/>
          <w:szCs w:val="24"/>
          <w:lang w:val="nb-NO"/>
        </w:rPr>
        <w:lastRenderedPageBreak/>
        <w:t>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7"/>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8" w:name="_Toc173411377"/>
      <w:bookmarkStart w:id="19"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8"/>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0" w:name="_Toc176369305"/>
      <w:bookmarkStart w:id="21"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0"/>
      <w:bookmarkEnd w:id="21"/>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2" w:name="_Toc186220512"/>
      <w:bookmarkStart w:id="23" w:name="_Toc176798885"/>
      <w:r w:rsidRPr="007D4159">
        <w:rPr>
          <w:rStyle w:val="fontstyle01"/>
          <w:b/>
        </w:rPr>
        <w:t xml:space="preserve">Uji </w:t>
      </w:r>
      <w:proofErr w:type="spellStart"/>
      <w:r w:rsidRPr="007D4159">
        <w:rPr>
          <w:rStyle w:val="fontstyle01"/>
          <w:b/>
        </w:rPr>
        <w:t>Hipotesis</w:t>
      </w:r>
      <w:bookmarkEnd w:id="22"/>
      <w:proofErr w:type="spellEnd"/>
      <w:r w:rsidRPr="007D4159">
        <w:rPr>
          <w:rStyle w:val="fontstyle01"/>
          <w:b/>
        </w:rPr>
        <w:t xml:space="preserve"> </w:t>
      </w:r>
    </w:p>
    <w:bookmarkEnd w:id="18"/>
    <w:bookmarkEnd w:id="19"/>
    <w:bookmarkEnd w:id="23"/>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w:t>
      </w:r>
      <w:r w:rsidRPr="00D9676E">
        <w:rPr>
          <w:rFonts w:cs="Times New Roman"/>
          <w:szCs w:val="24"/>
          <w:lang w:val="nb-NO"/>
        </w:rPr>
        <w:lastRenderedPageBreak/>
        <w:t>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lastRenderedPageBreak/>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4"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4"/>
    </w:p>
    <w:p w14:paraId="5E27C63E" w14:textId="6C961093" w:rsidR="00030A92" w:rsidRDefault="00187B5F" w:rsidP="003A426C">
      <w:pPr>
        <w:pStyle w:val="Heading2"/>
        <w:numPr>
          <w:ilvl w:val="0"/>
          <w:numId w:val="10"/>
        </w:numPr>
        <w:ind w:left="567" w:hanging="567"/>
        <w:rPr>
          <w:rStyle w:val="fontstyle01"/>
        </w:rPr>
      </w:pPr>
      <w:bookmarkStart w:id="25"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5"/>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6"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6"/>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7"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7"/>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8"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8"/>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29"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29"/>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0"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0"/>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1"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1"/>
      <w:proofErr w:type="spellEnd"/>
    </w:p>
    <w:p w14:paraId="684666BF" w14:textId="5C6A6DBA" w:rsidR="00030A92" w:rsidRDefault="00216B32" w:rsidP="003A426C">
      <w:pPr>
        <w:pStyle w:val="Heading2"/>
        <w:numPr>
          <w:ilvl w:val="0"/>
          <w:numId w:val="10"/>
        </w:numPr>
        <w:ind w:left="567" w:hanging="567"/>
        <w:rPr>
          <w:rStyle w:val="fontstyle01"/>
        </w:rPr>
      </w:pPr>
      <w:bookmarkStart w:id="32"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2"/>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3" w:name="_Toc186220516"/>
      <w:r>
        <w:rPr>
          <w:rStyle w:val="fontstyle01"/>
          <w:b/>
        </w:rPr>
        <w:lastRenderedPageBreak/>
        <w:t xml:space="preserve">Model </w:t>
      </w:r>
      <w:proofErr w:type="spellStart"/>
      <w:r>
        <w:rPr>
          <w:rStyle w:val="fontstyle01"/>
          <w:b/>
        </w:rPr>
        <w:t>Pengukuran</w:t>
      </w:r>
      <w:bookmarkEnd w:id="33"/>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4"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4"/>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5"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5"/>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6"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6"/>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7"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7"/>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8"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8"/>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39"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39"/>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0"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0"/>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1"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1"/>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2"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2"/>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3"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3"/>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4"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4"/>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5"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5"/>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6"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6"/>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7"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7"/>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8"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8"/>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49"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49"/>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0"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0"/>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1"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1"/>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2"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2"/>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3"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3"/>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4"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5"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5"/>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6"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6"/>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34688"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770F5A3" id="Rectangle 1319106227" o:spid="_x0000_s1026" alt="Diagram jawaban Formulir. Judul pertanyaan: Usia saat ini. Jumlah jawaban: 215 jawaban." style="position:absolute;margin-left:0;margin-top:0;width:24pt;height: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083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100C607" id="Rectangle 1319106226" o:spid="_x0000_s1026" alt="Diagram jawaban Formulir. Judul pertanyaan: Usia saat ini. Jumlah jawaban: 215 jawaban." style="position:absolute;margin-left:0;margin-top:0;width:24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6976"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1C7CBC5" id="Rectangle 1319106225" o:spid="_x0000_s1026" alt="Diagram jawaban Formulir. Judul pertanyaan: Usia saat ini. Jumlah jawaban: 215 jawaban." style="position:absolute;margin-left:0;margin-top:0;width:24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3120"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3DF2C36" id="Rectangle 1319106224" o:spid="_x0000_s1026" alt="Diagram jawaban Formulir. Judul pertanyaan: Usia saat ini. Jumlah jawaban: 215 jawaban." style="position:absolute;margin-left:0;margin-top:0;width:24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264"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F096641" id="Rectangle 1319106223" o:spid="_x0000_s1026" alt="Diagram jawaban Formulir. Judul pertanyaan: Usia saat ini. Jumlah jawaban: 215 jawaban."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5408"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18EF0DC" id="Rectangle 1319106222" o:spid="_x0000_s1026" alt="Diagram jawaban Formulir. Judul pertanyaan: Usia saat ini. Jumlah jawaban: 215 jawaban." style="position:absolute;margin-left:0;margin-top:0;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55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8F3E57A" id="Rectangle 1319106221" o:spid="_x0000_s1026" alt="Diagram jawaban Formulir. Judul pertanyaan: Usia saat ini. Jumlah jawaban: 215 jawaban." style="position:absolute;margin-left:0;margin-top:0;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7696"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6D6811D" id="Rectangle 1319106220" o:spid="_x0000_s1026" alt="Diagram jawaban Formulir. Judul pertanyaan: Usia saat ini. Jumlah jawaban: 215 jawaban." style="position:absolute;margin-left:0;margin-top:0;width:2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83840"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8C6F0D6" id="Rectangle 1319106216" o:spid="_x0000_s1026" alt="Diagram jawaban Formulir. Judul pertanyaan: Usia saat ini. Jumlah jawaban: 215 jawaban." style="position:absolute;margin-left:40.5pt;margin-top:9pt;width:24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7"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7"/>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lastRenderedPageBreak/>
        <w:t>Composite Reliability</w:t>
      </w:r>
    </w:p>
    <w:p w14:paraId="139B2672" w14:textId="1D36C8D0" w:rsidR="00ED3F81" w:rsidRDefault="00ED3F81" w:rsidP="00ED3F81">
      <w:pPr>
        <w:ind w:firstLine="576"/>
        <w:jc w:val="both"/>
      </w:pPr>
      <w:proofErr w:type="spellStart"/>
      <w:r>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8"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8"/>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59" w:name="_Toc186220519"/>
      <w:r>
        <w:rPr>
          <w:rStyle w:val="fontstyle01"/>
        </w:rPr>
        <w:t xml:space="preserve">Uji </w:t>
      </w:r>
      <w:proofErr w:type="spellStart"/>
      <w:r>
        <w:rPr>
          <w:rStyle w:val="fontstyle01"/>
        </w:rPr>
        <w:t>Hipotesis</w:t>
      </w:r>
      <w:bookmarkEnd w:id="59"/>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0"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0"/>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1"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1"/>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2"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2"/>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3"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3"/>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4"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4"/>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5"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6"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6"/>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7"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8"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8"/>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69"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0"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0"/>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1"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2"/>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3"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4"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4"/>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5"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6"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6"/>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7"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8"/>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79"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79"/>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0"/>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1"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2"/>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3"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4"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4"/>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5"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5"/>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6"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8"/>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1"/>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2"/>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4"/>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5" w:name="_Toc186220541"/>
      <w:r w:rsidRPr="009F75FE">
        <w:rPr>
          <w:color w:val="auto"/>
        </w:rPr>
        <w:lastRenderedPageBreak/>
        <w:t>BAB V</w:t>
      </w:r>
      <w:r w:rsidRPr="009F75FE">
        <w:rPr>
          <w:color w:val="auto"/>
        </w:rPr>
        <w:br/>
      </w:r>
      <w:r>
        <w:t>PENUTUP</w:t>
      </w:r>
      <w:bookmarkEnd w:id="95"/>
    </w:p>
    <w:p w14:paraId="59FEC40A" w14:textId="6F2C60C1" w:rsidR="000C5021" w:rsidRDefault="000063F5" w:rsidP="003A426C">
      <w:pPr>
        <w:pStyle w:val="Heading2"/>
        <w:numPr>
          <w:ilvl w:val="0"/>
          <w:numId w:val="13"/>
        </w:numPr>
        <w:ind w:left="567" w:hanging="567"/>
        <w:rPr>
          <w:rStyle w:val="fontstyle01"/>
        </w:rPr>
      </w:pPr>
      <w:bookmarkStart w:id="96" w:name="_Toc186220542"/>
      <w:r>
        <w:rPr>
          <w:rStyle w:val="fontstyle01"/>
        </w:rPr>
        <w:t>Kesimpulan</w:t>
      </w:r>
      <w:bookmarkEnd w:id="96"/>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7"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7"/>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8" w:name="_Toc186220544"/>
      <w:r>
        <w:rPr>
          <w:rStyle w:val="fontstyle01"/>
        </w:rPr>
        <w:t>Saran</w:t>
      </w:r>
      <w:bookmarkEnd w:id="98"/>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footerReference w:type="default" r:id="rId23"/>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29C3F" w14:textId="77777777" w:rsidR="00966901" w:rsidRDefault="00966901" w:rsidP="001475AC">
      <w:pPr>
        <w:spacing w:line="240" w:lineRule="auto"/>
      </w:pPr>
      <w:r>
        <w:separator/>
      </w:r>
    </w:p>
  </w:endnote>
  <w:endnote w:type="continuationSeparator" w:id="0">
    <w:p w14:paraId="571EA033" w14:textId="77777777" w:rsidR="00966901" w:rsidRDefault="00966901"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AC85E" w14:textId="77777777" w:rsidR="00966901" w:rsidRDefault="00966901" w:rsidP="001475AC">
      <w:pPr>
        <w:spacing w:line="240" w:lineRule="auto"/>
      </w:pPr>
      <w:r>
        <w:separator/>
      </w:r>
    </w:p>
  </w:footnote>
  <w:footnote w:type="continuationSeparator" w:id="0">
    <w:p w14:paraId="3A1D935E" w14:textId="77777777" w:rsidR="00966901" w:rsidRDefault="00966901"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3373E"/>
    <w:rsid w:val="0004050C"/>
    <w:rsid w:val="00044CA7"/>
    <w:rsid w:val="000451A2"/>
    <w:rsid w:val="0004647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6901"/>
    <w:rsid w:val="00967569"/>
    <w:rsid w:val="009725B7"/>
    <w:rsid w:val="009742D6"/>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411B"/>
    <w:rsid w:val="00BA448F"/>
    <w:rsid w:val="00BA6A25"/>
    <w:rsid w:val="00BB201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26802</TotalTime>
  <Pages>87</Pages>
  <Words>37667</Words>
  <Characters>214706</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251870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489</cp:revision>
  <cp:lastPrinted>2024-08-10T14:00:00Z</cp:lastPrinted>
  <dcterms:created xsi:type="dcterms:W3CDTF">2024-04-19T02:16:00Z</dcterms:created>
  <dcterms:modified xsi:type="dcterms:W3CDTF">2025-06-29T14:46:00Z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