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81DC64" w14:textId="77777777" w:rsidR="00AB6DC4" w:rsidRDefault="00000000">
      <w:pPr>
        <w:pBdr>
          <w:top w:val="single" w:sz="36" w:space="14" w:color="1F3864"/>
        </w:pBdr>
        <w:spacing w:before="1800"/>
      </w:pPr>
      <w:r>
        <w:rPr>
          <w:b/>
          <w:bCs/>
          <w:color w:val="2E75B6"/>
          <w:spacing w:val="60"/>
        </w:rPr>
        <w:t>DATA SCIENCE PORTFOLIO PROJECT</w:t>
      </w:r>
    </w:p>
    <w:p w14:paraId="4EF0D845" w14:textId="77777777" w:rsidR="00AB6DC4" w:rsidRDefault="00000000">
      <w:pPr>
        <w:spacing w:before="240"/>
      </w:pPr>
      <w:r>
        <w:rPr>
          <w:b/>
          <w:bCs/>
          <w:color w:val="1F3864"/>
          <w:sz w:val="68"/>
          <w:szCs w:val="68"/>
        </w:rPr>
        <w:t>TELECOM CUSTOMER</w:t>
      </w:r>
    </w:p>
    <w:p w14:paraId="08A5B725" w14:textId="77777777" w:rsidR="00AB6DC4" w:rsidRDefault="00000000">
      <w:r>
        <w:rPr>
          <w:b/>
          <w:bCs/>
          <w:color w:val="1F3864"/>
          <w:sz w:val="68"/>
          <w:szCs w:val="68"/>
        </w:rPr>
        <w:t>CHURN &amp; RETENTION</w:t>
      </w:r>
    </w:p>
    <w:p w14:paraId="586FC561" w14:textId="77777777" w:rsidR="00AB6DC4" w:rsidRDefault="00000000">
      <w:pPr>
        <w:spacing w:after="240"/>
      </w:pPr>
      <w:r>
        <w:rPr>
          <w:b/>
          <w:bCs/>
          <w:color w:val="1F3864"/>
          <w:sz w:val="68"/>
          <w:szCs w:val="68"/>
        </w:rPr>
        <w:t>ANALYTICS</w:t>
      </w:r>
    </w:p>
    <w:p w14:paraId="52F40A41" w14:textId="376C5907" w:rsidR="00AB6DC4" w:rsidRDefault="00000000">
      <w:pPr>
        <w:pBdr>
          <w:bottom w:val="single" w:sz="12" w:space="10" w:color="2E75B6"/>
        </w:pBdr>
        <w:spacing w:after="480"/>
      </w:pPr>
      <w:r>
        <w:rPr>
          <w:color w:val="2E75B6"/>
          <w:sz w:val="26"/>
          <w:szCs w:val="26"/>
        </w:rPr>
        <w:t xml:space="preserve">Customer </w:t>
      </w:r>
      <w:proofErr w:type="gramStart"/>
      <w:r w:rsidR="00531874">
        <w:rPr>
          <w:color w:val="2E75B6"/>
          <w:sz w:val="26"/>
          <w:szCs w:val="26"/>
        </w:rPr>
        <w:t>behaviour</w:t>
      </w:r>
      <w:r>
        <w:rPr>
          <w:color w:val="2E75B6"/>
          <w:sz w:val="26"/>
          <w:szCs w:val="26"/>
        </w:rPr>
        <w:t xml:space="preserve">  •</w:t>
      </w:r>
      <w:proofErr w:type="gramEnd"/>
      <w:r>
        <w:rPr>
          <w:color w:val="2E75B6"/>
          <w:sz w:val="26"/>
          <w:szCs w:val="26"/>
        </w:rPr>
        <w:t xml:space="preserve">  Churn risk  •  Retention opportunities</w:t>
      </w:r>
    </w:p>
    <w:p w14:paraId="773A4EA7" w14:textId="77777777" w:rsidR="00AB6DC4" w:rsidRDefault="00000000">
      <w:pPr>
        <w:pBdr>
          <w:left w:val="single" w:sz="24" w:space="8" w:color="D6537F"/>
        </w:pBdr>
        <w:shd w:val="clear" w:color="auto" w:fill="FDE9EF"/>
        <w:spacing w:after="200"/>
        <w:ind w:left="140" w:right="140"/>
      </w:pPr>
      <w:r>
        <w:rPr>
          <w:b/>
          <w:bCs/>
          <w:color w:val="1F3864"/>
        </w:rPr>
        <w:t xml:space="preserve">Headline result: </w:t>
      </w:r>
      <w:r>
        <w:t>26.54% of 7,043 customers churned; month-to-month and first-year customers showed the highest observed churn.</w:t>
      </w:r>
    </w:p>
    <w:p w14:paraId="12E86437" w14:textId="77777777" w:rsidR="00AB6DC4" w:rsidRDefault="00AB6DC4">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AB6DC4" w14:paraId="6E8F61B7" w14:textId="77777777">
        <w:trPr>
          <w:cantSplit/>
          <w:tblHeader/>
        </w:trPr>
        <w:tc>
          <w:tcPr>
            <w:tcW w:w="2600" w:type="dxa"/>
            <w:tcBorders>
              <w:top w:val="single" w:sz="4" w:space="0" w:color="C9D6E6"/>
              <w:left w:val="single" w:sz="4" w:space="0" w:color="C9D6E6"/>
              <w:bottom w:val="single" w:sz="4" w:space="0" w:color="C9D6E6"/>
              <w:right w:val="single" w:sz="4" w:space="0" w:color="C9D6E6"/>
            </w:tcBorders>
            <w:shd w:val="clear" w:color="auto" w:fill="1F3864"/>
            <w:tcMar>
              <w:top w:w="70" w:type="dxa"/>
              <w:left w:w="120" w:type="dxa"/>
              <w:bottom w:w="70" w:type="dxa"/>
              <w:right w:w="120" w:type="dxa"/>
            </w:tcMar>
            <w:vAlign w:val="center"/>
          </w:tcPr>
          <w:p w14:paraId="78595C15" w14:textId="77777777" w:rsidR="00AB6DC4" w:rsidRDefault="00000000">
            <w:r>
              <w:rPr>
                <w:b/>
                <w:bCs/>
                <w:color w:val="FFFFFF"/>
                <w:sz w:val="20"/>
                <w:szCs w:val="20"/>
              </w:rPr>
              <w:t>Project detail</w:t>
            </w:r>
          </w:p>
        </w:tc>
        <w:tc>
          <w:tcPr>
            <w:tcW w:w="6426" w:type="dxa"/>
            <w:tcBorders>
              <w:top w:val="single" w:sz="4" w:space="0" w:color="C9D6E6"/>
              <w:left w:val="single" w:sz="4" w:space="0" w:color="C9D6E6"/>
              <w:bottom w:val="single" w:sz="4" w:space="0" w:color="C9D6E6"/>
              <w:right w:val="single" w:sz="4" w:space="0" w:color="C9D6E6"/>
            </w:tcBorders>
            <w:shd w:val="clear" w:color="auto" w:fill="1F3864"/>
            <w:tcMar>
              <w:top w:w="70" w:type="dxa"/>
              <w:left w:w="120" w:type="dxa"/>
              <w:bottom w:w="70" w:type="dxa"/>
              <w:right w:w="120" w:type="dxa"/>
            </w:tcMar>
            <w:vAlign w:val="center"/>
          </w:tcPr>
          <w:p w14:paraId="172E841F" w14:textId="77777777" w:rsidR="00AB6DC4" w:rsidRDefault="00000000">
            <w:r>
              <w:rPr>
                <w:b/>
                <w:bCs/>
                <w:color w:val="FFFFFF"/>
                <w:sz w:val="20"/>
                <w:szCs w:val="20"/>
              </w:rPr>
              <w:t>Description</w:t>
            </w:r>
          </w:p>
        </w:tc>
      </w:tr>
      <w:tr w:rsidR="00AB6DC4" w14:paraId="2A31DBCF" w14:textId="77777777">
        <w:trPr>
          <w:cantSplit/>
        </w:trPr>
        <w:tc>
          <w:tcPr>
            <w:tcW w:w="2600" w:type="dxa"/>
            <w:tcBorders>
              <w:top w:val="single" w:sz="4" w:space="0" w:color="C9D6E6"/>
              <w:left w:val="single" w:sz="4" w:space="0" w:color="C9D6E6"/>
              <w:bottom w:val="single" w:sz="4" w:space="0" w:color="C9D6E6"/>
              <w:right w:val="single" w:sz="4" w:space="0" w:color="C9D6E6"/>
            </w:tcBorders>
            <w:shd w:val="clear" w:color="auto" w:fill="FFFFFF"/>
            <w:tcMar>
              <w:top w:w="70" w:type="dxa"/>
              <w:left w:w="120" w:type="dxa"/>
              <w:bottom w:w="70" w:type="dxa"/>
              <w:right w:w="120" w:type="dxa"/>
            </w:tcMar>
            <w:vAlign w:val="center"/>
          </w:tcPr>
          <w:p w14:paraId="0DA49C20" w14:textId="77777777" w:rsidR="00AB6DC4" w:rsidRDefault="00000000">
            <w:r>
              <w:rPr>
                <w:b/>
                <w:bCs/>
                <w:sz w:val="20"/>
                <w:szCs w:val="20"/>
              </w:rPr>
              <w:t>Dataset</w:t>
            </w:r>
          </w:p>
        </w:tc>
        <w:tc>
          <w:tcPr>
            <w:tcW w:w="6426" w:type="dxa"/>
            <w:tcBorders>
              <w:top w:val="single" w:sz="4" w:space="0" w:color="C9D6E6"/>
              <w:left w:val="single" w:sz="4" w:space="0" w:color="C9D6E6"/>
              <w:bottom w:val="single" w:sz="4" w:space="0" w:color="C9D6E6"/>
              <w:right w:val="single" w:sz="4" w:space="0" w:color="C9D6E6"/>
            </w:tcBorders>
            <w:shd w:val="clear" w:color="auto" w:fill="FFFFFF"/>
            <w:tcMar>
              <w:top w:w="70" w:type="dxa"/>
              <w:left w:w="120" w:type="dxa"/>
              <w:bottom w:w="70" w:type="dxa"/>
              <w:right w:w="120" w:type="dxa"/>
            </w:tcMar>
            <w:vAlign w:val="center"/>
          </w:tcPr>
          <w:p w14:paraId="7F0627CD" w14:textId="77777777" w:rsidR="00AB6DC4" w:rsidRDefault="00000000">
            <w:r>
              <w:rPr>
                <w:sz w:val="20"/>
                <w:szCs w:val="20"/>
              </w:rPr>
              <w:t>IBM Telco Customer Churn (7,043 rows × 21 columns)</w:t>
            </w:r>
          </w:p>
        </w:tc>
      </w:tr>
      <w:tr w:rsidR="00AB6DC4" w14:paraId="68DCC478" w14:textId="77777777">
        <w:trPr>
          <w:cantSplit/>
        </w:trPr>
        <w:tc>
          <w:tcPr>
            <w:tcW w:w="2600" w:type="dxa"/>
            <w:tcBorders>
              <w:top w:val="single" w:sz="4" w:space="0" w:color="C9D6E6"/>
              <w:left w:val="single" w:sz="4" w:space="0" w:color="C9D6E6"/>
              <w:bottom w:val="single" w:sz="4" w:space="0" w:color="C9D6E6"/>
              <w:right w:val="single" w:sz="4" w:space="0" w:color="C9D6E6"/>
            </w:tcBorders>
            <w:shd w:val="clear" w:color="auto" w:fill="F3F8FD"/>
            <w:tcMar>
              <w:top w:w="70" w:type="dxa"/>
              <w:left w:w="120" w:type="dxa"/>
              <w:bottom w:w="70" w:type="dxa"/>
              <w:right w:w="120" w:type="dxa"/>
            </w:tcMar>
            <w:vAlign w:val="center"/>
          </w:tcPr>
          <w:p w14:paraId="55CA633F" w14:textId="77777777" w:rsidR="00AB6DC4" w:rsidRDefault="00000000">
            <w:r>
              <w:rPr>
                <w:b/>
                <w:bCs/>
                <w:sz w:val="20"/>
                <w:szCs w:val="20"/>
              </w:rPr>
              <w:t>Tools</w:t>
            </w:r>
          </w:p>
        </w:tc>
        <w:tc>
          <w:tcPr>
            <w:tcW w:w="6426" w:type="dxa"/>
            <w:tcBorders>
              <w:top w:val="single" w:sz="4" w:space="0" w:color="C9D6E6"/>
              <w:left w:val="single" w:sz="4" w:space="0" w:color="C9D6E6"/>
              <w:bottom w:val="single" w:sz="4" w:space="0" w:color="C9D6E6"/>
              <w:right w:val="single" w:sz="4" w:space="0" w:color="C9D6E6"/>
            </w:tcBorders>
            <w:shd w:val="clear" w:color="auto" w:fill="F3F8FD"/>
            <w:tcMar>
              <w:top w:w="70" w:type="dxa"/>
              <w:left w:w="120" w:type="dxa"/>
              <w:bottom w:w="70" w:type="dxa"/>
              <w:right w:w="120" w:type="dxa"/>
            </w:tcMar>
            <w:vAlign w:val="center"/>
          </w:tcPr>
          <w:p w14:paraId="504E59ED" w14:textId="77777777" w:rsidR="00AB6DC4" w:rsidRDefault="00000000">
            <w:r>
              <w:rPr>
                <w:sz w:val="20"/>
                <w:szCs w:val="20"/>
              </w:rPr>
              <w:t>Microsoft Excel, MySQL, Python (Pandas, NumPy, Matplotlib, Seaborn), Power BI</w:t>
            </w:r>
          </w:p>
        </w:tc>
      </w:tr>
      <w:tr w:rsidR="00AB6DC4" w14:paraId="0DD989D0" w14:textId="77777777">
        <w:trPr>
          <w:cantSplit/>
        </w:trPr>
        <w:tc>
          <w:tcPr>
            <w:tcW w:w="2600" w:type="dxa"/>
            <w:tcBorders>
              <w:top w:val="single" w:sz="4" w:space="0" w:color="C9D6E6"/>
              <w:left w:val="single" w:sz="4" w:space="0" w:color="C9D6E6"/>
              <w:bottom w:val="single" w:sz="4" w:space="0" w:color="C9D6E6"/>
              <w:right w:val="single" w:sz="4" w:space="0" w:color="C9D6E6"/>
            </w:tcBorders>
            <w:shd w:val="clear" w:color="auto" w:fill="FFFFFF"/>
            <w:tcMar>
              <w:top w:w="70" w:type="dxa"/>
              <w:left w:w="120" w:type="dxa"/>
              <w:bottom w:w="70" w:type="dxa"/>
              <w:right w:w="120" w:type="dxa"/>
            </w:tcMar>
            <w:vAlign w:val="center"/>
          </w:tcPr>
          <w:p w14:paraId="786A1498" w14:textId="77777777" w:rsidR="00AB6DC4" w:rsidRDefault="00000000">
            <w:r>
              <w:rPr>
                <w:b/>
                <w:bCs/>
                <w:sz w:val="20"/>
                <w:szCs w:val="20"/>
              </w:rPr>
              <w:t>Objective</w:t>
            </w:r>
          </w:p>
        </w:tc>
        <w:tc>
          <w:tcPr>
            <w:tcW w:w="6426" w:type="dxa"/>
            <w:tcBorders>
              <w:top w:val="single" w:sz="4" w:space="0" w:color="C9D6E6"/>
              <w:left w:val="single" w:sz="4" w:space="0" w:color="C9D6E6"/>
              <w:bottom w:val="single" w:sz="4" w:space="0" w:color="C9D6E6"/>
              <w:right w:val="single" w:sz="4" w:space="0" w:color="C9D6E6"/>
            </w:tcBorders>
            <w:shd w:val="clear" w:color="auto" w:fill="FFFFFF"/>
            <w:tcMar>
              <w:top w:w="70" w:type="dxa"/>
              <w:left w:w="120" w:type="dxa"/>
              <w:bottom w:w="70" w:type="dxa"/>
              <w:right w:w="120" w:type="dxa"/>
            </w:tcMar>
            <w:vAlign w:val="center"/>
          </w:tcPr>
          <w:p w14:paraId="18A505BB" w14:textId="77777777" w:rsidR="00AB6DC4" w:rsidRDefault="00000000">
            <w:proofErr w:type="spellStart"/>
            <w:r>
              <w:rPr>
                <w:sz w:val="20"/>
                <w:szCs w:val="20"/>
              </w:rPr>
              <w:t>Analyze</w:t>
            </w:r>
            <w:proofErr w:type="spellEnd"/>
            <w:r>
              <w:rPr>
                <w:sz w:val="20"/>
                <w:szCs w:val="20"/>
              </w:rPr>
              <w:t xml:space="preserve"> customer churn, identify high-risk customer segments, and recommend data-driven retention strategies</w:t>
            </w:r>
          </w:p>
        </w:tc>
      </w:tr>
      <w:tr w:rsidR="00AB6DC4" w14:paraId="75B7761A" w14:textId="77777777">
        <w:trPr>
          <w:cantSplit/>
        </w:trPr>
        <w:tc>
          <w:tcPr>
            <w:tcW w:w="2600" w:type="dxa"/>
            <w:tcBorders>
              <w:top w:val="single" w:sz="4" w:space="0" w:color="C9D6E6"/>
              <w:left w:val="single" w:sz="4" w:space="0" w:color="C9D6E6"/>
              <w:bottom w:val="single" w:sz="4" w:space="0" w:color="C9D6E6"/>
              <w:right w:val="single" w:sz="4" w:space="0" w:color="C9D6E6"/>
            </w:tcBorders>
            <w:shd w:val="clear" w:color="auto" w:fill="F3F8FD"/>
            <w:tcMar>
              <w:top w:w="70" w:type="dxa"/>
              <w:left w:w="120" w:type="dxa"/>
              <w:bottom w:w="70" w:type="dxa"/>
              <w:right w:w="120" w:type="dxa"/>
            </w:tcMar>
            <w:vAlign w:val="center"/>
          </w:tcPr>
          <w:p w14:paraId="6D88B0D9" w14:textId="77777777" w:rsidR="00AB6DC4" w:rsidRDefault="00000000">
            <w:r>
              <w:rPr>
                <w:b/>
                <w:bCs/>
                <w:sz w:val="20"/>
                <w:szCs w:val="20"/>
              </w:rPr>
              <w:t>Audience</w:t>
            </w:r>
          </w:p>
        </w:tc>
        <w:tc>
          <w:tcPr>
            <w:tcW w:w="6426" w:type="dxa"/>
            <w:tcBorders>
              <w:top w:val="single" w:sz="4" w:space="0" w:color="C9D6E6"/>
              <w:left w:val="single" w:sz="4" w:space="0" w:color="C9D6E6"/>
              <w:bottom w:val="single" w:sz="4" w:space="0" w:color="C9D6E6"/>
              <w:right w:val="single" w:sz="4" w:space="0" w:color="C9D6E6"/>
            </w:tcBorders>
            <w:shd w:val="clear" w:color="auto" w:fill="F3F8FD"/>
            <w:tcMar>
              <w:top w:w="70" w:type="dxa"/>
              <w:left w:w="120" w:type="dxa"/>
              <w:bottom w:w="70" w:type="dxa"/>
              <w:right w:w="120" w:type="dxa"/>
            </w:tcMar>
            <w:vAlign w:val="center"/>
          </w:tcPr>
          <w:p w14:paraId="2FF56F31" w14:textId="77777777" w:rsidR="00AB6DC4" w:rsidRDefault="00000000">
            <w:r>
              <w:rPr>
                <w:sz w:val="20"/>
                <w:szCs w:val="20"/>
              </w:rPr>
              <w:t>Data science internship evaluators, recruiters, and technical interviewers</w:t>
            </w:r>
          </w:p>
        </w:tc>
      </w:tr>
      <w:tr w:rsidR="00AB6DC4" w14:paraId="05BA2B78" w14:textId="77777777">
        <w:trPr>
          <w:cantSplit/>
        </w:trPr>
        <w:tc>
          <w:tcPr>
            <w:tcW w:w="2600" w:type="dxa"/>
            <w:tcBorders>
              <w:top w:val="single" w:sz="4" w:space="0" w:color="C9D6E6"/>
              <w:left w:val="single" w:sz="4" w:space="0" w:color="C9D6E6"/>
              <w:bottom w:val="single" w:sz="4" w:space="0" w:color="C9D6E6"/>
              <w:right w:val="single" w:sz="4" w:space="0" w:color="C9D6E6"/>
            </w:tcBorders>
            <w:shd w:val="clear" w:color="auto" w:fill="FFFFFF"/>
            <w:tcMar>
              <w:top w:w="70" w:type="dxa"/>
              <w:left w:w="120" w:type="dxa"/>
              <w:bottom w:w="70" w:type="dxa"/>
              <w:right w:w="120" w:type="dxa"/>
            </w:tcMar>
            <w:vAlign w:val="center"/>
          </w:tcPr>
          <w:p w14:paraId="1A3AB258" w14:textId="77777777" w:rsidR="00AB6DC4" w:rsidRDefault="00000000">
            <w:r>
              <w:rPr>
                <w:b/>
                <w:bCs/>
                <w:sz w:val="20"/>
                <w:szCs w:val="20"/>
              </w:rPr>
              <w:t>Report type</w:t>
            </w:r>
          </w:p>
        </w:tc>
        <w:tc>
          <w:tcPr>
            <w:tcW w:w="6426" w:type="dxa"/>
            <w:tcBorders>
              <w:top w:val="single" w:sz="4" w:space="0" w:color="C9D6E6"/>
              <w:left w:val="single" w:sz="4" w:space="0" w:color="C9D6E6"/>
              <w:bottom w:val="single" w:sz="4" w:space="0" w:color="C9D6E6"/>
              <w:right w:val="single" w:sz="4" w:space="0" w:color="C9D6E6"/>
            </w:tcBorders>
            <w:shd w:val="clear" w:color="auto" w:fill="FFFFFF"/>
            <w:tcMar>
              <w:top w:w="70" w:type="dxa"/>
              <w:left w:w="120" w:type="dxa"/>
              <w:bottom w:w="70" w:type="dxa"/>
              <w:right w:w="120" w:type="dxa"/>
            </w:tcMar>
            <w:vAlign w:val="center"/>
          </w:tcPr>
          <w:p w14:paraId="58D886DA" w14:textId="77777777" w:rsidR="00AB6DC4" w:rsidRDefault="00000000">
            <w:r>
              <w:rPr>
                <w:sz w:val="20"/>
                <w:szCs w:val="20"/>
              </w:rPr>
              <w:t>Descriptive analytics report (observed associations; no causal claims)</w:t>
            </w:r>
          </w:p>
        </w:tc>
      </w:tr>
      <w:tr w:rsidR="00AB6DC4" w14:paraId="19FE9E4D" w14:textId="77777777">
        <w:trPr>
          <w:cantSplit/>
        </w:trPr>
        <w:tc>
          <w:tcPr>
            <w:tcW w:w="2600" w:type="dxa"/>
            <w:tcBorders>
              <w:top w:val="single" w:sz="4" w:space="0" w:color="C9D6E6"/>
              <w:left w:val="single" w:sz="4" w:space="0" w:color="C9D6E6"/>
              <w:bottom w:val="single" w:sz="4" w:space="0" w:color="C9D6E6"/>
              <w:right w:val="single" w:sz="4" w:space="0" w:color="C9D6E6"/>
            </w:tcBorders>
            <w:shd w:val="clear" w:color="auto" w:fill="F3F8FD"/>
            <w:tcMar>
              <w:top w:w="70" w:type="dxa"/>
              <w:left w:w="120" w:type="dxa"/>
              <w:bottom w:w="70" w:type="dxa"/>
              <w:right w:w="120" w:type="dxa"/>
            </w:tcMar>
            <w:vAlign w:val="center"/>
          </w:tcPr>
          <w:p w14:paraId="52225F01" w14:textId="77777777" w:rsidR="00AB6DC4" w:rsidRDefault="00000000">
            <w:r>
              <w:rPr>
                <w:b/>
                <w:bCs/>
                <w:sz w:val="20"/>
                <w:szCs w:val="20"/>
              </w:rPr>
              <w:t>Document status</w:t>
            </w:r>
          </w:p>
        </w:tc>
        <w:tc>
          <w:tcPr>
            <w:tcW w:w="6426" w:type="dxa"/>
            <w:tcBorders>
              <w:top w:val="single" w:sz="4" w:space="0" w:color="C9D6E6"/>
              <w:left w:val="single" w:sz="4" w:space="0" w:color="C9D6E6"/>
              <w:bottom w:val="single" w:sz="4" w:space="0" w:color="C9D6E6"/>
              <w:right w:val="single" w:sz="4" w:space="0" w:color="C9D6E6"/>
            </w:tcBorders>
            <w:shd w:val="clear" w:color="auto" w:fill="F3F8FD"/>
            <w:tcMar>
              <w:top w:w="70" w:type="dxa"/>
              <w:left w:w="120" w:type="dxa"/>
              <w:bottom w:w="70" w:type="dxa"/>
              <w:right w:w="120" w:type="dxa"/>
            </w:tcMar>
            <w:vAlign w:val="center"/>
          </w:tcPr>
          <w:p w14:paraId="0BA37CFD" w14:textId="77777777" w:rsidR="00AB6DC4" w:rsidRDefault="00000000">
            <w:r>
              <w:rPr>
                <w:sz w:val="20"/>
                <w:szCs w:val="20"/>
              </w:rPr>
              <w:t>Draft for review before PDF export</w:t>
            </w:r>
          </w:p>
        </w:tc>
      </w:tr>
    </w:tbl>
    <w:p w14:paraId="580B9FC7" w14:textId="77777777" w:rsidR="00AB6DC4" w:rsidRDefault="00000000">
      <w:pPr>
        <w:spacing w:before="600"/>
      </w:pPr>
      <w:r>
        <w:rPr>
          <w:i/>
          <w:iCs/>
          <w:color w:val="595959"/>
        </w:rPr>
        <w:t>Prepared as a portfolio project</w:t>
      </w:r>
    </w:p>
    <w:p w14:paraId="50FD6AC9" w14:textId="77777777" w:rsidR="00AB6DC4" w:rsidRDefault="00000000">
      <w:r>
        <w:br w:type="page"/>
      </w:r>
    </w:p>
    <w:p w14:paraId="24F68487" w14:textId="77777777" w:rsidR="00AB6DC4" w:rsidRDefault="00000000">
      <w:pPr>
        <w:pBdr>
          <w:bottom w:val="single" w:sz="8" w:space="6" w:color="2E75B6"/>
        </w:pBdr>
        <w:spacing w:after="200"/>
      </w:pPr>
      <w:r>
        <w:rPr>
          <w:b/>
          <w:bCs/>
          <w:color w:val="1F3864"/>
          <w:sz w:val="36"/>
          <w:szCs w:val="36"/>
        </w:rPr>
        <w:lastRenderedPageBreak/>
        <w:t>Table of Contents</w:t>
      </w:r>
    </w:p>
    <w:p w14:paraId="2046EAEA" w14:textId="77777777" w:rsidR="00AB6DC4" w:rsidRDefault="00AB6DC4">
      <w:pPr>
        <w:tabs>
          <w:tab w:val="right" w:leader="dot" w:pos="9026"/>
        </w:tabs>
        <w:spacing w:before="90" w:after="90"/>
      </w:pPr>
      <w:hyperlink w:anchor="h0" w:history="1">
        <w:r>
          <w:rPr>
            <w:b/>
            <w:bCs/>
            <w:color w:val="1F3864"/>
          </w:rPr>
          <w:t>1. Executive Summary</w:t>
        </w:r>
        <w:r>
          <w:rPr>
            <w:color w:val="595959"/>
            <w:sz w:val="20"/>
            <w:szCs w:val="20"/>
          </w:rPr>
          <w:tab/>
          <w:t>3</w:t>
        </w:r>
      </w:hyperlink>
    </w:p>
    <w:p w14:paraId="5BAECB81" w14:textId="77777777" w:rsidR="00AB6DC4" w:rsidRDefault="00AB6DC4">
      <w:pPr>
        <w:tabs>
          <w:tab w:val="right" w:leader="dot" w:pos="9026"/>
        </w:tabs>
        <w:spacing w:before="90" w:after="90"/>
      </w:pPr>
      <w:hyperlink w:anchor="h1" w:history="1">
        <w:r>
          <w:rPr>
            <w:b/>
            <w:bCs/>
            <w:color w:val="1F3864"/>
          </w:rPr>
          <w:t>2. Project Objectives and Scope</w:t>
        </w:r>
        <w:r>
          <w:rPr>
            <w:color w:val="595959"/>
            <w:sz w:val="20"/>
            <w:szCs w:val="20"/>
          </w:rPr>
          <w:tab/>
          <w:t>3</w:t>
        </w:r>
      </w:hyperlink>
    </w:p>
    <w:p w14:paraId="5BC1EC0D" w14:textId="77777777" w:rsidR="00AB6DC4" w:rsidRDefault="00AB6DC4">
      <w:pPr>
        <w:tabs>
          <w:tab w:val="right" w:leader="dot" w:pos="9026"/>
        </w:tabs>
        <w:spacing w:after="50"/>
        <w:ind w:left="360"/>
      </w:pPr>
      <w:hyperlink w:anchor="h2" w:history="1">
        <w:r>
          <w:rPr>
            <w:color w:val="333333"/>
            <w:sz w:val="20"/>
            <w:szCs w:val="20"/>
          </w:rPr>
          <w:t>2.1 Objectives</w:t>
        </w:r>
        <w:r>
          <w:rPr>
            <w:color w:val="595959"/>
            <w:sz w:val="20"/>
            <w:szCs w:val="20"/>
          </w:rPr>
          <w:tab/>
          <w:t>3</w:t>
        </w:r>
      </w:hyperlink>
    </w:p>
    <w:p w14:paraId="3989A6E9" w14:textId="77777777" w:rsidR="00AB6DC4" w:rsidRDefault="00AB6DC4">
      <w:pPr>
        <w:tabs>
          <w:tab w:val="right" w:leader="dot" w:pos="9026"/>
        </w:tabs>
        <w:spacing w:after="50"/>
        <w:ind w:left="360"/>
      </w:pPr>
      <w:hyperlink w:anchor="h3" w:history="1">
        <w:r>
          <w:rPr>
            <w:color w:val="333333"/>
            <w:sz w:val="20"/>
            <w:szCs w:val="20"/>
          </w:rPr>
          <w:t>2.2 Scope</w:t>
        </w:r>
        <w:r>
          <w:rPr>
            <w:color w:val="595959"/>
            <w:sz w:val="20"/>
            <w:szCs w:val="20"/>
          </w:rPr>
          <w:tab/>
          <w:t>3</w:t>
        </w:r>
      </w:hyperlink>
    </w:p>
    <w:p w14:paraId="70D4F99B" w14:textId="77777777" w:rsidR="00AB6DC4" w:rsidRDefault="00AB6DC4">
      <w:pPr>
        <w:tabs>
          <w:tab w:val="right" w:leader="dot" w:pos="9026"/>
        </w:tabs>
        <w:spacing w:before="90" w:after="90"/>
      </w:pPr>
      <w:hyperlink w:anchor="h4" w:history="1">
        <w:r>
          <w:rPr>
            <w:b/>
            <w:bCs/>
            <w:color w:val="1F3864"/>
          </w:rPr>
          <w:t>3. Dataset Overview</w:t>
        </w:r>
        <w:r>
          <w:rPr>
            <w:color w:val="595959"/>
            <w:sz w:val="20"/>
            <w:szCs w:val="20"/>
          </w:rPr>
          <w:tab/>
          <w:t>4</w:t>
        </w:r>
      </w:hyperlink>
    </w:p>
    <w:p w14:paraId="35789BA8" w14:textId="77777777" w:rsidR="00AB6DC4" w:rsidRDefault="00AB6DC4">
      <w:pPr>
        <w:tabs>
          <w:tab w:val="right" w:leader="dot" w:pos="9026"/>
        </w:tabs>
        <w:spacing w:before="90" w:after="90"/>
      </w:pPr>
      <w:hyperlink w:anchor="h5" w:history="1">
        <w:r>
          <w:rPr>
            <w:b/>
            <w:bCs/>
            <w:color w:val="1F3864"/>
          </w:rPr>
          <w:t>4. Methodology and Tools</w:t>
        </w:r>
        <w:r>
          <w:rPr>
            <w:color w:val="595959"/>
            <w:sz w:val="20"/>
            <w:szCs w:val="20"/>
          </w:rPr>
          <w:tab/>
          <w:t>4</w:t>
        </w:r>
      </w:hyperlink>
    </w:p>
    <w:p w14:paraId="6EF848AE" w14:textId="77777777" w:rsidR="00AB6DC4" w:rsidRDefault="00AB6DC4">
      <w:pPr>
        <w:tabs>
          <w:tab w:val="right" w:leader="dot" w:pos="9026"/>
        </w:tabs>
        <w:spacing w:after="50"/>
        <w:ind w:left="360"/>
      </w:pPr>
      <w:hyperlink w:anchor="h6" w:history="1">
        <w:r>
          <w:rPr>
            <w:color w:val="333333"/>
            <w:sz w:val="20"/>
            <w:szCs w:val="20"/>
          </w:rPr>
          <w:t>4.1 Python workflow</w:t>
        </w:r>
        <w:r>
          <w:rPr>
            <w:color w:val="595959"/>
            <w:sz w:val="20"/>
            <w:szCs w:val="20"/>
          </w:rPr>
          <w:tab/>
          <w:t>4</w:t>
        </w:r>
      </w:hyperlink>
    </w:p>
    <w:p w14:paraId="46093472" w14:textId="77777777" w:rsidR="00AB6DC4" w:rsidRDefault="00AB6DC4">
      <w:pPr>
        <w:tabs>
          <w:tab w:val="right" w:leader="dot" w:pos="9026"/>
        </w:tabs>
        <w:spacing w:after="50"/>
        <w:ind w:left="360"/>
      </w:pPr>
      <w:hyperlink w:anchor="h7" w:history="1">
        <w:r>
          <w:rPr>
            <w:color w:val="333333"/>
            <w:sz w:val="20"/>
            <w:szCs w:val="20"/>
          </w:rPr>
          <w:t>4.2 Metric approach</w:t>
        </w:r>
        <w:r>
          <w:rPr>
            <w:color w:val="595959"/>
            <w:sz w:val="20"/>
            <w:szCs w:val="20"/>
          </w:rPr>
          <w:tab/>
          <w:t>5</w:t>
        </w:r>
      </w:hyperlink>
    </w:p>
    <w:p w14:paraId="6A2DCF5B" w14:textId="77777777" w:rsidR="00AB6DC4" w:rsidRDefault="00AB6DC4">
      <w:pPr>
        <w:tabs>
          <w:tab w:val="right" w:leader="dot" w:pos="9026"/>
        </w:tabs>
        <w:spacing w:before="90" w:after="90"/>
      </w:pPr>
      <w:hyperlink w:anchor="h8" w:history="1">
        <w:r>
          <w:rPr>
            <w:b/>
            <w:bCs/>
            <w:color w:val="1F3864"/>
          </w:rPr>
          <w:t>5. Data Quality and Preparation</w:t>
        </w:r>
        <w:r>
          <w:rPr>
            <w:color w:val="595959"/>
            <w:sz w:val="20"/>
            <w:szCs w:val="20"/>
          </w:rPr>
          <w:tab/>
          <w:t>6</w:t>
        </w:r>
      </w:hyperlink>
    </w:p>
    <w:p w14:paraId="7A78BD02" w14:textId="77777777" w:rsidR="00AB6DC4" w:rsidRDefault="00AB6DC4">
      <w:pPr>
        <w:tabs>
          <w:tab w:val="right" w:leader="dot" w:pos="9026"/>
        </w:tabs>
        <w:spacing w:after="50"/>
        <w:ind w:left="360"/>
      </w:pPr>
      <w:hyperlink w:anchor="h9" w:history="1">
        <w:r>
          <w:rPr>
            <w:color w:val="333333"/>
            <w:sz w:val="20"/>
            <w:szCs w:val="20"/>
          </w:rPr>
          <w:t xml:space="preserve">5.1 Missing </w:t>
        </w:r>
        <w:proofErr w:type="spellStart"/>
        <w:r>
          <w:rPr>
            <w:color w:val="333333"/>
            <w:sz w:val="20"/>
            <w:szCs w:val="20"/>
          </w:rPr>
          <w:t>TotalCharges</w:t>
        </w:r>
        <w:proofErr w:type="spellEnd"/>
        <w:r>
          <w:rPr>
            <w:color w:val="333333"/>
            <w:sz w:val="20"/>
            <w:szCs w:val="20"/>
          </w:rPr>
          <w:t xml:space="preserve"> values</w:t>
        </w:r>
        <w:r>
          <w:rPr>
            <w:color w:val="595959"/>
            <w:sz w:val="20"/>
            <w:szCs w:val="20"/>
          </w:rPr>
          <w:tab/>
          <w:t>6</w:t>
        </w:r>
      </w:hyperlink>
    </w:p>
    <w:p w14:paraId="04F7E599" w14:textId="77777777" w:rsidR="00AB6DC4" w:rsidRDefault="00AB6DC4">
      <w:pPr>
        <w:tabs>
          <w:tab w:val="right" w:leader="dot" w:pos="9026"/>
        </w:tabs>
        <w:spacing w:after="50"/>
        <w:ind w:left="360"/>
      </w:pPr>
      <w:hyperlink w:anchor="h10" w:history="1">
        <w:r>
          <w:rPr>
            <w:color w:val="333333"/>
            <w:sz w:val="20"/>
            <w:szCs w:val="20"/>
          </w:rPr>
          <w:t>5.2 Data-validation note: MySQL Churn field</w:t>
        </w:r>
        <w:r>
          <w:rPr>
            <w:color w:val="595959"/>
            <w:sz w:val="20"/>
            <w:szCs w:val="20"/>
          </w:rPr>
          <w:tab/>
          <w:t>6</w:t>
        </w:r>
      </w:hyperlink>
    </w:p>
    <w:p w14:paraId="352FD967" w14:textId="77777777" w:rsidR="00AB6DC4" w:rsidRDefault="00AB6DC4">
      <w:pPr>
        <w:tabs>
          <w:tab w:val="right" w:leader="dot" w:pos="9026"/>
        </w:tabs>
        <w:spacing w:before="90" w:after="90"/>
      </w:pPr>
      <w:hyperlink w:anchor="h11" w:history="1">
        <w:r>
          <w:rPr>
            <w:b/>
            <w:bCs/>
            <w:color w:val="1F3864"/>
          </w:rPr>
          <w:t>6. Key Findings</w:t>
        </w:r>
        <w:r>
          <w:rPr>
            <w:color w:val="595959"/>
            <w:sz w:val="20"/>
            <w:szCs w:val="20"/>
          </w:rPr>
          <w:tab/>
          <w:t>6</w:t>
        </w:r>
      </w:hyperlink>
    </w:p>
    <w:p w14:paraId="07B40E73" w14:textId="77777777" w:rsidR="00AB6DC4" w:rsidRDefault="00AB6DC4">
      <w:pPr>
        <w:tabs>
          <w:tab w:val="right" w:leader="dot" w:pos="9026"/>
        </w:tabs>
        <w:spacing w:after="50"/>
        <w:ind w:left="360"/>
      </w:pPr>
      <w:hyperlink w:anchor="h12" w:history="1">
        <w:r>
          <w:rPr>
            <w:color w:val="333333"/>
            <w:sz w:val="20"/>
            <w:szCs w:val="20"/>
          </w:rPr>
          <w:t>6.1 Overall churn</w:t>
        </w:r>
        <w:r>
          <w:rPr>
            <w:color w:val="595959"/>
            <w:sz w:val="20"/>
            <w:szCs w:val="20"/>
          </w:rPr>
          <w:tab/>
          <w:t>6</w:t>
        </w:r>
      </w:hyperlink>
    </w:p>
    <w:p w14:paraId="219B16F0" w14:textId="77777777" w:rsidR="00AB6DC4" w:rsidRDefault="00AB6DC4">
      <w:pPr>
        <w:tabs>
          <w:tab w:val="right" w:leader="dot" w:pos="9026"/>
        </w:tabs>
        <w:spacing w:after="50"/>
        <w:ind w:left="360"/>
      </w:pPr>
      <w:hyperlink w:anchor="h13" w:history="1">
        <w:r>
          <w:rPr>
            <w:color w:val="333333"/>
            <w:sz w:val="20"/>
            <w:szCs w:val="20"/>
          </w:rPr>
          <w:t>6.2 Churn by contract type</w:t>
        </w:r>
        <w:r>
          <w:rPr>
            <w:color w:val="595959"/>
            <w:sz w:val="20"/>
            <w:szCs w:val="20"/>
          </w:rPr>
          <w:tab/>
          <w:t>6</w:t>
        </w:r>
      </w:hyperlink>
    </w:p>
    <w:p w14:paraId="55CBC1C3" w14:textId="77777777" w:rsidR="00AB6DC4" w:rsidRDefault="00AB6DC4">
      <w:pPr>
        <w:tabs>
          <w:tab w:val="right" w:leader="dot" w:pos="9026"/>
        </w:tabs>
        <w:spacing w:after="50"/>
        <w:ind w:left="360"/>
      </w:pPr>
      <w:hyperlink w:anchor="h14" w:history="1">
        <w:r>
          <w:rPr>
            <w:color w:val="333333"/>
            <w:sz w:val="20"/>
            <w:szCs w:val="20"/>
          </w:rPr>
          <w:t>6.3 Churn by tenure group</w:t>
        </w:r>
        <w:r>
          <w:rPr>
            <w:color w:val="595959"/>
            <w:sz w:val="20"/>
            <w:szCs w:val="20"/>
          </w:rPr>
          <w:tab/>
          <w:t>7</w:t>
        </w:r>
      </w:hyperlink>
    </w:p>
    <w:p w14:paraId="04D5481C" w14:textId="77777777" w:rsidR="00AB6DC4" w:rsidRDefault="00AB6DC4">
      <w:pPr>
        <w:tabs>
          <w:tab w:val="right" w:leader="dot" w:pos="9026"/>
        </w:tabs>
        <w:spacing w:after="50"/>
        <w:ind w:left="360"/>
      </w:pPr>
      <w:hyperlink w:anchor="h15" w:history="1">
        <w:r>
          <w:rPr>
            <w:color w:val="333333"/>
            <w:sz w:val="20"/>
            <w:szCs w:val="20"/>
          </w:rPr>
          <w:t>6.4 Monthly charges by churn status</w:t>
        </w:r>
        <w:r>
          <w:rPr>
            <w:color w:val="595959"/>
            <w:sz w:val="20"/>
            <w:szCs w:val="20"/>
          </w:rPr>
          <w:tab/>
          <w:t>8</w:t>
        </w:r>
      </w:hyperlink>
    </w:p>
    <w:p w14:paraId="053C0DBA" w14:textId="77777777" w:rsidR="00AB6DC4" w:rsidRDefault="00AB6DC4">
      <w:pPr>
        <w:tabs>
          <w:tab w:val="right" w:leader="dot" w:pos="9026"/>
        </w:tabs>
        <w:spacing w:after="50"/>
        <w:ind w:left="360"/>
      </w:pPr>
      <w:hyperlink w:anchor="h16" w:history="1">
        <w:r>
          <w:rPr>
            <w:color w:val="333333"/>
            <w:sz w:val="20"/>
            <w:szCs w:val="20"/>
          </w:rPr>
          <w:t>6.5 Additional segment observations</w:t>
        </w:r>
        <w:r>
          <w:rPr>
            <w:color w:val="595959"/>
            <w:sz w:val="20"/>
            <w:szCs w:val="20"/>
          </w:rPr>
          <w:tab/>
          <w:t>8</w:t>
        </w:r>
      </w:hyperlink>
    </w:p>
    <w:p w14:paraId="6BE74AD8" w14:textId="77777777" w:rsidR="00AB6DC4" w:rsidRDefault="00AB6DC4">
      <w:pPr>
        <w:tabs>
          <w:tab w:val="right" w:leader="dot" w:pos="9026"/>
        </w:tabs>
        <w:spacing w:before="90" w:after="90"/>
      </w:pPr>
      <w:hyperlink w:anchor="h17" w:history="1">
        <w:r>
          <w:rPr>
            <w:b/>
            <w:bCs/>
            <w:color w:val="1F3864"/>
          </w:rPr>
          <w:t>7. Business Interpretation</w:t>
        </w:r>
        <w:r>
          <w:rPr>
            <w:color w:val="595959"/>
            <w:sz w:val="20"/>
            <w:szCs w:val="20"/>
          </w:rPr>
          <w:tab/>
          <w:t>9</w:t>
        </w:r>
      </w:hyperlink>
    </w:p>
    <w:p w14:paraId="232F3C1A" w14:textId="77777777" w:rsidR="00AB6DC4" w:rsidRDefault="00AB6DC4">
      <w:pPr>
        <w:tabs>
          <w:tab w:val="right" w:leader="dot" w:pos="9026"/>
        </w:tabs>
        <w:spacing w:after="50"/>
        <w:ind w:left="360"/>
      </w:pPr>
      <w:hyperlink w:anchor="h18" w:history="1">
        <w:r>
          <w:rPr>
            <w:color w:val="333333"/>
            <w:sz w:val="20"/>
            <w:szCs w:val="20"/>
          </w:rPr>
          <w:t>7.1 Association versus causation</w:t>
        </w:r>
        <w:r>
          <w:rPr>
            <w:color w:val="595959"/>
            <w:sz w:val="20"/>
            <w:szCs w:val="20"/>
          </w:rPr>
          <w:tab/>
          <w:t>9</w:t>
        </w:r>
      </w:hyperlink>
    </w:p>
    <w:p w14:paraId="66218031" w14:textId="77777777" w:rsidR="00AB6DC4" w:rsidRDefault="00AB6DC4">
      <w:pPr>
        <w:tabs>
          <w:tab w:val="right" w:leader="dot" w:pos="9026"/>
        </w:tabs>
        <w:spacing w:before="90" w:after="90"/>
      </w:pPr>
      <w:hyperlink w:anchor="h19" w:history="1">
        <w:r>
          <w:rPr>
            <w:b/>
            <w:bCs/>
            <w:color w:val="1F3864"/>
          </w:rPr>
          <w:t>8. Recommendations</w:t>
        </w:r>
        <w:r>
          <w:rPr>
            <w:color w:val="595959"/>
            <w:sz w:val="20"/>
            <w:szCs w:val="20"/>
          </w:rPr>
          <w:tab/>
          <w:t>9</w:t>
        </w:r>
      </w:hyperlink>
    </w:p>
    <w:p w14:paraId="2E3FD455" w14:textId="77777777" w:rsidR="00AB6DC4" w:rsidRDefault="00AB6DC4">
      <w:pPr>
        <w:tabs>
          <w:tab w:val="right" w:leader="dot" w:pos="9026"/>
        </w:tabs>
        <w:spacing w:after="50"/>
        <w:ind w:left="360"/>
      </w:pPr>
      <w:hyperlink w:anchor="h20" w:history="1">
        <w:r>
          <w:rPr>
            <w:color w:val="333333"/>
            <w:sz w:val="20"/>
            <w:szCs w:val="20"/>
          </w:rPr>
          <w:t>8.1 Early-stage onboarding and retention campaigns</w:t>
        </w:r>
        <w:r>
          <w:rPr>
            <w:color w:val="595959"/>
            <w:sz w:val="20"/>
            <w:szCs w:val="20"/>
          </w:rPr>
          <w:tab/>
          <w:t>9</w:t>
        </w:r>
      </w:hyperlink>
    </w:p>
    <w:p w14:paraId="61C1965F" w14:textId="77777777" w:rsidR="00AB6DC4" w:rsidRDefault="00AB6DC4">
      <w:pPr>
        <w:tabs>
          <w:tab w:val="right" w:leader="dot" w:pos="9026"/>
        </w:tabs>
        <w:spacing w:after="50"/>
        <w:ind w:left="360"/>
      </w:pPr>
      <w:hyperlink w:anchor="h21" w:history="1">
        <w:r>
          <w:rPr>
            <w:color w:val="333333"/>
            <w:sz w:val="20"/>
            <w:szCs w:val="20"/>
          </w:rPr>
          <w:t>8.2 Test longer-term contract incentives</w:t>
        </w:r>
        <w:r>
          <w:rPr>
            <w:color w:val="595959"/>
            <w:sz w:val="20"/>
            <w:szCs w:val="20"/>
          </w:rPr>
          <w:tab/>
          <w:t>9</w:t>
        </w:r>
      </w:hyperlink>
    </w:p>
    <w:p w14:paraId="5AB29E04" w14:textId="77777777" w:rsidR="00AB6DC4" w:rsidRDefault="00AB6DC4">
      <w:pPr>
        <w:tabs>
          <w:tab w:val="right" w:leader="dot" w:pos="9026"/>
        </w:tabs>
        <w:spacing w:after="50"/>
        <w:ind w:left="360"/>
      </w:pPr>
      <w:hyperlink w:anchor="h22" w:history="1">
        <w:r>
          <w:rPr>
            <w:color w:val="333333"/>
            <w:sz w:val="20"/>
            <w:szCs w:val="20"/>
          </w:rPr>
          <w:t>8.3 Investigate billing, service quality, and support</w:t>
        </w:r>
        <w:r>
          <w:rPr>
            <w:color w:val="595959"/>
            <w:sz w:val="20"/>
            <w:szCs w:val="20"/>
          </w:rPr>
          <w:tab/>
          <w:t>9</w:t>
        </w:r>
      </w:hyperlink>
    </w:p>
    <w:p w14:paraId="1164E1B0" w14:textId="77777777" w:rsidR="00AB6DC4" w:rsidRDefault="00AB6DC4">
      <w:pPr>
        <w:tabs>
          <w:tab w:val="right" w:leader="dot" w:pos="9026"/>
        </w:tabs>
        <w:spacing w:after="50"/>
        <w:ind w:left="360"/>
      </w:pPr>
      <w:hyperlink w:anchor="h23" w:history="1">
        <w:r>
          <w:rPr>
            <w:color w:val="333333"/>
            <w:sz w:val="20"/>
            <w:szCs w:val="20"/>
          </w:rPr>
          <w:t>8.4 Monitor outcomes</w:t>
        </w:r>
        <w:r>
          <w:rPr>
            <w:color w:val="595959"/>
            <w:sz w:val="20"/>
            <w:szCs w:val="20"/>
          </w:rPr>
          <w:tab/>
          <w:t>10</w:t>
        </w:r>
      </w:hyperlink>
    </w:p>
    <w:p w14:paraId="6632D56E" w14:textId="77777777" w:rsidR="00AB6DC4" w:rsidRDefault="00AB6DC4">
      <w:pPr>
        <w:tabs>
          <w:tab w:val="right" w:leader="dot" w:pos="9026"/>
        </w:tabs>
        <w:spacing w:before="90" w:after="90"/>
      </w:pPr>
      <w:hyperlink w:anchor="h24" w:history="1">
        <w:r>
          <w:rPr>
            <w:b/>
            <w:bCs/>
            <w:color w:val="1F3864"/>
          </w:rPr>
          <w:t>9. Power BI Dashboard Design and Usage</w:t>
        </w:r>
        <w:r>
          <w:rPr>
            <w:color w:val="595959"/>
            <w:sz w:val="20"/>
            <w:szCs w:val="20"/>
          </w:rPr>
          <w:tab/>
          <w:t>11</w:t>
        </w:r>
      </w:hyperlink>
    </w:p>
    <w:p w14:paraId="4732DB84" w14:textId="77777777" w:rsidR="00AB6DC4" w:rsidRDefault="00AB6DC4">
      <w:pPr>
        <w:tabs>
          <w:tab w:val="right" w:leader="dot" w:pos="9026"/>
        </w:tabs>
        <w:spacing w:after="50"/>
        <w:ind w:left="360"/>
      </w:pPr>
      <w:hyperlink w:anchor="h25" w:history="1">
        <w:r>
          <w:rPr>
            <w:color w:val="333333"/>
            <w:sz w:val="20"/>
            <w:szCs w:val="20"/>
          </w:rPr>
          <w:t>9.1 Dashboard components</w:t>
        </w:r>
        <w:r>
          <w:rPr>
            <w:color w:val="595959"/>
            <w:sz w:val="20"/>
            <w:szCs w:val="20"/>
          </w:rPr>
          <w:tab/>
          <w:t>11</w:t>
        </w:r>
      </w:hyperlink>
    </w:p>
    <w:p w14:paraId="051C28C7" w14:textId="77777777" w:rsidR="00AB6DC4" w:rsidRDefault="00AB6DC4">
      <w:pPr>
        <w:tabs>
          <w:tab w:val="right" w:leader="dot" w:pos="9026"/>
        </w:tabs>
        <w:spacing w:after="50"/>
        <w:ind w:left="360"/>
      </w:pPr>
      <w:hyperlink w:anchor="h26" w:history="1">
        <w:r>
          <w:rPr>
            <w:color w:val="333333"/>
            <w:sz w:val="20"/>
            <w:szCs w:val="20"/>
          </w:rPr>
          <w:t>9.2 Suggested layout</w:t>
        </w:r>
        <w:r>
          <w:rPr>
            <w:color w:val="595959"/>
            <w:sz w:val="20"/>
            <w:szCs w:val="20"/>
          </w:rPr>
          <w:tab/>
          <w:t>11</w:t>
        </w:r>
      </w:hyperlink>
    </w:p>
    <w:p w14:paraId="24551B42" w14:textId="77777777" w:rsidR="00AB6DC4" w:rsidRDefault="00AB6DC4">
      <w:pPr>
        <w:tabs>
          <w:tab w:val="right" w:leader="dot" w:pos="9026"/>
        </w:tabs>
        <w:spacing w:after="50"/>
        <w:ind w:left="360"/>
      </w:pPr>
      <w:hyperlink w:anchor="h27" w:history="1">
        <w:r>
          <w:rPr>
            <w:color w:val="333333"/>
            <w:sz w:val="20"/>
            <w:szCs w:val="20"/>
          </w:rPr>
          <w:t>9.3 Usage guidance</w:t>
        </w:r>
        <w:r>
          <w:rPr>
            <w:color w:val="595959"/>
            <w:sz w:val="20"/>
            <w:szCs w:val="20"/>
          </w:rPr>
          <w:tab/>
          <w:t>11</w:t>
        </w:r>
      </w:hyperlink>
    </w:p>
    <w:p w14:paraId="700378F5" w14:textId="77777777" w:rsidR="00AB6DC4" w:rsidRDefault="00AB6DC4">
      <w:pPr>
        <w:tabs>
          <w:tab w:val="right" w:leader="dot" w:pos="9026"/>
        </w:tabs>
        <w:spacing w:before="90" w:after="90"/>
      </w:pPr>
      <w:hyperlink w:anchor="h28" w:history="1">
        <w:r>
          <w:rPr>
            <w:b/>
            <w:bCs/>
            <w:color w:val="1F3864"/>
          </w:rPr>
          <w:t>10. Limitations</w:t>
        </w:r>
        <w:r>
          <w:rPr>
            <w:color w:val="595959"/>
            <w:sz w:val="20"/>
            <w:szCs w:val="20"/>
          </w:rPr>
          <w:tab/>
          <w:t>11</w:t>
        </w:r>
      </w:hyperlink>
    </w:p>
    <w:p w14:paraId="504441DE" w14:textId="77777777" w:rsidR="00AB6DC4" w:rsidRDefault="00AB6DC4">
      <w:pPr>
        <w:tabs>
          <w:tab w:val="right" w:leader="dot" w:pos="9026"/>
        </w:tabs>
        <w:spacing w:before="90" w:after="90"/>
      </w:pPr>
      <w:hyperlink w:anchor="h29" w:history="1">
        <w:r>
          <w:rPr>
            <w:b/>
            <w:bCs/>
            <w:color w:val="1F3864"/>
          </w:rPr>
          <w:t>11. Conclusion</w:t>
        </w:r>
        <w:r>
          <w:rPr>
            <w:color w:val="595959"/>
            <w:sz w:val="20"/>
            <w:szCs w:val="20"/>
          </w:rPr>
          <w:tab/>
          <w:t>12</w:t>
        </w:r>
      </w:hyperlink>
    </w:p>
    <w:p w14:paraId="659FCD05" w14:textId="77777777" w:rsidR="00AB6DC4" w:rsidRDefault="00AB6DC4">
      <w:pPr>
        <w:tabs>
          <w:tab w:val="right" w:leader="dot" w:pos="9026"/>
        </w:tabs>
        <w:spacing w:before="90" w:after="90"/>
      </w:pPr>
      <w:hyperlink w:anchor="h30" w:history="1">
        <w:r>
          <w:rPr>
            <w:b/>
            <w:bCs/>
            <w:color w:val="1F3864"/>
          </w:rPr>
          <w:t>Appendix A: KPI Definitions</w:t>
        </w:r>
        <w:r>
          <w:rPr>
            <w:color w:val="595959"/>
            <w:sz w:val="20"/>
            <w:szCs w:val="20"/>
          </w:rPr>
          <w:tab/>
          <w:t>12</w:t>
        </w:r>
      </w:hyperlink>
    </w:p>
    <w:p w14:paraId="3E891DD2" w14:textId="77777777" w:rsidR="00AB6DC4" w:rsidRDefault="00AB6DC4">
      <w:pPr>
        <w:tabs>
          <w:tab w:val="right" w:leader="dot" w:pos="9026"/>
        </w:tabs>
        <w:spacing w:before="90" w:after="90"/>
      </w:pPr>
      <w:hyperlink w:anchor="h31" w:history="1">
        <w:r>
          <w:rPr>
            <w:b/>
            <w:bCs/>
            <w:color w:val="1F3864"/>
          </w:rPr>
          <w:t>Appendix B: Project Deliverables Checklist</w:t>
        </w:r>
        <w:r>
          <w:rPr>
            <w:color w:val="595959"/>
            <w:sz w:val="20"/>
            <w:szCs w:val="20"/>
          </w:rPr>
          <w:tab/>
          <w:t>12</w:t>
        </w:r>
      </w:hyperlink>
    </w:p>
    <w:p w14:paraId="2D49D56F" w14:textId="77777777" w:rsidR="00AB6DC4" w:rsidRDefault="00AB6DC4">
      <w:pPr>
        <w:sectPr w:rsidR="00AB6DC4">
          <w:headerReference w:type="default" r:id="rId7"/>
          <w:footerReference w:type="default" r:id="rId8"/>
          <w:headerReference w:type="first" r:id="rId9"/>
          <w:footerReference w:type="first" r:id="rId10"/>
          <w:pgSz w:w="11906" w:h="16838"/>
          <w:pgMar w:top="1300" w:right="1440" w:bottom="1200" w:left="1440" w:header="600" w:footer="500" w:gutter="0"/>
          <w:cols w:space="720"/>
          <w:titlePg/>
          <w:docGrid w:linePitch="360"/>
        </w:sectPr>
      </w:pPr>
    </w:p>
    <w:p w14:paraId="048DDC7E" w14:textId="77777777" w:rsidR="00AB6DC4" w:rsidRDefault="00000000">
      <w:pPr>
        <w:pStyle w:val="Heading1"/>
        <w:pageBreakBefore/>
      </w:pPr>
      <w:bookmarkStart w:id="0" w:name="h0"/>
      <w:r>
        <w:lastRenderedPageBreak/>
        <w:t>1. Executive Summary</w:t>
      </w:r>
      <w:bookmarkEnd w:id="0"/>
    </w:p>
    <w:p w14:paraId="51508718" w14:textId="65D12A44" w:rsidR="00AB6DC4" w:rsidRDefault="00000000">
      <w:pPr>
        <w:spacing w:after="120" w:line="276" w:lineRule="auto"/>
      </w:pPr>
      <w:r>
        <w:t xml:space="preserve">This report </w:t>
      </w:r>
      <w:r w:rsidR="00531874">
        <w:t>analyses</w:t>
      </w:r>
      <w:r>
        <w:t xml:space="preserve"> customer churn in the IBM Telco Customer Churn dataset. It measures overall churn and retention, compares churn across contract types, tenure groups, and selected service and payment segments, and translates the observed patterns into practical retention recommendations.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AB6DC4" w14:paraId="5ABA31AA" w14:textId="77777777">
        <w:trPr>
          <w:cantSplit/>
          <w:tblHeader/>
        </w:trPr>
        <w:tc>
          <w:tcPr>
            <w:tcW w:w="4513" w:type="dxa"/>
            <w:tcBorders>
              <w:top w:val="single" w:sz="4" w:space="0" w:color="C9D6E6"/>
              <w:left w:val="single" w:sz="4" w:space="0" w:color="C9D6E6"/>
              <w:bottom w:val="single" w:sz="4" w:space="0" w:color="C9D6E6"/>
              <w:right w:val="single" w:sz="4" w:space="0" w:color="C9D6E6"/>
            </w:tcBorders>
            <w:shd w:val="clear" w:color="auto" w:fill="1F3864"/>
            <w:tcMar>
              <w:top w:w="70" w:type="dxa"/>
              <w:left w:w="120" w:type="dxa"/>
              <w:bottom w:w="70" w:type="dxa"/>
              <w:right w:w="120" w:type="dxa"/>
            </w:tcMar>
            <w:vAlign w:val="center"/>
          </w:tcPr>
          <w:p w14:paraId="195B7BD6" w14:textId="77777777" w:rsidR="00AB6DC4" w:rsidRDefault="00000000">
            <w:r>
              <w:rPr>
                <w:b/>
                <w:bCs/>
                <w:color w:val="FFFFFF"/>
                <w:sz w:val="20"/>
                <w:szCs w:val="20"/>
              </w:rPr>
              <w:t>Overall KPI</w:t>
            </w:r>
          </w:p>
        </w:tc>
        <w:tc>
          <w:tcPr>
            <w:tcW w:w="4513" w:type="dxa"/>
            <w:tcBorders>
              <w:top w:val="single" w:sz="4" w:space="0" w:color="C9D6E6"/>
              <w:left w:val="single" w:sz="4" w:space="0" w:color="C9D6E6"/>
              <w:bottom w:val="single" w:sz="4" w:space="0" w:color="C9D6E6"/>
              <w:right w:val="single" w:sz="4" w:space="0" w:color="C9D6E6"/>
            </w:tcBorders>
            <w:shd w:val="clear" w:color="auto" w:fill="1F3864"/>
            <w:tcMar>
              <w:top w:w="70" w:type="dxa"/>
              <w:left w:w="120" w:type="dxa"/>
              <w:bottom w:w="70" w:type="dxa"/>
              <w:right w:w="120" w:type="dxa"/>
            </w:tcMar>
            <w:vAlign w:val="center"/>
          </w:tcPr>
          <w:p w14:paraId="65AA8B98" w14:textId="77777777" w:rsidR="00AB6DC4" w:rsidRDefault="00000000">
            <w:pPr>
              <w:jc w:val="right"/>
            </w:pPr>
            <w:r>
              <w:rPr>
                <w:b/>
                <w:bCs/>
                <w:color w:val="FFFFFF"/>
                <w:sz w:val="20"/>
                <w:szCs w:val="20"/>
              </w:rPr>
              <w:t>Result</w:t>
            </w:r>
          </w:p>
        </w:tc>
      </w:tr>
      <w:tr w:rsidR="00AB6DC4" w14:paraId="2C46338B" w14:textId="77777777">
        <w:trPr>
          <w:cantSplit/>
        </w:trPr>
        <w:tc>
          <w:tcPr>
            <w:tcW w:w="4513" w:type="dxa"/>
            <w:tcBorders>
              <w:top w:val="single" w:sz="4" w:space="0" w:color="C9D6E6"/>
              <w:left w:val="single" w:sz="4" w:space="0" w:color="C9D6E6"/>
              <w:bottom w:val="single" w:sz="4" w:space="0" w:color="C9D6E6"/>
              <w:right w:val="single" w:sz="4" w:space="0" w:color="C9D6E6"/>
            </w:tcBorders>
            <w:shd w:val="clear" w:color="auto" w:fill="FFFFFF"/>
            <w:tcMar>
              <w:top w:w="70" w:type="dxa"/>
              <w:left w:w="120" w:type="dxa"/>
              <w:bottom w:w="70" w:type="dxa"/>
              <w:right w:w="120" w:type="dxa"/>
            </w:tcMar>
            <w:vAlign w:val="center"/>
          </w:tcPr>
          <w:p w14:paraId="341032BB" w14:textId="77777777" w:rsidR="00AB6DC4" w:rsidRDefault="00000000">
            <w:r>
              <w:rPr>
                <w:sz w:val="20"/>
                <w:szCs w:val="20"/>
              </w:rPr>
              <w:t>Total customers</w:t>
            </w:r>
          </w:p>
        </w:tc>
        <w:tc>
          <w:tcPr>
            <w:tcW w:w="4513" w:type="dxa"/>
            <w:tcBorders>
              <w:top w:val="single" w:sz="4" w:space="0" w:color="C9D6E6"/>
              <w:left w:val="single" w:sz="4" w:space="0" w:color="C9D6E6"/>
              <w:bottom w:val="single" w:sz="4" w:space="0" w:color="C9D6E6"/>
              <w:right w:val="single" w:sz="4" w:space="0" w:color="C9D6E6"/>
            </w:tcBorders>
            <w:shd w:val="clear" w:color="auto" w:fill="FFFFFF"/>
            <w:tcMar>
              <w:top w:w="70" w:type="dxa"/>
              <w:left w:w="120" w:type="dxa"/>
              <w:bottom w:w="70" w:type="dxa"/>
              <w:right w:w="120" w:type="dxa"/>
            </w:tcMar>
            <w:vAlign w:val="center"/>
          </w:tcPr>
          <w:p w14:paraId="6C76FFF4" w14:textId="77777777" w:rsidR="00AB6DC4" w:rsidRDefault="00000000">
            <w:pPr>
              <w:jc w:val="right"/>
            </w:pPr>
            <w:r>
              <w:rPr>
                <w:sz w:val="20"/>
                <w:szCs w:val="20"/>
              </w:rPr>
              <w:t>7,043</w:t>
            </w:r>
          </w:p>
        </w:tc>
      </w:tr>
      <w:tr w:rsidR="00AB6DC4" w14:paraId="482A27E6" w14:textId="77777777">
        <w:trPr>
          <w:cantSplit/>
        </w:trPr>
        <w:tc>
          <w:tcPr>
            <w:tcW w:w="4513" w:type="dxa"/>
            <w:tcBorders>
              <w:top w:val="single" w:sz="4" w:space="0" w:color="C9D6E6"/>
              <w:left w:val="single" w:sz="4" w:space="0" w:color="C9D6E6"/>
              <w:bottom w:val="single" w:sz="4" w:space="0" w:color="C9D6E6"/>
              <w:right w:val="single" w:sz="4" w:space="0" w:color="C9D6E6"/>
            </w:tcBorders>
            <w:shd w:val="clear" w:color="auto" w:fill="F3F8FD"/>
            <w:tcMar>
              <w:top w:w="70" w:type="dxa"/>
              <w:left w:w="120" w:type="dxa"/>
              <w:bottom w:w="70" w:type="dxa"/>
              <w:right w:w="120" w:type="dxa"/>
            </w:tcMar>
            <w:vAlign w:val="center"/>
          </w:tcPr>
          <w:p w14:paraId="1C3437BC" w14:textId="77777777" w:rsidR="00AB6DC4" w:rsidRDefault="00000000">
            <w:r>
              <w:rPr>
                <w:sz w:val="20"/>
                <w:szCs w:val="20"/>
              </w:rPr>
              <w:t>Churned customers</w:t>
            </w:r>
          </w:p>
        </w:tc>
        <w:tc>
          <w:tcPr>
            <w:tcW w:w="4513" w:type="dxa"/>
            <w:tcBorders>
              <w:top w:val="single" w:sz="4" w:space="0" w:color="C9D6E6"/>
              <w:left w:val="single" w:sz="4" w:space="0" w:color="C9D6E6"/>
              <w:bottom w:val="single" w:sz="4" w:space="0" w:color="C9D6E6"/>
              <w:right w:val="single" w:sz="4" w:space="0" w:color="C9D6E6"/>
            </w:tcBorders>
            <w:shd w:val="clear" w:color="auto" w:fill="F3F8FD"/>
            <w:tcMar>
              <w:top w:w="70" w:type="dxa"/>
              <w:left w:w="120" w:type="dxa"/>
              <w:bottom w:w="70" w:type="dxa"/>
              <w:right w:w="120" w:type="dxa"/>
            </w:tcMar>
            <w:vAlign w:val="center"/>
          </w:tcPr>
          <w:p w14:paraId="1A4AF1C7" w14:textId="77777777" w:rsidR="00AB6DC4" w:rsidRDefault="00000000">
            <w:pPr>
              <w:jc w:val="right"/>
            </w:pPr>
            <w:r>
              <w:rPr>
                <w:sz w:val="20"/>
                <w:szCs w:val="20"/>
              </w:rPr>
              <w:t>1,869</w:t>
            </w:r>
          </w:p>
        </w:tc>
      </w:tr>
      <w:tr w:rsidR="00AB6DC4" w14:paraId="7418DAA0" w14:textId="77777777">
        <w:trPr>
          <w:cantSplit/>
        </w:trPr>
        <w:tc>
          <w:tcPr>
            <w:tcW w:w="4513" w:type="dxa"/>
            <w:tcBorders>
              <w:top w:val="single" w:sz="4" w:space="0" w:color="C9D6E6"/>
              <w:left w:val="single" w:sz="4" w:space="0" w:color="C9D6E6"/>
              <w:bottom w:val="single" w:sz="4" w:space="0" w:color="C9D6E6"/>
              <w:right w:val="single" w:sz="4" w:space="0" w:color="C9D6E6"/>
            </w:tcBorders>
            <w:shd w:val="clear" w:color="auto" w:fill="FFFFFF"/>
            <w:tcMar>
              <w:top w:w="70" w:type="dxa"/>
              <w:left w:w="120" w:type="dxa"/>
              <w:bottom w:w="70" w:type="dxa"/>
              <w:right w:w="120" w:type="dxa"/>
            </w:tcMar>
            <w:vAlign w:val="center"/>
          </w:tcPr>
          <w:p w14:paraId="14497CC5" w14:textId="77777777" w:rsidR="00AB6DC4" w:rsidRDefault="00000000">
            <w:r>
              <w:rPr>
                <w:sz w:val="20"/>
                <w:szCs w:val="20"/>
              </w:rPr>
              <w:t>Retained customers</w:t>
            </w:r>
          </w:p>
        </w:tc>
        <w:tc>
          <w:tcPr>
            <w:tcW w:w="4513" w:type="dxa"/>
            <w:tcBorders>
              <w:top w:val="single" w:sz="4" w:space="0" w:color="C9D6E6"/>
              <w:left w:val="single" w:sz="4" w:space="0" w:color="C9D6E6"/>
              <w:bottom w:val="single" w:sz="4" w:space="0" w:color="C9D6E6"/>
              <w:right w:val="single" w:sz="4" w:space="0" w:color="C9D6E6"/>
            </w:tcBorders>
            <w:shd w:val="clear" w:color="auto" w:fill="FFFFFF"/>
            <w:tcMar>
              <w:top w:w="70" w:type="dxa"/>
              <w:left w:w="120" w:type="dxa"/>
              <w:bottom w:w="70" w:type="dxa"/>
              <w:right w:w="120" w:type="dxa"/>
            </w:tcMar>
            <w:vAlign w:val="center"/>
          </w:tcPr>
          <w:p w14:paraId="62445FB7" w14:textId="77777777" w:rsidR="00AB6DC4" w:rsidRDefault="00000000">
            <w:pPr>
              <w:jc w:val="right"/>
            </w:pPr>
            <w:r>
              <w:rPr>
                <w:sz w:val="20"/>
                <w:szCs w:val="20"/>
              </w:rPr>
              <w:t>5,174</w:t>
            </w:r>
          </w:p>
        </w:tc>
      </w:tr>
      <w:tr w:rsidR="00AB6DC4" w14:paraId="386678FD" w14:textId="77777777">
        <w:trPr>
          <w:cantSplit/>
        </w:trPr>
        <w:tc>
          <w:tcPr>
            <w:tcW w:w="4513" w:type="dxa"/>
            <w:tcBorders>
              <w:top w:val="single" w:sz="4" w:space="0" w:color="C9D6E6"/>
              <w:left w:val="single" w:sz="4" w:space="0" w:color="C9D6E6"/>
              <w:bottom w:val="single" w:sz="4" w:space="0" w:color="C9D6E6"/>
              <w:right w:val="single" w:sz="4" w:space="0" w:color="C9D6E6"/>
            </w:tcBorders>
            <w:shd w:val="clear" w:color="auto" w:fill="FDE9EF"/>
            <w:tcMar>
              <w:top w:w="70" w:type="dxa"/>
              <w:left w:w="120" w:type="dxa"/>
              <w:bottom w:w="70" w:type="dxa"/>
              <w:right w:w="120" w:type="dxa"/>
            </w:tcMar>
            <w:vAlign w:val="center"/>
          </w:tcPr>
          <w:p w14:paraId="78882295" w14:textId="77777777" w:rsidR="00AB6DC4" w:rsidRDefault="00000000">
            <w:r>
              <w:rPr>
                <w:sz w:val="20"/>
                <w:szCs w:val="20"/>
              </w:rPr>
              <w:t>Overall churn rate</w:t>
            </w:r>
          </w:p>
        </w:tc>
        <w:tc>
          <w:tcPr>
            <w:tcW w:w="4513" w:type="dxa"/>
            <w:tcBorders>
              <w:top w:val="single" w:sz="4" w:space="0" w:color="C9D6E6"/>
              <w:left w:val="single" w:sz="4" w:space="0" w:color="C9D6E6"/>
              <w:bottom w:val="single" w:sz="4" w:space="0" w:color="C9D6E6"/>
              <w:right w:val="single" w:sz="4" w:space="0" w:color="C9D6E6"/>
            </w:tcBorders>
            <w:shd w:val="clear" w:color="auto" w:fill="FDE9EF"/>
            <w:tcMar>
              <w:top w:w="70" w:type="dxa"/>
              <w:left w:w="120" w:type="dxa"/>
              <w:bottom w:w="70" w:type="dxa"/>
              <w:right w:w="120" w:type="dxa"/>
            </w:tcMar>
            <w:vAlign w:val="center"/>
          </w:tcPr>
          <w:p w14:paraId="19A3B514" w14:textId="77777777" w:rsidR="00AB6DC4" w:rsidRDefault="00000000">
            <w:pPr>
              <w:jc w:val="right"/>
            </w:pPr>
            <w:r>
              <w:rPr>
                <w:sz w:val="20"/>
                <w:szCs w:val="20"/>
              </w:rPr>
              <w:t>26.54%</w:t>
            </w:r>
          </w:p>
        </w:tc>
      </w:tr>
      <w:tr w:rsidR="00AB6DC4" w14:paraId="2F11DC82" w14:textId="77777777">
        <w:trPr>
          <w:cantSplit/>
        </w:trPr>
        <w:tc>
          <w:tcPr>
            <w:tcW w:w="4513" w:type="dxa"/>
            <w:tcBorders>
              <w:top w:val="single" w:sz="4" w:space="0" w:color="C9D6E6"/>
              <w:left w:val="single" w:sz="4" w:space="0" w:color="C9D6E6"/>
              <w:bottom w:val="single" w:sz="4" w:space="0" w:color="C9D6E6"/>
              <w:right w:val="single" w:sz="4" w:space="0" w:color="C9D6E6"/>
            </w:tcBorders>
            <w:shd w:val="clear" w:color="auto" w:fill="FFFFFF"/>
            <w:tcMar>
              <w:top w:w="70" w:type="dxa"/>
              <w:left w:w="120" w:type="dxa"/>
              <w:bottom w:w="70" w:type="dxa"/>
              <w:right w:w="120" w:type="dxa"/>
            </w:tcMar>
            <w:vAlign w:val="center"/>
          </w:tcPr>
          <w:p w14:paraId="4E3C48A4" w14:textId="77777777" w:rsidR="00AB6DC4" w:rsidRDefault="00000000">
            <w:r>
              <w:rPr>
                <w:sz w:val="20"/>
                <w:szCs w:val="20"/>
              </w:rPr>
              <w:t>Retention rate</w:t>
            </w:r>
          </w:p>
        </w:tc>
        <w:tc>
          <w:tcPr>
            <w:tcW w:w="4513" w:type="dxa"/>
            <w:tcBorders>
              <w:top w:val="single" w:sz="4" w:space="0" w:color="C9D6E6"/>
              <w:left w:val="single" w:sz="4" w:space="0" w:color="C9D6E6"/>
              <w:bottom w:val="single" w:sz="4" w:space="0" w:color="C9D6E6"/>
              <w:right w:val="single" w:sz="4" w:space="0" w:color="C9D6E6"/>
            </w:tcBorders>
            <w:shd w:val="clear" w:color="auto" w:fill="FFFFFF"/>
            <w:tcMar>
              <w:top w:w="70" w:type="dxa"/>
              <w:left w:w="120" w:type="dxa"/>
              <w:bottom w:w="70" w:type="dxa"/>
              <w:right w:w="120" w:type="dxa"/>
            </w:tcMar>
            <w:vAlign w:val="center"/>
          </w:tcPr>
          <w:p w14:paraId="79BBA766" w14:textId="77777777" w:rsidR="00AB6DC4" w:rsidRDefault="00000000">
            <w:pPr>
              <w:jc w:val="right"/>
            </w:pPr>
            <w:r>
              <w:rPr>
                <w:sz w:val="20"/>
                <w:szCs w:val="20"/>
              </w:rPr>
              <w:t>73.46%</w:t>
            </w:r>
          </w:p>
        </w:tc>
      </w:tr>
    </w:tbl>
    <w:p w14:paraId="5B4522CB" w14:textId="77777777" w:rsidR="00AB6DC4" w:rsidRDefault="00000000">
      <w:pPr>
        <w:spacing w:before="60" w:after="200"/>
      </w:pPr>
      <w:r>
        <w:rPr>
          <w:i/>
          <w:iCs/>
          <w:color w:val="595959"/>
          <w:sz w:val="18"/>
          <w:szCs w:val="18"/>
        </w:rPr>
        <w:t>Table 1. Overall customer KPIs.</w:t>
      </w:r>
    </w:p>
    <w:p w14:paraId="0654AF19" w14:textId="77777777" w:rsidR="00AB6DC4" w:rsidRDefault="00000000">
      <w:pPr>
        <w:keepNext/>
        <w:spacing w:after="120" w:line="276" w:lineRule="auto"/>
      </w:pPr>
      <w:r>
        <w:t>Key observations:</w:t>
      </w:r>
    </w:p>
    <w:p w14:paraId="79CE1464" w14:textId="77777777" w:rsidR="00AB6DC4" w:rsidRDefault="00000000">
      <w:pPr>
        <w:pStyle w:val="ListParagraph"/>
        <w:numPr>
          <w:ilvl w:val="0"/>
          <w:numId w:val="2"/>
        </w:numPr>
        <w:spacing w:after="80" w:line="270" w:lineRule="auto"/>
      </w:pPr>
      <w:r>
        <w:rPr>
          <w:b/>
          <w:bCs/>
          <w:color w:val="1F3864"/>
        </w:rPr>
        <w:t xml:space="preserve">Contract type. </w:t>
      </w:r>
      <w:r>
        <w:t>Month-to-month customers have the highest observed churn rate (42.71%), compared with 11.27% for one-year and 2.83% for two-year contracts.</w:t>
      </w:r>
    </w:p>
    <w:p w14:paraId="71F13703" w14:textId="77777777" w:rsidR="00AB6DC4" w:rsidRDefault="00000000">
      <w:pPr>
        <w:pStyle w:val="ListParagraph"/>
        <w:numPr>
          <w:ilvl w:val="0"/>
          <w:numId w:val="2"/>
        </w:numPr>
        <w:spacing w:after="80" w:line="270" w:lineRule="auto"/>
      </w:pPr>
      <w:r>
        <w:rPr>
          <w:b/>
          <w:bCs/>
          <w:color w:val="1F3864"/>
        </w:rPr>
        <w:t xml:space="preserve">Tenure. </w:t>
      </w:r>
      <w:r>
        <w:t>Customers in their first 12 months churn at 47.44%, falling to 9.51% for customers with 49–72 months of tenure.</w:t>
      </w:r>
    </w:p>
    <w:p w14:paraId="4DD86381" w14:textId="77777777" w:rsidR="00AB6DC4" w:rsidRDefault="00000000">
      <w:pPr>
        <w:pStyle w:val="ListParagraph"/>
        <w:numPr>
          <w:ilvl w:val="0"/>
          <w:numId w:val="2"/>
        </w:numPr>
        <w:spacing w:after="80" w:line="270" w:lineRule="auto"/>
      </w:pPr>
      <w:r>
        <w:rPr>
          <w:b/>
          <w:bCs/>
          <w:color w:val="1F3864"/>
        </w:rPr>
        <w:t xml:space="preserve">Monthly charges. </w:t>
      </w:r>
      <w:r>
        <w:t xml:space="preserve">Churned customers have a higher average </w:t>
      </w:r>
      <w:proofErr w:type="spellStart"/>
      <w:r>
        <w:t>MonthlyCharges</w:t>
      </w:r>
      <w:proofErr w:type="spellEnd"/>
      <w:r>
        <w:t xml:space="preserve"> (74.44) than retained customers (61.27).</w:t>
      </w:r>
    </w:p>
    <w:p w14:paraId="016E179F" w14:textId="77777777" w:rsidR="00AB6DC4" w:rsidRDefault="00000000">
      <w:pPr>
        <w:pStyle w:val="ListParagraph"/>
        <w:numPr>
          <w:ilvl w:val="0"/>
          <w:numId w:val="2"/>
        </w:numPr>
        <w:spacing w:after="80" w:line="270" w:lineRule="auto"/>
      </w:pPr>
      <w:r>
        <w:rPr>
          <w:b/>
          <w:bCs/>
          <w:color w:val="1F3864"/>
        </w:rPr>
        <w:t xml:space="preserve">Segments to investigate. </w:t>
      </w:r>
      <w:r>
        <w:t>Fiber optic internet, electronic-check payment, and customers without online security or tech support show elevated churn and warrant further analysis.</w:t>
      </w:r>
    </w:p>
    <w:p w14:paraId="778CD45F" w14:textId="77777777" w:rsidR="00AB6DC4" w:rsidRDefault="00000000">
      <w:pPr>
        <w:pBdr>
          <w:left w:val="single" w:sz="24" w:space="8" w:color="D6537F"/>
        </w:pBdr>
        <w:shd w:val="clear" w:color="auto" w:fill="FDE9EF"/>
        <w:spacing w:before="120" w:after="200" w:line="270" w:lineRule="auto"/>
        <w:ind w:left="140" w:right="140"/>
      </w:pPr>
      <w:r>
        <w:rPr>
          <w:b/>
          <w:bCs/>
          <w:color w:val="1F3864"/>
        </w:rPr>
        <w:t xml:space="preserve">Important: </w:t>
      </w:r>
      <w:r>
        <w:t>All findings are descriptive associations. This analysis does not establish that contract type, tenure, charges, or any service feature independently causes churn.</w:t>
      </w:r>
    </w:p>
    <w:p w14:paraId="70BC47C1" w14:textId="77777777" w:rsidR="00AB6DC4" w:rsidRDefault="00000000">
      <w:pPr>
        <w:spacing w:after="120" w:line="276" w:lineRule="auto"/>
      </w:pPr>
      <w:r>
        <w:t>The recommended priorities are early-stage onboarding and retention campaigns, carefully tested longer-term contract incentives, investigation of billing clarity, service quality and support experience, and ongoing monitoring of churn, retention, and intervention outcomes.</w:t>
      </w:r>
    </w:p>
    <w:p w14:paraId="0219BD9D" w14:textId="77777777" w:rsidR="00AB6DC4" w:rsidRDefault="00000000">
      <w:pPr>
        <w:pStyle w:val="Heading1"/>
      </w:pPr>
      <w:bookmarkStart w:id="1" w:name="h1"/>
      <w:r>
        <w:t>2. Project Objectives and Scope</w:t>
      </w:r>
      <w:bookmarkEnd w:id="1"/>
    </w:p>
    <w:p w14:paraId="308BE54F" w14:textId="77777777" w:rsidR="00AB6DC4" w:rsidRDefault="00000000">
      <w:pPr>
        <w:pStyle w:val="Heading2"/>
      </w:pPr>
      <w:bookmarkStart w:id="2" w:name="h2"/>
      <w:r>
        <w:t>2.1 Objectives</w:t>
      </w:r>
      <w:bookmarkEnd w:id="2"/>
    </w:p>
    <w:p w14:paraId="01E8E72A" w14:textId="77777777" w:rsidR="00AB6DC4" w:rsidRDefault="00000000">
      <w:pPr>
        <w:pStyle w:val="ListParagraph"/>
        <w:numPr>
          <w:ilvl w:val="0"/>
          <w:numId w:val="2"/>
        </w:numPr>
        <w:spacing w:after="80" w:line="270" w:lineRule="auto"/>
      </w:pPr>
      <w:r>
        <w:t>Measure overall churn and retention using customer-level records.</w:t>
      </w:r>
    </w:p>
    <w:p w14:paraId="5EF8EA1B" w14:textId="77777777" w:rsidR="00AB6DC4" w:rsidRDefault="00000000">
      <w:pPr>
        <w:pStyle w:val="ListParagraph"/>
        <w:numPr>
          <w:ilvl w:val="0"/>
          <w:numId w:val="2"/>
        </w:numPr>
        <w:spacing w:after="80" w:line="270" w:lineRule="auto"/>
      </w:pPr>
      <w:r>
        <w:t>Compare churn rates across contract types and tenure groups.</w:t>
      </w:r>
    </w:p>
    <w:p w14:paraId="0E3A0254" w14:textId="77777777" w:rsidR="00AB6DC4" w:rsidRDefault="00000000">
      <w:pPr>
        <w:pStyle w:val="ListParagraph"/>
        <w:numPr>
          <w:ilvl w:val="0"/>
          <w:numId w:val="2"/>
        </w:numPr>
        <w:spacing w:after="80" w:line="270" w:lineRule="auto"/>
      </w:pPr>
      <w:r>
        <w:t>Compare average monthly charges between churned and retained customers.</w:t>
      </w:r>
    </w:p>
    <w:p w14:paraId="627805F0" w14:textId="77777777" w:rsidR="00AB6DC4" w:rsidRDefault="00000000">
      <w:pPr>
        <w:pStyle w:val="ListParagraph"/>
        <w:numPr>
          <w:ilvl w:val="0"/>
          <w:numId w:val="2"/>
        </w:numPr>
        <w:spacing w:after="80" w:line="270" w:lineRule="auto"/>
      </w:pPr>
      <w:r>
        <w:t>Examine additional segments such as internet service, payment method, online security, and tech support.</w:t>
      </w:r>
    </w:p>
    <w:p w14:paraId="3188B596" w14:textId="77777777" w:rsidR="00AB6DC4" w:rsidRDefault="00000000">
      <w:pPr>
        <w:pStyle w:val="ListParagraph"/>
        <w:numPr>
          <w:ilvl w:val="0"/>
          <w:numId w:val="2"/>
        </w:numPr>
        <w:spacing w:after="80" w:line="270" w:lineRule="auto"/>
      </w:pPr>
      <w:r>
        <w:t>Present results in an interactive single-page Power BI Executive Overview dashboard.</w:t>
      </w:r>
    </w:p>
    <w:p w14:paraId="64AAF675" w14:textId="77777777" w:rsidR="00AB6DC4" w:rsidRDefault="00000000">
      <w:pPr>
        <w:pStyle w:val="ListParagraph"/>
        <w:numPr>
          <w:ilvl w:val="0"/>
          <w:numId w:val="2"/>
        </w:numPr>
        <w:spacing w:after="80" w:line="270" w:lineRule="auto"/>
      </w:pPr>
      <w:r>
        <w:t>Develop practical, testable retention recommendations.</w:t>
      </w:r>
    </w:p>
    <w:p w14:paraId="0DBDE4D6" w14:textId="77777777" w:rsidR="00AB6DC4" w:rsidRDefault="00000000">
      <w:pPr>
        <w:pStyle w:val="Heading2"/>
      </w:pPr>
      <w:bookmarkStart w:id="3" w:name="h3"/>
      <w:r>
        <w:lastRenderedPageBreak/>
        <w:t>2.2 Scope</w:t>
      </w:r>
      <w:bookmarkEnd w:id="3"/>
    </w:p>
    <w:p w14:paraId="4900A2A9" w14:textId="071984E8" w:rsidR="00AB6DC4" w:rsidRDefault="00000000">
      <w:pPr>
        <w:spacing w:after="120" w:line="276" w:lineRule="auto"/>
      </w:pPr>
      <w:r>
        <w:t xml:space="preserve">The project covers descriptive analysis of one static dataset using four tools. It does not include predictive </w:t>
      </w:r>
      <w:r w:rsidR="00531874">
        <w:t>modelling</w:t>
      </w:r>
      <w:r>
        <w:t xml:space="preserve">, causal inference, customer-lifetime-value </w:t>
      </w:r>
      <w:r w:rsidR="00531874">
        <w:t>modelling</w:t>
      </w:r>
      <w:r>
        <w:t>, or controlled experiments.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13"/>
        <w:gridCol w:w="3313"/>
      </w:tblGrid>
      <w:tr w:rsidR="00AB6DC4" w14:paraId="3DA0EDE9" w14:textId="77777777">
        <w:trPr>
          <w:cantSplit/>
          <w:tblHeader/>
        </w:trPr>
        <w:tc>
          <w:tcPr>
            <w:tcW w:w="2400" w:type="dxa"/>
            <w:tcBorders>
              <w:top w:val="single" w:sz="4" w:space="0" w:color="C9D6E6"/>
              <w:left w:val="single" w:sz="4" w:space="0" w:color="C9D6E6"/>
              <w:bottom w:val="single" w:sz="4" w:space="0" w:color="C9D6E6"/>
              <w:right w:val="single" w:sz="4" w:space="0" w:color="C9D6E6"/>
            </w:tcBorders>
            <w:shd w:val="clear" w:color="auto" w:fill="1F3864"/>
            <w:tcMar>
              <w:top w:w="70" w:type="dxa"/>
              <w:left w:w="120" w:type="dxa"/>
              <w:bottom w:w="70" w:type="dxa"/>
              <w:right w:w="120" w:type="dxa"/>
            </w:tcMar>
            <w:vAlign w:val="center"/>
          </w:tcPr>
          <w:p w14:paraId="386CFAB9" w14:textId="77777777" w:rsidR="00AB6DC4" w:rsidRDefault="00000000">
            <w:r>
              <w:rPr>
                <w:b/>
                <w:bCs/>
                <w:color w:val="FFFFFF"/>
                <w:sz w:val="20"/>
                <w:szCs w:val="20"/>
              </w:rPr>
              <w:t>Area</w:t>
            </w:r>
          </w:p>
        </w:tc>
        <w:tc>
          <w:tcPr>
            <w:tcW w:w="3313" w:type="dxa"/>
            <w:tcBorders>
              <w:top w:val="single" w:sz="4" w:space="0" w:color="C9D6E6"/>
              <w:left w:val="single" w:sz="4" w:space="0" w:color="C9D6E6"/>
              <w:bottom w:val="single" w:sz="4" w:space="0" w:color="C9D6E6"/>
              <w:right w:val="single" w:sz="4" w:space="0" w:color="C9D6E6"/>
            </w:tcBorders>
            <w:shd w:val="clear" w:color="auto" w:fill="1F3864"/>
            <w:tcMar>
              <w:top w:w="70" w:type="dxa"/>
              <w:left w:w="120" w:type="dxa"/>
              <w:bottom w:w="70" w:type="dxa"/>
              <w:right w:w="120" w:type="dxa"/>
            </w:tcMar>
            <w:vAlign w:val="center"/>
          </w:tcPr>
          <w:p w14:paraId="47DB5011" w14:textId="77777777" w:rsidR="00AB6DC4" w:rsidRDefault="00000000">
            <w:r>
              <w:rPr>
                <w:b/>
                <w:bCs/>
                <w:color w:val="FFFFFF"/>
                <w:sz w:val="20"/>
                <w:szCs w:val="20"/>
              </w:rPr>
              <w:t>In scope</w:t>
            </w:r>
          </w:p>
        </w:tc>
        <w:tc>
          <w:tcPr>
            <w:tcW w:w="3313" w:type="dxa"/>
            <w:tcBorders>
              <w:top w:val="single" w:sz="4" w:space="0" w:color="C9D6E6"/>
              <w:left w:val="single" w:sz="4" w:space="0" w:color="C9D6E6"/>
              <w:bottom w:val="single" w:sz="4" w:space="0" w:color="C9D6E6"/>
              <w:right w:val="single" w:sz="4" w:space="0" w:color="C9D6E6"/>
            </w:tcBorders>
            <w:shd w:val="clear" w:color="auto" w:fill="1F3864"/>
            <w:tcMar>
              <w:top w:w="70" w:type="dxa"/>
              <w:left w:w="120" w:type="dxa"/>
              <w:bottom w:w="70" w:type="dxa"/>
              <w:right w:w="120" w:type="dxa"/>
            </w:tcMar>
            <w:vAlign w:val="center"/>
          </w:tcPr>
          <w:p w14:paraId="439B733E" w14:textId="77777777" w:rsidR="00AB6DC4" w:rsidRDefault="00000000">
            <w:r>
              <w:rPr>
                <w:b/>
                <w:bCs/>
                <w:color w:val="FFFFFF"/>
                <w:sz w:val="20"/>
                <w:szCs w:val="20"/>
              </w:rPr>
              <w:t>Out of scope</w:t>
            </w:r>
          </w:p>
        </w:tc>
      </w:tr>
      <w:tr w:rsidR="00AB6DC4" w14:paraId="62E37B2B" w14:textId="77777777">
        <w:trPr>
          <w:cantSplit/>
        </w:trPr>
        <w:tc>
          <w:tcPr>
            <w:tcW w:w="2400" w:type="dxa"/>
            <w:tcBorders>
              <w:top w:val="single" w:sz="4" w:space="0" w:color="C9D6E6"/>
              <w:left w:val="single" w:sz="4" w:space="0" w:color="C9D6E6"/>
              <w:bottom w:val="single" w:sz="4" w:space="0" w:color="C9D6E6"/>
              <w:right w:val="single" w:sz="4" w:space="0" w:color="C9D6E6"/>
            </w:tcBorders>
            <w:shd w:val="clear" w:color="auto" w:fill="FFFFFF"/>
            <w:tcMar>
              <w:top w:w="70" w:type="dxa"/>
              <w:left w:w="120" w:type="dxa"/>
              <w:bottom w:w="70" w:type="dxa"/>
              <w:right w:w="120" w:type="dxa"/>
            </w:tcMar>
            <w:vAlign w:val="center"/>
          </w:tcPr>
          <w:p w14:paraId="61D3DC0F" w14:textId="77777777" w:rsidR="00AB6DC4" w:rsidRDefault="00000000">
            <w:r>
              <w:rPr>
                <w:b/>
                <w:bCs/>
                <w:sz w:val="20"/>
                <w:szCs w:val="20"/>
              </w:rPr>
              <w:t>Analysis type</w:t>
            </w:r>
          </w:p>
        </w:tc>
        <w:tc>
          <w:tcPr>
            <w:tcW w:w="3313" w:type="dxa"/>
            <w:tcBorders>
              <w:top w:val="single" w:sz="4" w:space="0" w:color="C9D6E6"/>
              <w:left w:val="single" w:sz="4" w:space="0" w:color="C9D6E6"/>
              <w:bottom w:val="single" w:sz="4" w:space="0" w:color="C9D6E6"/>
              <w:right w:val="single" w:sz="4" w:space="0" w:color="C9D6E6"/>
            </w:tcBorders>
            <w:shd w:val="clear" w:color="auto" w:fill="FFFFFF"/>
            <w:tcMar>
              <w:top w:w="70" w:type="dxa"/>
              <w:left w:w="120" w:type="dxa"/>
              <w:bottom w:w="70" w:type="dxa"/>
              <w:right w:w="120" w:type="dxa"/>
            </w:tcMar>
            <w:vAlign w:val="center"/>
          </w:tcPr>
          <w:p w14:paraId="17AE122E" w14:textId="77777777" w:rsidR="00AB6DC4" w:rsidRDefault="00000000">
            <w:r>
              <w:rPr>
                <w:sz w:val="20"/>
                <w:szCs w:val="20"/>
              </w:rPr>
              <w:t>Descriptive KPIs and segment comparisons</w:t>
            </w:r>
          </w:p>
        </w:tc>
        <w:tc>
          <w:tcPr>
            <w:tcW w:w="3313" w:type="dxa"/>
            <w:tcBorders>
              <w:top w:val="single" w:sz="4" w:space="0" w:color="C9D6E6"/>
              <w:left w:val="single" w:sz="4" w:space="0" w:color="C9D6E6"/>
              <w:bottom w:val="single" w:sz="4" w:space="0" w:color="C9D6E6"/>
              <w:right w:val="single" w:sz="4" w:space="0" w:color="C9D6E6"/>
            </w:tcBorders>
            <w:shd w:val="clear" w:color="auto" w:fill="FFFFFF"/>
            <w:tcMar>
              <w:top w:w="70" w:type="dxa"/>
              <w:left w:w="120" w:type="dxa"/>
              <w:bottom w:w="70" w:type="dxa"/>
              <w:right w:w="120" w:type="dxa"/>
            </w:tcMar>
            <w:vAlign w:val="center"/>
          </w:tcPr>
          <w:p w14:paraId="0BFC2350" w14:textId="6198C9DF" w:rsidR="00AB6DC4" w:rsidRDefault="00000000">
            <w:r>
              <w:rPr>
                <w:sz w:val="20"/>
                <w:szCs w:val="20"/>
              </w:rPr>
              <w:t xml:space="preserve">Predictive or causal </w:t>
            </w:r>
            <w:r w:rsidR="00531874">
              <w:rPr>
                <w:sz w:val="20"/>
                <w:szCs w:val="20"/>
              </w:rPr>
              <w:t>modelling</w:t>
            </w:r>
          </w:p>
        </w:tc>
      </w:tr>
      <w:tr w:rsidR="00AB6DC4" w14:paraId="4980C70A" w14:textId="77777777">
        <w:trPr>
          <w:cantSplit/>
        </w:trPr>
        <w:tc>
          <w:tcPr>
            <w:tcW w:w="2400" w:type="dxa"/>
            <w:tcBorders>
              <w:top w:val="single" w:sz="4" w:space="0" w:color="C9D6E6"/>
              <w:left w:val="single" w:sz="4" w:space="0" w:color="C9D6E6"/>
              <w:bottom w:val="single" w:sz="4" w:space="0" w:color="C9D6E6"/>
              <w:right w:val="single" w:sz="4" w:space="0" w:color="C9D6E6"/>
            </w:tcBorders>
            <w:shd w:val="clear" w:color="auto" w:fill="F3F8FD"/>
            <w:tcMar>
              <w:top w:w="70" w:type="dxa"/>
              <w:left w:w="120" w:type="dxa"/>
              <w:bottom w:w="70" w:type="dxa"/>
              <w:right w:w="120" w:type="dxa"/>
            </w:tcMar>
            <w:vAlign w:val="center"/>
          </w:tcPr>
          <w:p w14:paraId="4BF908EC" w14:textId="77777777" w:rsidR="00AB6DC4" w:rsidRDefault="00000000">
            <w:r>
              <w:rPr>
                <w:b/>
                <w:bCs/>
                <w:sz w:val="20"/>
                <w:szCs w:val="20"/>
              </w:rPr>
              <w:t>Data</w:t>
            </w:r>
          </w:p>
        </w:tc>
        <w:tc>
          <w:tcPr>
            <w:tcW w:w="3313" w:type="dxa"/>
            <w:tcBorders>
              <w:top w:val="single" w:sz="4" w:space="0" w:color="C9D6E6"/>
              <w:left w:val="single" w:sz="4" w:space="0" w:color="C9D6E6"/>
              <w:bottom w:val="single" w:sz="4" w:space="0" w:color="C9D6E6"/>
              <w:right w:val="single" w:sz="4" w:space="0" w:color="C9D6E6"/>
            </w:tcBorders>
            <w:shd w:val="clear" w:color="auto" w:fill="F3F8FD"/>
            <w:tcMar>
              <w:top w:w="70" w:type="dxa"/>
              <w:left w:w="120" w:type="dxa"/>
              <w:bottom w:w="70" w:type="dxa"/>
              <w:right w:w="120" w:type="dxa"/>
            </w:tcMar>
            <w:vAlign w:val="center"/>
          </w:tcPr>
          <w:p w14:paraId="2BD81995" w14:textId="77777777" w:rsidR="00AB6DC4" w:rsidRDefault="00000000">
            <w:r>
              <w:rPr>
                <w:sz w:val="20"/>
                <w:szCs w:val="20"/>
              </w:rPr>
              <w:t>IBM Telco Customer Churn dataset</w:t>
            </w:r>
          </w:p>
        </w:tc>
        <w:tc>
          <w:tcPr>
            <w:tcW w:w="3313" w:type="dxa"/>
            <w:tcBorders>
              <w:top w:val="single" w:sz="4" w:space="0" w:color="C9D6E6"/>
              <w:left w:val="single" w:sz="4" w:space="0" w:color="C9D6E6"/>
              <w:bottom w:val="single" w:sz="4" w:space="0" w:color="C9D6E6"/>
              <w:right w:val="single" w:sz="4" w:space="0" w:color="C9D6E6"/>
            </w:tcBorders>
            <w:shd w:val="clear" w:color="auto" w:fill="F3F8FD"/>
            <w:tcMar>
              <w:top w:w="70" w:type="dxa"/>
              <w:left w:w="120" w:type="dxa"/>
              <w:bottom w:w="70" w:type="dxa"/>
              <w:right w:w="120" w:type="dxa"/>
            </w:tcMar>
            <w:vAlign w:val="center"/>
          </w:tcPr>
          <w:p w14:paraId="1C5A266C" w14:textId="77777777" w:rsidR="00AB6DC4" w:rsidRDefault="00000000">
            <w:r>
              <w:rPr>
                <w:sz w:val="20"/>
                <w:szCs w:val="20"/>
              </w:rPr>
              <w:t>External or time-series customer data</w:t>
            </w:r>
          </w:p>
        </w:tc>
      </w:tr>
      <w:tr w:rsidR="00AB6DC4" w14:paraId="227B611E" w14:textId="77777777">
        <w:trPr>
          <w:cantSplit/>
        </w:trPr>
        <w:tc>
          <w:tcPr>
            <w:tcW w:w="2400" w:type="dxa"/>
            <w:tcBorders>
              <w:top w:val="single" w:sz="4" w:space="0" w:color="C9D6E6"/>
              <w:left w:val="single" w:sz="4" w:space="0" w:color="C9D6E6"/>
              <w:bottom w:val="single" w:sz="4" w:space="0" w:color="C9D6E6"/>
              <w:right w:val="single" w:sz="4" w:space="0" w:color="C9D6E6"/>
            </w:tcBorders>
            <w:shd w:val="clear" w:color="auto" w:fill="FFFFFF"/>
            <w:tcMar>
              <w:top w:w="70" w:type="dxa"/>
              <w:left w:w="120" w:type="dxa"/>
              <w:bottom w:w="70" w:type="dxa"/>
              <w:right w:w="120" w:type="dxa"/>
            </w:tcMar>
            <w:vAlign w:val="center"/>
          </w:tcPr>
          <w:p w14:paraId="6C60A13F" w14:textId="77777777" w:rsidR="00AB6DC4" w:rsidRDefault="00000000">
            <w:r>
              <w:rPr>
                <w:b/>
                <w:bCs/>
                <w:sz w:val="20"/>
                <w:szCs w:val="20"/>
              </w:rPr>
              <w:t>Outputs</w:t>
            </w:r>
          </w:p>
        </w:tc>
        <w:tc>
          <w:tcPr>
            <w:tcW w:w="3313" w:type="dxa"/>
            <w:tcBorders>
              <w:top w:val="single" w:sz="4" w:space="0" w:color="C9D6E6"/>
              <w:left w:val="single" w:sz="4" w:space="0" w:color="C9D6E6"/>
              <w:bottom w:val="single" w:sz="4" w:space="0" w:color="C9D6E6"/>
              <w:right w:val="single" w:sz="4" w:space="0" w:color="C9D6E6"/>
            </w:tcBorders>
            <w:shd w:val="clear" w:color="auto" w:fill="FFFFFF"/>
            <w:tcMar>
              <w:top w:w="70" w:type="dxa"/>
              <w:left w:w="120" w:type="dxa"/>
              <w:bottom w:w="70" w:type="dxa"/>
              <w:right w:w="120" w:type="dxa"/>
            </w:tcMar>
            <w:vAlign w:val="center"/>
          </w:tcPr>
          <w:p w14:paraId="5216ED30" w14:textId="77777777" w:rsidR="00AB6DC4" w:rsidRDefault="00000000">
            <w:r>
              <w:rPr>
                <w:sz w:val="20"/>
                <w:szCs w:val="20"/>
              </w:rPr>
              <w:t>Report, Excel, SQL, Python, Power BI</w:t>
            </w:r>
          </w:p>
        </w:tc>
        <w:tc>
          <w:tcPr>
            <w:tcW w:w="3313" w:type="dxa"/>
            <w:tcBorders>
              <w:top w:val="single" w:sz="4" w:space="0" w:color="C9D6E6"/>
              <w:left w:val="single" w:sz="4" w:space="0" w:color="C9D6E6"/>
              <w:bottom w:val="single" w:sz="4" w:space="0" w:color="C9D6E6"/>
              <w:right w:val="single" w:sz="4" w:space="0" w:color="C9D6E6"/>
            </w:tcBorders>
            <w:shd w:val="clear" w:color="auto" w:fill="FFFFFF"/>
            <w:tcMar>
              <w:top w:w="70" w:type="dxa"/>
              <w:left w:w="120" w:type="dxa"/>
              <w:bottom w:w="70" w:type="dxa"/>
              <w:right w:w="120" w:type="dxa"/>
            </w:tcMar>
            <w:vAlign w:val="center"/>
          </w:tcPr>
          <w:p w14:paraId="54963BA7" w14:textId="77777777" w:rsidR="00AB6DC4" w:rsidRDefault="00000000">
            <w:r>
              <w:rPr>
                <w:sz w:val="20"/>
                <w:szCs w:val="20"/>
              </w:rPr>
              <w:t>Deployed production system</w:t>
            </w:r>
          </w:p>
        </w:tc>
      </w:tr>
      <w:tr w:rsidR="00AB6DC4" w14:paraId="5AE3398B" w14:textId="77777777">
        <w:trPr>
          <w:cantSplit/>
        </w:trPr>
        <w:tc>
          <w:tcPr>
            <w:tcW w:w="2400" w:type="dxa"/>
            <w:tcBorders>
              <w:top w:val="single" w:sz="4" w:space="0" w:color="C9D6E6"/>
              <w:left w:val="single" w:sz="4" w:space="0" w:color="C9D6E6"/>
              <w:bottom w:val="single" w:sz="4" w:space="0" w:color="C9D6E6"/>
              <w:right w:val="single" w:sz="4" w:space="0" w:color="C9D6E6"/>
            </w:tcBorders>
            <w:shd w:val="clear" w:color="auto" w:fill="F3F8FD"/>
            <w:tcMar>
              <w:top w:w="70" w:type="dxa"/>
              <w:left w:w="120" w:type="dxa"/>
              <w:bottom w:w="70" w:type="dxa"/>
              <w:right w:w="120" w:type="dxa"/>
            </w:tcMar>
            <w:vAlign w:val="center"/>
          </w:tcPr>
          <w:p w14:paraId="72498181" w14:textId="77777777" w:rsidR="00AB6DC4" w:rsidRDefault="00000000">
            <w:r>
              <w:rPr>
                <w:b/>
                <w:bCs/>
                <w:sz w:val="20"/>
                <w:szCs w:val="20"/>
              </w:rPr>
              <w:t>Recommendations</w:t>
            </w:r>
          </w:p>
        </w:tc>
        <w:tc>
          <w:tcPr>
            <w:tcW w:w="3313" w:type="dxa"/>
            <w:tcBorders>
              <w:top w:val="single" w:sz="4" w:space="0" w:color="C9D6E6"/>
              <w:left w:val="single" w:sz="4" w:space="0" w:color="C9D6E6"/>
              <w:bottom w:val="single" w:sz="4" w:space="0" w:color="C9D6E6"/>
              <w:right w:val="single" w:sz="4" w:space="0" w:color="C9D6E6"/>
            </w:tcBorders>
            <w:shd w:val="clear" w:color="auto" w:fill="F3F8FD"/>
            <w:tcMar>
              <w:top w:w="70" w:type="dxa"/>
              <w:left w:w="120" w:type="dxa"/>
              <w:bottom w:w="70" w:type="dxa"/>
              <w:right w:w="120" w:type="dxa"/>
            </w:tcMar>
            <w:vAlign w:val="center"/>
          </w:tcPr>
          <w:p w14:paraId="08FA2841" w14:textId="77777777" w:rsidR="00AB6DC4" w:rsidRDefault="00000000">
            <w:r>
              <w:rPr>
                <w:sz w:val="20"/>
                <w:szCs w:val="20"/>
              </w:rPr>
              <w:t>Hypotheses and tests to run</w:t>
            </w:r>
          </w:p>
        </w:tc>
        <w:tc>
          <w:tcPr>
            <w:tcW w:w="3313" w:type="dxa"/>
            <w:tcBorders>
              <w:top w:val="single" w:sz="4" w:space="0" w:color="C9D6E6"/>
              <w:left w:val="single" w:sz="4" w:space="0" w:color="C9D6E6"/>
              <w:bottom w:val="single" w:sz="4" w:space="0" w:color="C9D6E6"/>
              <w:right w:val="single" w:sz="4" w:space="0" w:color="C9D6E6"/>
            </w:tcBorders>
            <w:shd w:val="clear" w:color="auto" w:fill="F3F8FD"/>
            <w:tcMar>
              <w:top w:w="70" w:type="dxa"/>
              <w:left w:w="120" w:type="dxa"/>
              <w:bottom w:w="70" w:type="dxa"/>
              <w:right w:w="120" w:type="dxa"/>
            </w:tcMar>
            <w:vAlign w:val="center"/>
          </w:tcPr>
          <w:p w14:paraId="7FE6F8C9" w14:textId="77777777" w:rsidR="00AB6DC4" w:rsidRDefault="00000000">
            <w:r>
              <w:rPr>
                <w:sz w:val="20"/>
                <w:szCs w:val="20"/>
              </w:rPr>
              <w:t>Proven intervention results</w:t>
            </w:r>
          </w:p>
        </w:tc>
      </w:tr>
    </w:tbl>
    <w:p w14:paraId="5A237385" w14:textId="77777777" w:rsidR="00AB6DC4" w:rsidRDefault="00000000">
      <w:pPr>
        <w:spacing w:before="60" w:after="200"/>
      </w:pPr>
      <w:r>
        <w:rPr>
          <w:i/>
          <w:iCs/>
          <w:color w:val="595959"/>
          <w:sz w:val="18"/>
          <w:szCs w:val="18"/>
        </w:rPr>
        <w:t>Table 2. Project scope boundaries.</w:t>
      </w:r>
    </w:p>
    <w:p w14:paraId="1D138FFB" w14:textId="77777777" w:rsidR="00AB6DC4" w:rsidRDefault="00000000">
      <w:pPr>
        <w:pStyle w:val="Heading1"/>
      </w:pPr>
      <w:bookmarkStart w:id="4" w:name="h4"/>
      <w:r>
        <w:t>3. Dataset Overview</w:t>
      </w:r>
      <w:bookmarkEnd w:id="4"/>
    </w:p>
    <w:p w14:paraId="128761C9" w14:textId="77777777" w:rsidR="00AB6DC4" w:rsidRDefault="00000000">
      <w:pPr>
        <w:spacing w:after="120" w:line="276" w:lineRule="auto"/>
      </w:pPr>
      <w:r>
        <w:t xml:space="preserve">The source is the IBM Telco Customer Churn dataset, a customer-level dataset for a telecommunications provider. Each row represents one customer and includes account, service, billing, and churn-status information such as tenure, contract, internet service, payment method, </w:t>
      </w:r>
      <w:proofErr w:type="spellStart"/>
      <w:r>
        <w:t>MonthlyCharges</w:t>
      </w:r>
      <w:proofErr w:type="spellEnd"/>
      <w:r>
        <w:t xml:space="preserve">, </w:t>
      </w:r>
      <w:proofErr w:type="spellStart"/>
      <w:r>
        <w:t>TotalCharges</w:t>
      </w:r>
      <w:proofErr w:type="spellEnd"/>
      <w:r>
        <w:t>, and Churn.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AB6DC4" w14:paraId="3DCE877D" w14:textId="77777777">
        <w:trPr>
          <w:cantSplit/>
          <w:tblHeader/>
        </w:trPr>
        <w:tc>
          <w:tcPr>
            <w:tcW w:w="4513" w:type="dxa"/>
            <w:tcBorders>
              <w:top w:val="single" w:sz="4" w:space="0" w:color="C9D6E6"/>
              <w:left w:val="single" w:sz="4" w:space="0" w:color="C9D6E6"/>
              <w:bottom w:val="single" w:sz="4" w:space="0" w:color="C9D6E6"/>
              <w:right w:val="single" w:sz="4" w:space="0" w:color="C9D6E6"/>
            </w:tcBorders>
            <w:shd w:val="clear" w:color="auto" w:fill="1F3864"/>
            <w:tcMar>
              <w:top w:w="70" w:type="dxa"/>
              <w:left w:w="120" w:type="dxa"/>
              <w:bottom w:w="70" w:type="dxa"/>
              <w:right w:w="120" w:type="dxa"/>
            </w:tcMar>
            <w:vAlign w:val="center"/>
          </w:tcPr>
          <w:p w14:paraId="6EBF0813" w14:textId="77777777" w:rsidR="00AB6DC4" w:rsidRDefault="00000000">
            <w:r>
              <w:rPr>
                <w:b/>
                <w:bCs/>
                <w:color w:val="FFFFFF"/>
                <w:sz w:val="20"/>
                <w:szCs w:val="20"/>
              </w:rPr>
              <w:t>Dataset attribute</w:t>
            </w:r>
          </w:p>
        </w:tc>
        <w:tc>
          <w:tcPr>
            <w:tcW w:w="4513" w:type="dxa"/>
            <w:tcBorders>
              <w:top w:val="single" w:sz="4" w:space="0" w:color="C9D6E6"/>
              <w:left w:val="single" w:sz="4" w:space="0" w:color="C9D6E6"/>
              <w:bottom w:val="single" w:sz="4" w:space="0" w:color="C9D6E6"/>
              <w:right w:val="single" w:sz="4" w:space="0" w:color="C9D6E6"/>
            </w:tcBorders>
            <w:shd w:val="clear" w:color="auto" w:fill="1F3864"/>
            <w:tcMar>
              <w:top w:w="70" w:type="dxa"/>
              <w:left w:w="120" w:type="dxa"/>
              <w:bottom w:w="70" w:type="dxa"/>
              <w:right w:w="120" w:type="dxa"/>
            </w:tcMar>
            <w:vAlign w:val="center"/>
          </w:tcPr>
          <w:p w14:paraId="31A5B99D" w14:textId="77777777" w:rsidR="00AB6DC4" w:rsidRDefault="00000000">
            <w:pPr>
              <w:jc w:val="right"/>
            </w:pPr>
            <w:r>
              <w:rPr>
                <w:b/>
                <w:bCs/>
                <w:color w:val="FFFFFF"/>
                <w:sz w:val="20"/>
                <w:szCs w:val="20"/>
              </w:rPr>
              <w:t>Observed value</w:t>
            </w:r>
          </w:p>
        </w:tc>
      </w:tr>
      <w:tr w:rsidR="00AB6DC4" w14:paraId="7EB1020A" w14:textId="77777777">
        <w:trPr>
          <w:cantSplit/>
        </w:trPr>
        <w:tc>
          <w:tcPr>
            <w:tcW w:w="4513" w:type="dxa"/>
            <w:tcBorders>
              <w:top w:val="single" w:sz="4" w:space="0" w:color="C9D6E6"/>
              <w:left w:val="single" w:sz="4" w:space="0" w:color="C9D6E6"/>
              <w:bottom w:val="single" w:sz="4" w:space="0" w:color="C9D6E6"/>
              <w:right w:val="single" w:sz="4" w:space="0" w:color="C9D6E6"/>
            </w:tcBorders>
            <w:shd w:val="clear" w:color="auto" w:fill="FFFFFF"/>
            <w:tcMar>
              <w:top w:w="70" w:type="dxa"/>
              <w:left w:w="120" w:type="dxa"/>
              <w:bottom w:w="70" w:type="dxa"/>
              <w:right w:w="120" w:type="dxa"/>
            </w:tcMar>
            <w:vAlign w:val="center"/>
          </w:tcPr>
          <w:p w14:paraId="37309CE1" w14:textId="77777777" w:rsidR="00AB6DC4" w:rsidRDefault="00000000">
            <w:r>
              <w:rPr>
                <w:sz w:val="20"/>
                <w:szCs w:val="20"/>
              </w:rPr>
              <w:t>Rows (customers)</w:t>
            </w:r>
          </w:p>
        </w:tc>
        <w:tc>
          <w:tcPr>
            <w:tcW w:w="4513" w:type="dxa"/>
            <w:tcBorders>
              <w:top w:val="single" w:sz="4" w:space="0" w:color="C9D6E6"/>
              <w:left w:val="single" w:sz="4" w:space="0" w:color="C9D6E6"/>
              <w:bottom w:val="single" w:sz="4" w:space="0" w:color="C9D6E6"/>
              <w:right w:val="single" w:sz="4" w:space="0" w:color="C9D6E6"/>
            </w:tcBorders>
            <w:shd w:val="clear" w:color="auto" w:fill="FFFFFF"/>
            <w:tcMar>
              <w:top w:w="70" w:type="dxa"/>
              <w:left w:w="120" w:type="dxa"/>
              <w:bottom w:w="70" w:type="dxa"/>
              <w:right w:w="120" w:type="dxa"/>
            </w:tcMar>
            <w:vAlign w:val="center"/>
          </w:tcPr>
          <w:p w14:paraId="5EFF2EBD" w14:textId="77777777" w:rsidR="00AB6DC4" w:rsidRDefault="00000000">
            <w:pPr>
              <w:jc w:val="right"/>
            </w:pPr>
            <w:r>
              <w:rPr>
                <w:sz w:val="20"/>
                <w:szCs w:val="20"/>
              </w:rPr>
              <w:t>7,043</w:t>
            </w:r>
          </w:p>
        </w:tc>
      </w:tr>
      <w:tr w:rsidR="00AB6DC4" w14:paraId="1C986D57" w14:textId="77777777">
        <w:trPr>
          <w:cantSplit/>
        </w:trPr>
        <w:tc>
          <w:tcPr>
            <w:tcW w:w="4513" w:type="dxa"/>
            <w:tcBorders>
              <w:top w:val="single" w:sz="4" w:space="0" w:color="C9D6E6"/>
              <w:left w:val="single" w:sz="4" w:space="0" w:color="C9D6E6"/>
              <w:bottom w:val="single" w:sz="4" w:space="0" w:color="C9D6E6"/>
              <w:right w:val="single" w:sz="4" w:space="0" w:color="C9D6E6"/>
            </w:tcBorders>
            <w:shd w:val="clear" w:color="auto" w:fill="F3F8FD"/>
            <w:tcMar>
              <w:top w:w="70" w:type="dxa"/>
              <w:left w:w="120" w:type="dxa"/>
              <w:bottom w:w="70" w:type="dxa"/>
              <w:right w:w="120" w:type="dxa"/>
            </w:tcMar>
            <w:vAlign w:val="center"/>
          </w:tcPr>
          <w:p w14:paraId="67A843B9" w14:textId="77777777" w:rsidR="00AB6DC4" w:rsidRDefault="00000000">
            <w:r>
              <w:rPr>
                <w:sz w:val="20"/>
                <w:szCs w:val="20"/>
              </w:rPr>
              <w:t>Columns</w:t>
            </w:r>
          </w:p>
        </w:tc>
        <w:tc>
          <w:tcPr>
            <w:tcW w:w="4513" w:type="dxa"/>
            <w:tcBorders>
              <w:top w:val="single" w:sz="4" w:space="0" w:color="C9D6E6"/>
              <w:left w:val="single" w:sz="4" w:space="0" w:color="C9D6E6"/>
              <w:bottom w:val="single" w:sz="4" w:space="0" w:color="C9D6E6"/>
              <w:right w:val="single" w:sz="4" w:space="0" w:color="C9D6E6"/>
            </w:tcBorders>
            <w:shd w:val="clear" w:color="auto" w:fill="F3F8FD"/>
            <w:tcMar>
              <w:top w:w="70" w:type="dxa"/>
              <w:left w:w="120" w:type="dxa"/>
              <w:bottom w:w="70" w:type="dxa"/>
              <w:right w:w="120" w:type="dxa"/>
            </w:tcMar>
            <w:vAlign w:val="center"/>
          </w:tcPr>
          <w:p w14:paraId="3D3B076B" w14:textId="77777777" w:rsidR="00AB6DC4" w:rsidRDefault="00000000">
            <w:pPr>
              <w:jc w:val="right"/>
            </w:pPr>
            <w:r>
              <w:rPr>
                <w:sz w:val="20"/>
                <w:szCs w:val="20"/>
              </w:rPr>
              <w:t>21</w:t>
            </w:r>
          </w:p>
        </w:tc>
      </w:tr>
      <w:tr w:rsidR="00AB6DC4" w14:paraId="5F61FF24" w14:textId="77777777">
        <w:trPr>
          <w:cantSplit/>
        </w:trPr>
        <w:tc>
          <w:tcPr>
            <w:tcW w:w="4513" w:type="dxa"/>
            <w:tcBorders>
              <w:top w:val="single" w:sz="4" w:space="0" w:color="C9D6E6"/>
              <w:left w:val="single" w:sz="4" w:space="0" w:color="C9D6E6"/>
              <w:bottom w:val="single" w:sz="4" w:space="0" w:color="C9D6E6"/>
              <w:right w:val="single" w:sz="4" w:space="0" w:color="C9D6E6"/>
            </w:tcBorders>
            <w:shd w:val="clear" w:color="auto" w:fill="FFFFFF"/>
            <w:tcMar>
              <w:top w:w="70" w:type="dxa"/>
              <w:left w:w="120" w:type="dxa"/>
              <w:bottom w:w="70" w:type="dxa"/>
              <w:right w:w="120" w:type="dxa"/>
            </w:tcMar>
            <w:vAlign w:val="center"/>
          </w:tcPr>
          <w:p w14:paraId="1EA75170" w14:textId="77777777" w:rsidR="00AB6DC4" w:rsidRDefault="00000000">
            <w:r>
              <w:rPr>
                <w:sz w:val="20"/>
                <w:szCs w:val="20"/>
              </w:rPr>
              <w:t>Unique customer IDs</w:t>
            </w:r>
          </w:p>
        </w:tc>
        <w:tc>
          <w:tcPr>
            <w:tcW w:w="4513" w:type="dxa"/>
            <w:tcBorders>
              <w:top w:val="single" w:sz="4" w:space="0" w:color="C9D6E6"/>
              <w:left w:val="single" w:sz="4" w:space="0" w:color="C9D6E6"/>
              <w:bottom w:val="single" w:sz="4" w:space="0" w:color="C9D6E6"/>
              <w:right w:val="single" w:sz="4" w:space="0" w:color="C9D6E6"/>
            </w:tcBorders>
            <w:shd w:val="clear" w:color="auto" w:fill="FFFFFF"/>
            <w:tcMar>
              <w:top w:w="70" w:type="dxa"/>
              <w:left w:w="120" w:type="dxa"/>
              <w:bottom w:w="70" w:type="dxa"/>
              <w:right w:w="120" w:type="dxa"/>
            </w:tcMar>
            <w:vAlign w:val="center"/>
          </w:tcPr>
          <w:p w14:paraId="13EBFD52" w14:textId="77777777" w:rsidR="00AB6DC4" w:rsidRDefault="00000000">
            <w:pPr>
              <w:jc w:val="right"/>
            </w:pPr>
            <w:r>
              <w:rPr>
                <w:sz w:val="20"/>
                <w:szCs w:val="20"/>
              </w:rPr>
              <w:t>7,043</w:t>
            </w:r>
          </w:p>
        </w:tc>
      </w:tr>
      <w:tr w:rsidR="00AB6DC4" w14:paraId="6FFFDE3E" w14:textId="77777777">
        <w:trPr>
          <w:cantSplit/>
        </w:trPr>
        <w:tc>
          <w:tcPr>
            <w:tcW w:w="4513" w:type="dxa"/>
            <w:tcBorders>
              <w:top w:val="single" w:sz="4" w:space="0" w:color="C9D6E6"/>
              <w:left w:val="single" w:sz="4" w:space="0" w:color="C9D6E6"/>
              <w:bottom w:val="single" w:sz="4" w:space="0" w:color="C9D6E6"/>
              <w:right w:val="single" w:sz="4" w:space="0" w:color="C9D6E6"/>
            </w:tcBorders>
            <w:shd w:val="clear" w:color="auto" w:fill="F3F8FD"/>
            <w:tcMar>
              <w:top w:w="70" w:type="dxa"/>
              <w:left w:w="120" w:type="dxa"/>
              <w:bottom w:w="70" w:type="dxa"/>
              <w:right w:w="120" w:type="dxa"/>
            </w:tcMar>
            <w:vAlign w:val="center"/>
          </w:tcPr>
          <w:p w14:paraId="4D85E570" w14:textId="77777777" w:rsidR="00AB6DC4" w:rsidRDefault="00000000">
            <w:r>
              <w:rPr>
                <w:sz w:val="20"/>
                <w:szCs w:val="20"/>
              </w:rPr>
              <w:t>Duplicate rows</w:t>
            </w:r>
          </w:p>
        </w:tc>
        <w:tc>
          <w:tcPr>
            <w:tcW w:w="4513" w:type="dxa"/>
            <w:tcBorders>
              <w:top w:val="single" w:sz="4" w:space="0" w:color="C9D6E6"/>
              <w:left w:val="single" w:sz="4" w:space="0" w:color="C9D6E6"/>
              <w:bottom w:val="single" w:sz="4" w:space="0" w:color="C9D6E6"/>
              <w:right w:val="single" w:sz="4" w:space="0" w:color="C9D6E6"/>
            </w:tcBorders>
            <w:shd w:val="clear" w:color="auto" w:fill="F3F8FD"/>
            <w:tcMar>
              <w:top w:w="70" w:type="dxa"/>
              <w:left w:w="120" w:type="dxa"/>
              <w:bottom w:w="70" w:type="dxa"/>
              <w:right w:w="120" w:type="dxa"/>
            </w:tcMar>
            <w:vAlign w:val="center"/>
          </w:tcPr>
          <w:p w14:paraId="24BFDFF7" w14:textId="77777777" w:rsidR="00AB6DC4" w:rsidRDefault="00000000">
            <w:pPr>
              <w:jc w:val="right"/>
            </w:pPr>
            <w:r>
              <w:rPr>
                <w:sz w:val="20"/>
                <w:szCs w:val="20"/>
              </w:rPr>
              <w:t>0</w:t>
            </w:r>
          </w:p>
        </w:tc>
      </w:tr>
      <w:tr w:rsidR="00AB6DC4" w14:paraId="77B9D809" w14:textId="77777777">
        <w:trPr>
          <w:cantSplit/>
        </w:trPr>
        <w:tc>
          <w:tcPr>
            <w:tcW w:w="4513" w:type="dxa"/>
            <w:tcBorders>
              <w:top w:val="single" w:sz="4" w:space="0" w:color="C9D6E6"/>
              <w:left w:val="single" w:sz="4" w:space="0" w:color="C9D6E6"/>
              <w:bottom w:val="single" w:sz="4" w:space="0" w:color="C9D6E6"/>
              <w:right w:val="single" w:sz="4" w:space="0" w:color="C9D6E6"/>
            </w:tcBorders>
            <w:shd w:val="clear" w:color="auto" w:fill="FDE9EF"/>
            <w:tcMar>
              <w:top w:w="70" w:type="dxa"/>
              <w:left w:w="120" w:type="dxa"/>
              <w:bottom w:w="70" w:type="dxa"/>
              <w:right w:w="120" w:type="dxa"/>
            </w:tcMar>
            <w:vAlign w:val="center"/>
          </w:tcPr>
          <w:p w14:paraId="45FDF6B8" w14:textId="77777777" w:rsidR="00AB6DC4" w:rsidRDefault="00000000">
            <w:r>
              <w:rPr>
                <w:sz w:val="20"/>
                <w:szCs w:val="20"/>
              </w:rPr>
              <w:t xml:space="preserve">Missing </w:t>
            </w:r>
            <w:proofErr w:type="spellStart"/>
            <w:r>
              <w:rPr>
                <w:sz w:val="20"/>
                <w:szCs w:val="20"/>
              </w:rPr>
              <w:t>TotalCharges</w:t>
            </w:r>
            <w:proofErr w:type="spellEnd"/>
            <w:r>
              <w:rPr>
                <w:sz w:val="20"/>
                <w:szCs w:val="20"/>
              </w:rPr>
              <w:t xml:space="preserve"> values</w:t>
            </w:r>
          </w:p>
        </w:tc>
        <w:tc>
          <w:tcPr>
            <w:tcW w:w="4513" w:type="dxa"/>
            <w:tcBorders>
              <w:top w:val="single" w:sz="4" w:space="0" w:color="C9D6E6"/>
              <w:left w:val="single" w:sz="4" w:space="0" w:color="C9D6E6"/>
              <w:bottom w:val="single" w:sz="4" w:space="0" w:color="C9D6E6"/>
              <w:right w:val="single" w:sz="4" w:space="0" w:color="C9D6E6"/>
            </w:tcBorders>
            <w:shd w:val="clear" w:color="auto" w:fill="FDE9EF"/>
            <w:tcMar>
              <w:top w:w="70" w:type="dxa"/>
              <w:left w:w="120" w:type="dxa"/>
              <w:bottom w:w="70" w:type="dxa"/>
              <w:right w:w="120" w:type="dxa"/>
            </w:tcMar>
            <w:vAlign w:val="center"/>
          </w:tcPr>
          <w:p w14:paraId="3AEED6F9" w14:textId="77777777" w:rsidR="00AB6DC4" w:rsidRDefault="00000000">
            <w:pPr>
              <w:jc w:val="right"/>
            </w:pPr>
            <w:r>
              <w:rPr>
                <w:sz w:val="20"/>
                <w:szCs w:val="20"/>
              </w:rPr>
              <w:t>11</w:t>
            </w:r>
          </w:p>
        </w:tc>
      </w:tr>
    </w:tbl>
    <w:p w14:paraId="2FA1B959" w14:textId="77777777" w:rsidR="00AB6DC4" w:rsidRDefault="00000000">
      <w:pPr>
        <w:spacing w:before="60" w:after="200"/>
      </w:pPr>
      <w:r>
        <w:rPr>
          <w:i/>
          <w:iCs/>
          <w:color w:val="595959"/>
          <w:sz w:val="18"/>
          <w:szCs w:val="18"/>
        </w:rPr>
        <w:t>Table 3. Dataset shape and data-quality checks.</w:t>
      </w:r>
    </w:p>
    <w:p w14:paraId="6A504A58" w14:textId="77777777" w:rsidR="00AB6DC4" w:rsidRDefault="00000000">
      <w:pPr>
        <w:spacing w:after="120" w:line="276" w:lineRule="auto"/>
      </w:pPr>
      <w:r>
        <w:t>The target variable is Churn. A customer with Churn = Yes is counted as churned; Churn = No is counted as retained. Derived analysis fields used in this report include tenure groups (0–12, 13–24, 25–48, and 49–72 months).</w:t>
      </w:r>
    </w:p>
    <w:p w14:paraId="254108F5" w14:textId="77777777" w:rsidR="00AB6DC4" w:rsidRDefault="00000000">
      <w:pPr>
        <w:pStyle w:val="Heading1"/>
      </w:pPr>
      <w:bookmarkStart w:id="5" w:name="h5"/>
      <w:r>
        <w:t>4. Methodology and Tools</w:t>
      </w:r>
      <w:bookmarkEnd w:id="5"/>
    </w:p>
    <w:p w14:paraId="4B016390" w14:textId="77777777" w:rsidR="00AB6DC4" w:rsidRDefault="00000000">
      <w:pPr>
        <w:spacing w:after="120" w:line="276" w:lineRule="auto"/>
      </w:pPr>
      <w:r>
        <w:t>The analysis follows a layered workflow in which each tool plays a distinct role: spreadsheet exploration, database validation, programmatic analysis, and executive reporting.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AB6DC4" w14:paraId="04FC5E3D" w14:textId="77777777">
        <w:trPr>
          <w:cantSplit/>
          <w:tblHeader/>
        </w:trPr>
        <w:tc>
          <w:tcPr>
            <w:tcW w:w="2000" w:type="dxa"/>
            <w:tcBorders>
              <w:top w:val="single" w:sz="4" w:space="0" w:color="C9D6E6"/>
              <w:left w:val="single" w:sz="4" w:space="0" w:color="C9D6E6"/>
              <w:bottom w:val="single" w:sz="4" w:space="0" w:color="C9D6E6"/>
              <w:right w:val="single" w:sz="4" w:space="0" w:color="C9D6E6"/>
            </w:tcBorders>
            <w:shd w:val="clear" w:color="auto" w:fill="1F3864"/>
            <w:tcMar>
              <w:top w:w="70" w:type="dxa"/>
              <w:left w:w="120" w:type="dxa"/>
              <w:bottom w:w="70" w:type="dxa"/>
              <w:right w:w="120" w:type="dxa"/>
            </w:tcMar>
            <w:vAlign w:val="center"/>
          </w:tcPr>
          <w:p w14:paraId="0F556CDF" w14:textId="77777777" w:rsidR="00AB6DC4" w:rsidRDefault="00000000">
            <w:r>
              <w:rPr>
                <w:b/>
                <w:bCs/>
                <w:color w:val="FFFFFF"/>
                <w:sz w:val="20"/>
                <w:szCs w:val="20"/>
              </w:rPr>
              <w:t>Tool</w:t>
            </w:r>
          </w:p>
        </w:tc>
        <w:tc>
          <w:tcPr>
            <w:tcW w:w="7026" w:type="dxa"/>
            <w:tcBorders>
              <w:top w:val="single" w:sz="4" w:space="0" w:color="C9D6E6"/>
              <w:left w:val="single" w:sz="4" w:space="0" w:color="C9D6E6"/>
              <w:bottom w:val="single" w:sz="4" w:space="0" w:color="C9D6E6"/>
              <w:right w:val="single" w:sz="4" w:space="0" w:color="C9D6E6"/>
            </w:tcBorders>
            <w:shd w:val="clear" w:color="auto" w:fill="1F3864"/>
            <w:tcMar>
              <w:top w:w="70" w:type="dxa"/>
              <w:left w:w="120" w:type="dxa"/>
              <w:bottom w:w="70" w:type="dxa"/>
              <w:right w:w="120" w:type="dxa"/>
            </w:tcMar>
            <w:vAlign w:val="center"/>
          </w:tcPr>
          <w:p w14:paraId="5B3E6D85" w14:textId="77777777" w:rsidR="00AB6DC4" w:rsidRDefault="00000000">
            <w:r>
              <w:rPr>
                <w:b/>
                <w:bCs/>
                <w:color w:val="FFFFFF"/>
                <w:sz w:val="20"/>
                <w:szCs w:val="20"/>
              </w:rPr>
              <w:t>Role in the project</w:t>
            </w:r>
          </w:p>
        </w:tc>
      </w:tr>
      <w:tr w:rsidR="00AB6DC4" w14:paraId="0E5A297A" w14:textId="77777777">
        <w:trPr>
          <w:cantSplit/>
        </w:trPr>
        <w:tc>
          <w:tcPr>
            <w:tcW w:w="2000" w:type="dxa"/>
            <w:tcBorders>
              <w:top w:val="single" w:sz="4" w:space="0" w:color="C9D6E6"/>
              <w:left w:val="single" w:sz="4" w:space="0" w:color="C9D6E6"/>
              <w:bottom w:val="single" w:sz="4" w:space="0" w:color="C9D6E6"/>
              <w:right w:val="single" w:sz="4" w:space="0" w:color="C9D6E6"/>
            </w:tcBorders>
            <w:shd w:val="clear" w:color="auto" w:fill="FFFFFF"/>
            <w:tcMar>
              <w:top w:w="70" w:type="dxa"/>
              <w:left w:w="120" w:type="dxa"/>
              <w:bottom w:w="70" w:type="dxa"/>
              <w:right w:w="120" w:type="dxa"/>
            </w:tcMar>
            <w:vAlign w:val="center"/>
          </w:tcPr>
          <w:p w14:paraId="60B7F23F" w14:textId="77777777" w:rsidR="00AB6DC4" w:rsidRDefault="00000000">
            <w:r>
              <w:rPr>
                <w:b/>
                <w:bCs/>
                <w:sz w:val="20"/>
                <w:szCs w:val="20"/>
              </w:rPr>
              <w:t>Microsoft Excel</w:t>
            </w:r>
          </w:p>
        </w:tc>
        <w:tc>
          <w:tcPr>
            <w:tcW w:w="7026" w:type="dxa"/>
            <w:tcBorders>
              <w:top w:val="single" w:sz="4" w:space="0" w:color="C9D6E6"/>
              <w:left w:val="single" w:sz="4" w:space="0" w:color="C9D6E6"/>
              <w:bottom w:val="single" w:sz="4" w:space="0" w:color="C9D6E6"/>
              <w:right w:val="single" w:sz="4" w:space="0" w:color="C9D6E6"/>
            </w:tcBorders>
            <w:shd w:val="clear" w:color="auto" w:fill="FFFFFF"/>
            <w:tcMar>
              <w:top w:w="70" w:type="dxa"/>
              <w:left w:w="120" w:type="dxa"/>
              <w:bottom w:w="70" w:type="dxa"/>
              <w:right w:w="120" w:type="dxa"/>
            </w:tcMar>
            <w:vAlign w:val="center"/>
          </w:tcPr>
          <w:p w14:paraId="0BD53B8C" w14:textId="77777777" w:rsidR="00AB6DC4" w:rsidRDefault="00000000">
            <w:r>
              <w:rPr>
                <w:sz w:val="20"/>
                <w:szCs w:val="20"/>
              </w:rPr>
              <w:t>KPI summary, grouped comparisons, pivot-style analysis, and charts.</w:t>
            </w:r>
          </w:p>
        </w:tc>
      </w:tr>
      <w:tr w:rsidR="00AB6DC4" w14:paraId="5107BF21" w14:textId="77777777">
        <w:trPr>
          <w:cantSplit/>
        </w:trPr>
        <w:tc>
          <w:tcPr>
            <w:tcW w:w="2000" w:type="dxa"/>
            <w:tcBorders>
              <w:top w:val="single" w:sz="4" w:space="0" w:color="C9D6E6"/>
              <w:left w:val="single" w:sz="4" w:space="0" w:color="C9D6E6"/>
              <w:bottom w:val="single" w:sz="4" w:space="0" w:color="C9D6E6"/>
              <w:right w:val="single" w:sz="4" w:space="0" w:color="C9D6E6"/>
            </w:tcBorders>
            <w:shd w:val="clear" w:color="auto" w:fill="F3F8FD"/>
            <w:tcMar>
              <w:top w:w="70" w:type="dxa"/>
              <w:left w:w="120" w:type="dxa"/>
              <w:bottom w:w="70" w:type="dxa"/>
              <w:right w:w="120" w:type="dxa"/>
            </w:tcMar>
            <w:vAlign w:val="center"/>
          </w:tcPr>
          <w:p w14:paraId="33F5E8F7" w14:textId="77777777" w:rsidR="00AB6DC4" w:rsidRDefault="00000000">
            <w:r>
              <w:rPr>
                <w:b/>
                <w:bCs/>
                <w:sz w:val="20"/>
                <w:szCs w:val="20"/>
              </w:rPr>
              <w:t>MySQL</w:t>
            </w:r>
          </w:p>
        </w:tc>
        <w:tc>
          <w:tcPr>
            <w:tcW w:w="7026" w:type="dxa"/>
            <w:tcBorders>
              <w:top w:val="single" w:sz="4" w:space="0" w:color="C9D6E6"/>
              <w:left w:val="single" w:sz="4" w:space="0" w:color="C9D6E6"/>
              <w:bottom w:val="single" w:sz="4" w:space="0" w:color="C9D6E6"/>
              <w:right w:val="single" w:sz="4" w:space="0" w:color="C9D6E6"/>
            </w:tcBorders>
            <w:shd w:val="clear" w:color="auto" w:fill="F3F8FD"/>
            <w:tcMar>
              <w:top w:w="70" w:type="dxa"/>
              <w:left w:w="120" w:type="dxa"/>
              <w:bottom w:w="70" w:type="dxa"/>
              <w:right w:w="120" w:type="dxa"/>
            </w:tcMar>
            <w:vAlign w:val="center"/>
          </w:tcPr>
          <w:p w14:paraId="7BF715AE" w14:textId="77777777" w:rsidR="00AB6DC4" w:rsidRDefault="00000000">
            <w:r>
              <w:rPr>
                <w:sz w:val="20"/>
                <w:szCs w:val="20"/>
              </w:rPr>
              <w:t>Data validation and business queries using grouping, filtering, and segmentation.</w:t>
            </w:r>
          </w:p>
        </w:tc>
      </w:tr>
      <w:tr w:rsidR="00AB6DC4" w14:paraId="4FD23272" w14:textId="77777777">
        <w:trPr>
          <w:cantSplit/>
        </w:trPr>
        <w:tc>
          <w:tcPr>
            <w:tcW w:w="2000" w:type="dxa"/>
            <w:tcBorders>
              <w:top w:val="single" w:sz="4" w:space="0" w:color="C9D6E6"/>
              <w:left w:val="single" w:sz="4" w:space="0" w:color="C9D6E6"/>
              <w:bottom w:val="single" w:sz="4" w:space="0" w:color="C9D6E6"/>
              <w:right w:val="single" w:sz="4" w:space="0" w:color="C9D6E6"/>
            </w:tcBorders>
            <w:shd w:val="clear" w:color="auto" w:fill="FFFFFF"/>
            <w:tcMar>
              <w:top w:w="70" w:type="dxa"/>
              <w:left w:w="120" w:type="dxa"/>
              <w:bottom w:w="70" w:type="dxa"/>
              <w:right w:w="120" w:type="dxa"/>
            </w:tcMar>
            <w:vAlign w:val="center"/>
          </w:tcPr>
          <w:p w14:paraId="313C25D6" w14:textId="77777777" w:rsidR="00AB6DC4" w:rsidRDefault="00000000">
            <w:r>
              <w:rPr>
                <w:b/>
                <w:bCs/>
                <w:sz w:val="20"/>
                <w:szCs w:val="20"/>
              </w:rPr>
              <w:t>Python</w:t>
            </w:r>
          </w:p>
        </w:tc>
        <w:tc>
          <w:tcPr>
            <w:tcW w:w="7026" w:type="dxa"/>
            <w:tcBorders>
              <w:top w:val="single" w:sz="4" w:space="0" w:color="C9D6E6"/>
              <w:left w:val="single" w:sz="4" w:space="0" w:color="C9D6E6"/>
              <w:bottom w:val="single" w:sz="4" w:space="0" w:color="C9D6E6"/>
              <w:right w:val="single" w:sz="4" w:space="0" w:color="C9D6E6"/>
            </w:tcBorders>
            <w:shd w:val="clear" w:color="auto" w:fill="FFFFFF"/>
            <w:tcMar>
              <w:top w:w="70" w:type="dxa"/>
              <w:left w:w="120" w:type="dxa"/>
              <w:bottom w:w="70" w:type="dxa"/>
              <w:right w:w="120" w:type="dxa"/>
            </w:tcMar>
            <w:vAlign w:val="center"/>
          </w:tcPr>
          <w:p w14:paraId="6B845C34" w14:textId="77777777" w:rsidR="00AB6DC4" w:rsidRDefault="00000000">
            <w:r>
              <w:rPr>
                <w:sz w:val="20"/>
                <w:szCs w:val="20"/>
              </w:rPr>
              <w:t>Pandas and NumPy for data inspection, quality checks, and churn calculations; Matplotlib and Seaborn for visualization.</w:t>
            </w:r>
          </w:p>
        </w:tc>
      </w:tr>
      <w:tr w:rsidR="00AB6DC4" w14:paraId="4AE60C63" w14:textId="77777777">
        <w:trPr>
          <w:cantSplit/>
        </w:trPr>
        <w:tc>
          <w:tcPr>
            <w:tcW w:w="2000" w:type="dxa"/>
            <w:tcBorders>
              <w:top w:val="single" w:sz="4" w:space="0" w:color="C9D6E6"/>
              <w:left w:val="single" w:sz="4" w:space="0" w:color="C9D6E6"/>
              <w:bottom w:val="single" w:sz="4" w:space="0" w:color="C9D6E6"/>
              <w:right w:val="single" w:sz="4" w:space="0" w:color="C9D6E6"/>
            </w:tcBorders>
            <w:shd w:val="clear" w:color="auto" w:fill="F3F8FD"/>
            <w:tcMar>
              <w:top w:w="70" w:type="dxa"/>
              <w:left w:w="120" w:type="dxa"/>
              <w:bottom w:w="70" w:type="dxa"/>
              <w:right w:w="120" w:type="dxa"/>
            </w:tcMar>
            <w:vAlign w:val="center"/>
          </w:tcPr>
          <w:p w14:paraId="4DE62D7C" w14:textId="77777777" w:rsidR="00AB6DC4" w:rsidRDefault="00000000">
            <w:r>
              <w:rPr>
                <w:b/>
                <w:bCs/>
                <w:sz w:val="20"/>
                <w:szCs w:val="20"/>
              </w:rPr>
              <w:t>Power BI</w:t>
            </w:r>
          </w:p>
        </w:tc>
        <w:tc>
          <w:tcPr>
            <w:tcW w:w="7026" w:type="dxa"/>
            <w:tcBorders>
              <w:top w:val="single" w:sz="4" w:space="0" w:color="C9D6E6"/>
              <w:left w:val="single" w:sz="4" w:space="0" w:color="C9D6E6"/>
              <w:bottom w:val="single" w:sz="4" w:space="0" w:color="C9D6E6"/>
              <w:right w:val="single" w:sz="4" w:space="0" w:color="C9D6E6"/>
            </w:tcBorders>
            <w:shd w:val="clear" w:color="auto" w:fill="F3F8FD"/>
            <w:tcMar>
              <w:top w:w="70" w:type="dxa"/>
              <w:left w:w="120" w:type="dxa"/>
              <w:bottom w:w="70" w:type="dxa"/>
              <w:right w:w="120" w:type="dxa"/>
            </w:tcMar>
            <w:vAlign w:val="center"/>
          </w:tcPr>
          <w:p w14:paraId="126BC15F" w14:textId="77777777" w:rsidR="00AB6DC4" w:rsidRDefault="00000000">
            <w:r>
              <w:rPr>
                <w:sz w:val="20"/>
                <w:szCs w:val="20"/>
              </w:rPr>
              <w:t>One-page interactive executive overview with KPI cards, charts, and slicers.</w:t>
            </w:r>
          </w:p>
        </w:tc>
      </w:tr>
    </w:tbl>
    <w:p w14:paraId="7676189D" w14:textId="77777777" w:rsidR="00AB6DC4" w:rsidRDefault="00000000">
      <w:pPr>
        <w:spacing w:before="60" w:after="200"/>
      </w:pPr>
      <w:r>
        <w:rPr>
          <w:i/>
          <w:iCs/>
          <w:color w:val="595959"/>
          <w:sz w:val="18"/>
          <w:szCs w:val="18"/>
        </w:rPr>
        <w:lastRenderedPageBreak/>
        <w:t>Table 4. Tools and responsibilities.</w:t>
      </w:r>
    </w:p>
    <w:p w14:paraId="2B9B3965" w14:textId="77777777" w:rsidR="00AB6DC4" w:rsidRDefault="00000000">
      <w:pPr>
        <w:pStyle w:val="Heading2"/>
      </w:pPr>
      <w:bookmarkStart w:id="6" w:name="h6"/>
      <w:r>
        <w:t>4.1 Python workflow</w:t>
      </w:r>
      <w:bookmarkEnd w:id="6"/>
    </w:p>
    <w:p w14:paraId="7CF5A2FE" w14:textId="77777777" w:rsidR="00AB6DC4" w:rsidRDefault="00000000">
      <w:pPr>
        <w:pStyle w:val="ListParagraph"/>
        <w:numPr>
          <w:ilvl w:val="0"/>
          <w:numId w:val="2"/>
        </w:numPr>
        <w:spacing w:after="80" w:line="270" w:lineRule="auto"/>
      </w:pPr>
      <w:r>
        <w:t>Import libraries and load the cleaned CSV (telco_churn_cleaned.csv).</w:t>
      </w:r>
    </w:p>
    <w:p w14:paraId="767AD92A" w14:textId="77777777" w:rsidR="00AB6DC4" w:rsidRDefault="00000000">
      <w:pPr>
        <w:pStyle w:val="ListParagraph"/>
        <w:numPr>
          <w:ilvl w:val="0"/>
          <w:numId w:val="2"/>
        </w:numPr>
        <w:spacing w:after="80" w:line="270" w:lineRule="auto"/>
      </w:pPr>
      <w:r>
        <w:t>Inspect shape, data types, missing values, duplicate rows, and unique customer IDs.</w:t>
      </w:r>
    </w:p>
    <w:p w14:paraId="61EA19DD" w14:textId="77777777" w:rsidR="00AB6DC4" w:rsidRDefault="00000000">
      <w:pPr>
        <w:pStyle w:val="ListParagraph"/>
        <w:numPr>
          <w:ilvl w:val="0"/>
          <w:numId w:val="2"/>
        </w:numPr>
        <w:spacing w:after="80" w:line="270" w:lineRule="auto"/>
      </w:pPr>
      <w:r>
        <w:t>Calculate the overall churn distribution.</w:t>
      </w:r>
    </w:p>
    <w:p w14:paraId="6CEF2BFE" w14:textId="77777777" w:rsidR="00AB6DC4" w:rsidRDefault="00000000">
      <w:pPr>
        <w:pStyle w:val="ListParagraph"/>
        <w:numPr>
          <w:ilvl w:val="0"/>
          <w:numId w:val="2"/>
        </w:numPr>
        <w:spacing w:after="80" w:line="270" w:lineRule="auto"/>
      </w:pPr>
      <w:proofErr w:type="spellStart"/>
      <w:r>
        <w:t>Analyze</w:t>
      </w:r>
      <w:proofErr w:type="spellEnd"/>
      <w:r>
        <w:t xml:space="preserve"> churn by contract type and tenure group.</w:t>
      </w:r>
    </w:p>
    <w:p w14:paraId="2E77A104" w14:textId="77777777" w:rsidR="00AB6DC4" w:rsidRDefault="00000000">
      <w:pPr>
        <w:pStyle w:val="ListParagraph"/>
        <w:numPr>
          <w:ilvl w:val="0"/>
          <w:numId w:val="2"/>
        </w:numPr>
        <w:spacing w:after="80" w:line="270" w:lineRule="auto"/>
      </w:pPr>
      <w:r>
        <w:t xml:space="preserve">Compare </w:t>
      </w:r>
      <w:proofErr w:type="spellStart"/>
      <w:r>
        <w:t>MonthlyCharges</w:t>
      </w:r>
      <w:proofErr w:type="spellEnd"/>
      <w:r>
        <w:t xml:space="preserve"> between churned and retained customers.</w:t>
      </w:r>
    </w:p>
    <w:p w14:paraId="3E68E61A" w14:textId="77777777" w:rsidR="00AB6DC4" w:rsidRDefault="00000000">
      <w:pPr>
        <w:pStyle w:val="ListParagraph"/>
        <w:numPr>
          <w:ilvl w:val="0"/>
          <w:numId w:val="2"/>
        </w:numPr>
        <w:spacing w:after="80" w:line="270" w:lineRule="auto"/>
      </w:pPr>
      <w:r>
        <w:t>Visualize churn rates and document business insights.</w:t>
      </w:r>
    </w:p>
    <w:p w14:paraId="59505081" w14:textId="77777777" w:rsidR="00AB6DC4" w:rsidRDefault="00000000">
      <w:pPr>
        <w:pStyle w:val="Heading2"/>
      </w:pPr>
      <w:bookmarkStart w:id="7" w:name="h7"/>
      <w:r>
        <w:t>4.2 Metric approach</w:t>
      </w:r>
      <w:bookmarkEnd w:id="7"/>
    </w:p>
    <w:p w14:paraId="792D55A1" w14:textId="77777777" w:rsidR="00AB6DC4" w:rsidRDefault="00000000">
      <w:pPr>
        <w:spacing w:after="120" w:line="276" w:lineRule="auto"/>
      </w:pPr>
      <w:r>
        <w:t>Churn rate for any segment is calculated as churned customers in the segment divided by total customers in that segment. All percentages in this report are shown to two decimal places. KPI definitions are listed in Appendix A.</w:t>
      </w:r>
    </w:p>
    <w:p w14:paraId="5B3AE97D" w14:textId="77777777" w:rsidR="00AB6DC4" w:rsidRDefault="00000000">
      <w:pPr>
        <w:pStyle w:val="Heading1"/>
        <w:pageBreakBefore/>
      </w:pPr>
      <w:bookmarkStart w:id="8" w:name="h8"/>
      <w:r>
        <w:lastRenderedPageBreak/>
        <w:t>5. Data Quality and Preparation</w:t>
      </w:r>
      <w:bookmarkEnd w:id="8"/>
    </w:p>
    <w:p w14:paraId="7E1C3EBE" w14:textId="77777777" w:rsidR="00AB6DC4" w:rsidRDefault="00000000">
      <w:pPr>
        <w:spacing w:after="120" w:line="276" w:lineRule="auto"/>
      </w:pPr>
      <w:r>
        <w:t>Quality checks were run before any segment analysis. The dataset has no duplicate rows and every customer ID is unique, so each record can be treated as one customer.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4026"/>
      </w:tblGrid>
      <w:tr w:rsidR="00AB6DC4" w14:paraId="430EEADE" w14:textId="77777777">
        <w:trPr>
          <w:cantSplit/>
          <w:tblHeader/>
        </w:trPr>
        <w:tc>
          <w:tcPr>
            <w:tcW w:w="3000" w:type="dxa"/>
            <w:tcBorders>
              <w:top w:val="single" w:sz="4" w:space="0" w:color="C9D6E6"/>
              <w:left w:val="single" w:sz="4" w:space="0" w:color="C9D6E6"/>
              <w:bottom w:val="single" w:sz="4" w:space="0" w:color="C9D6E6"/>
              <w:right w:val="single" w:sz="4" w:space="0" w:color="C9D6E6"/>
            </w:tcBorders>
            <w:shd w:val="clear" w:color="auto" w:fill="1F3864"/>
            <w:tcMar>
              <w:top w:w="70" w:type="dxa"/>
              <w:left w:w="120" w:type="dxa"/>
              <w:bottom w:w="70" w:type="dxa"/>
              <w:right w:w="120" w:type="dxa"/>
            </w:tcMar>
            <w:vAlign w:val="center"/>
          </w:tcPr>
          <w:p w14:paraId="1C9FF32A" w14:textId="77777777" w:rsidR="00AB6DC4" w:rsidRDefault="00000000">
            <w:r>
              <w:rPr>
                <w:b/>
                <w:bCs/>
                <w:color w:val="FFFFFF"/>
                <w:sz w:val="20"/>
                <w:szCs w:val="20"/>
              </w:rPr>
              <w:t>Check</w:t>
            </w:r>
          </w:p>
        </w:tc>
        <w:tc>
          <w:tcPr>
            <w:tcW w:w="2000" w:type="dxa"/>
            <w:tcBorders>
              <w:top w:val="single" w:sz="4" w:space="0" w:color="C9D6E6"/>
              <w:left w:val="single" w:sz="4" w:space="0" w:color="C9D6E6"/>
              <w:bottom w:val="single" w:sz="4" w:space="0" w:color="C9D6E6"/>
              <w:right w:val="single" w:sz="4" w:space="0" w:color="C9D6E6"/>
            </w:tcBorders>
            <w:shd w:val="clear" w:color="auto" w:fill="1F3864"/>
            <w:tcMar>
              <w:top w:w="70" w:type="dxa"/>
              <w:left w:w="120" w:type="dxa"/>
              <w:bottom w:w="70" w:type="dxa"/>
              <w:right w:w="120" w:type="dxa"/>
            </w:tcMar>
            <w:vAlign w:val="center"/>
          </w:tcPr>
          <w:p w14:paraId="3F405AB7" w14:textId="77777777" w:rsidR="00AB6DC4" w:rsidRDefault="00000000">
            <w:r>
              <w:rPr>
                <w:b/>
                <w:bCs/>
                <w:color w:val="FFFFFF"/>
                <w:sz w:val="20"/>
                <w:szCs w:val="20"/>
              </w:rPr>
              <w:t>Result</w:t>
            </w:r>
          </w:p>
        </w:tc>
        <w:tc>
          <w:tcPr>
            <w:tcW w:w="4026" w:type="dxa"/>
            <w:tcBorders>
              <w:top w:val="single" w:sz="4" w:space="0" w:color="C9D6E6"/>
              <w:left w:val="single" w:sz="4" w:space="0" w:color="C9D6E6"/>
              <w:bottom w:val="single" w:sz="4" w:space="0" w:color="C9D6E6"/>
              <w:right w:val="single" w:sz="4" w:space="0" w:color="C9D6E6"/>
            </w:tcBorders>
            <w:shd w:val="clear" w:color="auto" w:fill="1F3864"/>
            <w:tcMar>
              <w:top w:w="70" w:type="dxa"/>
              <w:left w:w="120" w:type="dxa"/>
              <w:bottom w:w="70" w:type="dxa"/>
              <w:right w:w="120" w:type="dxa"/>
            </w:tcMar>
            <w:vAlign w:val="center"/>
          </w:tcPr>
          <w:p w14:paraId="22E4EAC2" w14:textId="77777777" w:rsidR="00AB6DC4" w:rsidRDefault="00000000">
            <w:r>
              <w:rPr>
                <w:b/>
                <w:bCs/>
                <w:color w:val="FFFFFF"/>
                <w:sz w:val="20"/>
                <w:szCs w:val="20"/>
              </w:rPr>
              <w:t>Handling</w:t>
            </w:r>
          </w:p>
        </w:tc>
      </w:tr>
      <w:tr w:rsidR="00AB6DC4" w14:paraId="3B20C2DB" w14:textId="77777777">
        <w:trPr>
          <w:cantSplit/>
        </w:trPr>
        <w:tc>
          <w:tcPr>
            <w:tcW w:w="3000" w:type="dxa"/>
            <w:tcBorders>
              <w:top w:val="single" w:sz="4" w:space="0" w:color="C9D6E6"/>
              <w:left w:val="single" w:sz="4" w:space="0" w:color="C9D6E6"/>
              <w:bottom w:val="single" w:sz="4" w:space="0" w:color="C9D6E6"/>
              <w:right w:val="single" w:sz="4" w:space="0" w:color="C9D6E6"/>
            </w:tcBorders>
            <w:shd w:val="clear" w:color="auto" w:fill="FFFFFF"/>
            <w:tcMar>
              <w:top w:w="70" w:type="dxa"/>
              <w:left w:w="120" w:type="dxa"/>
              <w:bottom w:w="70" w:type="dxa"/>
              <w:right w:w="120" w:type="dxa"/>
            </w:tcMar>
            <w:vAlign w:val="center"/>
          </w:tcPr>
          <w:p w14:paraId="2E55310C" w14:textId="77777777" w:rsidR="00AB6DC4" w:rsidRDefault="00000000">
            <w:r>
              <w:rPr>
                <w:b/>
                <w:bCs/>
                <w:sz w:val="20"/>
                <w:szCs w:val="20"/>
              </w:rPr>
              <w:t>Dataset shape</w:t>
            </w:r>
          </w:p>
        </w:tc>
        <w:tc>
          <w:tcPr>
            <w:tcW w:w="2000" w:type="dxa"/>
            <w:tcBorders>
              <w:top w:val="single" w:sz="4" w:space="0" w:color="C9D6E6"/>
              <w:left w:val="single" w:sz="4" w:space="0" w:color="C9D6E6"/>
              <w:bottom w:val="single" w:sz="4" w:space="0" w:color="C9D6E6"/>
              <w:right w:val="single" w:sz="4" w:space="0" w:color="C9D6E6"/>
            </w:tcBorders>
            <w:shd w:val="clear" w:color="auto" w:fill="FFFFFF"/>
            <w:tcMar>
              <w:top w:w="70" w:type="dxa"/>
              <w:left w:w="120" w:type="dxa"/>
              <w:bottom w:w="70" w:type="dxa"/>
              <w:right w:w="120" w:type="dxa"/>
            </w:tcMar>
            <w:vAlign w:val="center"/>
          </w:tcPr>
          <w:p w14:paraId="15477081" w14:textId="77777777" w:rsidR="00AB6DC4" w:rsidRDefault="00000000">
            <w:r>
              <w:rPr>
                <w:sz w:val="20"/>
                <w:szCs w:val="20"/>
              </w:rPr>
              <w:t>7,043 × 21</w:t>
            </w:r>
          </w:p>
        </w:tc>
        <w:tc>
          <w:tcPr>
            <w:tcW w:w="4026" w:type="dxa"/>
            <w:tcBorders>
              <w:top w:val="single" w:sz="4" w:space="0" w:color="C9D6E6"/>
              <w:left w:val="single" w:sz="4" w:space="0" w:color="C9D6E6"/>
              <w:bottom w:val="single" w:sz="4" w:space="0" w:color="C9D6E6"/>
              <w:right w:val="single" w:sz="4" w:space="0" w:color="C9D6E6"/>
            </w:tcBorders>
            <w:shd w:val="clear" w:color="auto" w:fill="FFFFFF"/>
            <w:tcMar>
              <w:top w:w="70" w:type="dxa"/>
              <w:left w:w="120" w:type="dxa"/>
              <w:bottom w:w="70" w:type="dxa"/>
              <w:right w:w="120" w:type="dxa"/>
            </w:tcMar>
            <w:vAlign w:val="center"/>
          </w:tcPr>
          <w:p w14:paraId="70B3C1DA" w14:textId="77777777" w:rsidR="00AB6DC4" w:rsidRDefault="00000000">
            <w:r>
              <w:rPr>
                <w:sz w:val="20"/>
                <w:szCs w:val="20"/>
              </w:rPr>
              <w:t>Confirmed</w:t>
            </w:r>
          </w:p>
        </w:tc>
      </w:tr>
      <w:tr w:rsidR="00AB6DC4" w14:paraId="7F4702DD" w14:textId="77777777">
        <w:trPr>
          <w:cantSplit/>
        </w:trPr>
        <w:tc>
          <w:tcPr>
            <w:tcW w:w="3000" w:type="dxa"/>
            <w:tcBorders>
              <w:top w:val="single" w:sz="4" w:space="0" w:color="C9D6E6"/>
              <w:left w:val="single" w:sz="4" w:space="0" w:color="C9D6E6"/>
              <w:bottom w:val="single" w:sz="4" w:space="0" w:color="C9D6E6"/>
              <w:right w:val="single" w:sz="4" w:space="0" w:color="C9D6E6"/>
            </w:tcBorders>
            <w:shd w:val="clear" w:color="auto" w:fill="F3F8FD"/>
            <w:tcMar>
              <w:top w:w="70" w:type="dxa"/>
              <w:left w:w="120" w:type="dxa"/>
              <w:bottom w:w="70" w:type="dxa"/>
              <w:right w:w="120" w:type="dxa"/>
            </w:tcMar>
            <w:vAlign w:val="center"/>
          </w:tcPr>
          <w:p w14:paraId="72E00C5E" w14:textId="77777777" w:rsidR="00AB6DC4" w:rsidRDefault="00000000">
            <w:r>
              <w:rPr>
                <w:b/>
                <w:bCs/>
                <w:sz w:val="20"/>
                <w:szCs w:val="20"/>
              </w:rPr>
              <w:t>Unique customer IDs</w:t>
            </w:r>
          </w:p>
        </w:tc>
        <w:tc>
          <w:tcPr>
            <w:tcW w:w="2000" w:type="dxa"/>
            <w:tcBorders>
              <w:top w:val="single" w:sz="4" w:space="0" w:color="C9D6E6"/>
              <w:left w:val="single" w:sz="4" w:space="0" w:color="C9D6E6"/>
              <w:bottom w:val="single" w:sz="4" w:space="0" w:color="C9D6E6"/>
              <w:right w:val="single" w:sz="4" w:space="0" w:color="C9D6E6"/>
            </w:tcBorders>
            <w:shd w:val="clear" w:color="auto" w:fill="F3F8FD"/>
            <w:tcMar>
              <w:top w:w="70" w:type="dxa"/>
              <w:left w:w="120" w:type="dxa"/>
              <w:bottom w:w="70" w:type="dxa"/>
              <w:right w:w="120" w:type="dxa"/>
            </w:tcMar>
            <w:vAlign w:val="center"/>
          </w:tcPr>
          <w:p w14:paraId="184776ED" w14:textId="77777777" w:rsidR="00AB6DC4" w:rsidRDefault="00000000">
            <w:r>
              <w:rPr>
                <w:sz w:val="20"/>
                <w:szCs w:val="20"/>
              </w:rPr>
              <w:t>7,043</w:t>
            </w:r>
          </w:p>
        </w:tc>
        <w:tc>
          <w:tcPr>
            <w:tcW w:w="4026" w:type="dxa"/>
            <w:tcBorders>
              <w:top w:val="single" w:sz="4" w:space="0" w:color="C9D6E6"/>
              <w:left w:val="single" w:sz="4" w:space="0" w:color="C9D6E6"/>
              <w:bottom w:val="single" w:sz="4" w:space="0" w:color="C9D6E6"/>
              <w:right w:val="single" w:sz="4" w:space="0" w:color="C9D6E6"/>
            </w:tcBorders>
            <w:shd w:val="clear" w:color="auto" w:fill="F3F8FD"/>
            <w:tcMar>
              <w:top w:w="70" w:type="dxa"/>
              <w:left w:w="120" w:type="dxa"/>
              <w:bottom w:w="70" w:type="dxa"/>
              <w:right w:w="120" w:type="dxa"/>
            </w:tcMar>
            <w:vAlign w:val="center"/>
          </w:tcPr>
          <w:p w14:paraId="08AA107B" w14:textId="77777777" w:rsidR="00AB6DC4" w:rsidRDefault="00000000">
            <w:r>
              <w:rPr>
                <w:sz w:val="20"/>
                <w:szCs w:val="20"/>
              </w:rPr>
              <w:t>No duplicate customers</w:t>
            </w:r>
          </w:p>
        </w:tc>
      </w:tr>
      <w:tr w:rsidR="00AB6DC4" w14:paraId="7AB08658" w14:textId="77777777">
        <w:trPr>
          <w:cantSplit/>
        </w:trPr>
        <w:tc>
          <w:tcPr>
            <w:tcW w:w="3000" w:type="dxa"/>
            <w:tcBorders>
              <w:top w:val="single" w:sz="4" w:space="0" w:color="C9D6E6"/>
              <w:left w:val="single" w:sz="4" w:space="0" w:color="C9D6E6"/>
              <w:bottom w:val="single" w:sz="4" w:space="0" w:color="C9D6E6"/>
              <w:right w:val="single" w:sz="4" w:space="0" w:color="C9D6E6"/>
            </w:tcBorders>
            <w:shd w:val="clear" w:color="auto" w:fill="FFFFFF"/>
            <w:tcMar>
              <w:top w:w="70" w:type="dxa"/>
              <w:left w:w="120" w:type="dxa"/>
              <w:bottom w:w="70" w:type="dxa"/>
              <w:right w:w="120" w:type="dxa"/>
            </w:tcMar>
            <w:vAlign w:val="center"/>
          </w:tcPr>
          <w:p w14:paraId="6245E3BA" w14:textId="77777777" w:rsidR="00AB6DC4" w:rsidRDefault="00000000">
            <w:r>
              <w:rPr>
                <w:b/>
                <w:bCs/>
                <w:sz w:val="20"/>
                <w:szCs w:val="20"/>
              </w:rPr>
              <w:t>Duplicate rows</w:t>
            </w:r>
          </w:p>
        </w:tc>
        <w:tc>
          <w:tcPr>
            <w:tcW w:w="2000" w:type="dxa"/>
            <w:tcBorders>
              <w:top w:val="single" w:sz="4" w:space="0" w:color="C9D6E6"/>
              <w:left w:val="single" w:sz="4" w:space="0" w:color="C9D6E6"/>
              <w:bottom w:val="single" w:sz="4" w:space="0" w:color="C9D6E6"/>
              <w:right w:val="single" w:sz="4" w:space="0" w:color="C9D6E6"/>
            </w:tcBorders>
            <w:shd w:val="clear" w:color="auto" w:fill="FFFFFF"/>
            <w:tcMar>
              <w:top w:w="70" w:type="dxa"/>
              <w:left w:w="120" w:type="dxa"/>
              <w:bottom w:w="70" w:type="dxa"/>
              <w:right w:w="120" w:type="dxa"/>
            </w:tcMar>
            <w:vAlign w:val="center"/>
          </w:tcPr>
          <w:p w14:paraId="2E3E31C2" w14:textId="77777777" w:rsidR="00AB6DC4" w:rsidRDefault="00000000">
            <w:r>
              <w:rPr>
                <w:sz w:val="20"/>
                <w:szCs w:val="20"/>
              </w:rPr>
              <w:t>0</w:t>
            </w:r>
          </w:p>
        </w:tc>
        <w:tc>
          <w:tcPr>
            <w:tcW w:w="4026" w:type="dxa"/>
            <w:tcBorders>
              <w:top w:val="single" w:sz="4" w:space="0" w:color="C9D6E6"/>
              <w:left w:val="single" w:sz="4" w:space="0" w:color="C9D6E6"/>
              <w:bottom w:val="single" w:sz="4" w:space="0" w:color="C9D6E6"/>
              <w:right w:val="single" w:sz="4" w:space="0" w:color="C9D6E6"/>
            </w:tcBorders>
            <w:shd w:val="clear" w:color="auto" w:fill="FFFFFF"/>
            <w:tcMar>
              <w:top w:w="70" w:type="dxa"/>
              <w:left w:w="120" w:type="dxa"/>
              <w:bottom w:w="70" w:type="dxa"/>
              <w:right w:w="120" w:type="dxa"/>
            </w:tcMar>
            <w:vAlign w:val="center"/>
          </w:tcPr>
          <w:p w14:paraId="2307BB7E" w14:textId="77777777" w:rsidR="00AB6DC4" w:rsidRDefault="00000000">
            <w:r>
              <w:rPr>
                <w:sz w:val="20"/>
                <w:szCs w:val="20"/>
              </w:rPr>
              <w:t>No action needed</w:t>
            </w:r>
          </w:p>
        </w:tc>
      </w:tr>
      <w:tr w:rsidR="00AB6DC4" w14:paraId="0DCA6937" w14:textId="77777777">
        <w:trPr>
          <w:cantSplit/>
        </w:trPr>
        <w:tc>
          <w:tcPr>
            <w:tcW w:w="3000" w:type="dxa"/>
            <w:tcBorders>
              <w:top w:val="single" w:sz="4" w:space="0" w:color="C9D6E6"/>
              <w:left w:val="single" w:sz="4" w:space="0" w:color="C9D6E6"/>
              <w:bottom w:val="single" w:sz="4" w:space="0" w:color="C9D6E6"/>
              <w:right w:val="single" w:sz="4" w:space="0" w:color="C9D6E6"/>
            </w:tcBorders>
            <w:shd w:val="clear" w:color="auto" w:fill="FDE9EF"/>
            <w:tcMar>
              <w:top w:w="70" w:type="dxa"/>
              <w:left w:w="120" w:type="dxa"/>
              <w:bottom w:w="70" w:type="dxa"/>
              <w:right w:w="120" w:type="dxa"/>
            </w:tcMar>
            <w:vAlign w:val="center"/>
          </w:tcPr>
          <w:p w14:paraId="611ED94D" w14:textId="77777777" w:rsidR="00AB6DC4" w:rsidRDefault="00000000">
            <w:r>
              <w:rPr>
                <w:b/>
                <w:bCs/>
                <w:sz w:val="20"/>
                <w:szCs w:val="20"/>
              </w:rPr>
              <w:t xml:space="preserve">Missing </w:t>
            </w:r>
            <w:proofErr w:type="spellStart"/>
            <w:r>
              <w:rPr>
                <w:b/>
                <w:bCs/>
                <w:sz w:val="20"/>
                <w:szCs w:val="20"/>
              </w:rPr>
              <w:t>TotalCharges</w:t>
            </w:r>
            <w:proofErr w:type="spellEnd"/>
          </w:p>
        </w:tc>
        <w:tc>
          <w:tcPr>
            <w:tcW w:w="2000" w:type="dxa"/>
            <w:tcBorders>
              <w:top w:val="single" w:sz="4" w:space="0" w:color="C9D6E6"/>
              <w:left w:val="single" w:sz="4" w:space="0" w:color="C9D6E6"/>
              <w:bottom w:val="single" w:sz="4" w:space="0" w:color="C9D6E6"/>
              <w:right w:val="single" w:sz="4" w:space="0" w:color="C9D6E6"/>
            </w:tcBorders>
            <w:shd w:val="clear" w:color="auto" w:fill="FDE9EF"/>
            <w:tcMar>
              <w:top w:w="70" w:type="dxa"/>
              <w:left w:w="120" w:type="dxa"/>
              <w:bottom w:w="70" w:type="dxa"/>
              <w:right w:w="120" w:type="dxa"/>
            </w:tcMar>
            <w:vAlign w:val="center"/>
          </w:tcPr>
          <w:p w14:paraId="77833836" w14:textId="77777777" w:rsidR="00AB6DC4" w:rsidRDefault="00000000">
            <w:r>
              <w:rPr>
                <w:sz w:val="20"/>
                <w:szCs w:val="20"/>
              </w:rPr>
              <w:t>11</w:t>
            </w:r>
          </w:p>
        </w:tc>
        <w:tc>
          <w:tcPr>
            <w:tcW w:w="4026" w:type="dxa"/>
            <w:tcBorders>
              <w:top w:val="single" w:sz="4" w:space="0" w:color="C9D6E6"/>
              <w:left w:val="single" w:sz="4" w:space="0" w:color="C9D6E6"/>
              <w:bottom w:val="single" w:sz="4" w:space="0" w:color="C9D6E6"/>
              <w:right w:val="single" w:sz="4" w:space="0" w:color="C9D6E6"/>
            </w:tcBorders>
            <w:shd w:val="clear" w:color="auto" w:fill="FDE9EF"/>
            <w:tcMar>
              <w:top w:w="70" w:type="dxa"/>
              <w:left w:w="120" w:type="dxa"/>
              <w:bottom w:w="70" w:type="dxa"/>
              <w:right w:w="120" w:type="dxa"/>
            </w:tcMar>
            <w:vAlign w:val="center"/>
          </w:tcPr>
          <w:p w14:paraId="00105646" w14:textId="77777777" w:rsidR="00AB6DC4" w:rsidRDefault="00000000">
            <w:r>
              <w:rPr>
                <w:sz w:val="20"/>
                <w:szCs w:val="20"/>
              </w:rPr>
              <w:t>Retained and flagged for review; not silently deleted</w:t>
            </w:r>
          </w:p>
        </w:tc>
      </w:tr>
    </w:tbl>
    <w:p w14:paraId="293315C9" w14:textId="77777777" w:rsidR="00AB6DC4" w:rsidRDefault="00000000">
      <w:pPr>
        <w:spacing w:before="60" w:after="200"/>
      </w:pPr>
      <w:r>
        <w:rPr>
          <w:i/>
          <w:iCs/>
          <w:color w:val="595959"/>
          <w:sz w:val="18"/>
          <w:szCs w:val="18"/>
        </w:rPr>
        <w:t>Table 5. Data-quality summary.</w:t>
      </w:r>
    </w:p>
    <w:p w14:paraId="27D786FF" w14:textId="77777777" w:rsidR="00AB6DC4" w:rsidRDefault="00000000">
      <w:pPr>
        <w:pStyle w:val="Heading2"/>
      </w:pPr>
      <w:bookmarkStart w:id="9" w:name="h9"/>
      <w:r>
        <w:t xml:space="preserve">5.1 Missing </w:t>
      </w:r>
      <w:proofErr w:type="spellStart"/>
      <w:r>
        <w:t>TotalCharges</w:t>
      </w:r>
      <w:proofErr w:type="spellEnd"/>
      <w:r>
        <w:t xml:space="preserve"> values</w:t>
      </w:r>
      <w:bookmarkEnd w:id="9"/>
    </w:p>
    <w:p w14:paraId="1262B723" w14:textId="77777777" w:rsidR="00AB6DC4" w:rsidRDefault="00000000">
      <w:pPr>
        <w:spacing w:after="120" w:line="276" w:lineRule="auto"/>
      </w:pPr>
      <w:r>
        <w:t xml:space="preserve">Eleven records have missing </w:t>
      </w:r>
      <w:proofErr w:type="spellStart"/>
      <w:r>
        <w:t>TotalCharges</w:t>
      </w:r>
      <w:proofErr w:type="spellEnd"/>
      <w:r>
        <w:t xml:space="preserve"> values. These records were not silently deleted. Any decision to impute, exclude, or </w:t>
      </w:r>
      <w:proofErr w:type="spellStart"/>
      <w:r>
        <w:t>analyze</w:t>
      </w:r>
      <w:proofErr w:type="spellEnd"/>
      <w:r>
        <w:t xml:space="preserve"> them separately should be documented explicitly and should preserve the original records. Because the churn, contract, tenure, and </w:t>
      </w:r>
      <w:proofErr w:type="spellStart"/>
      <w:r>
        <w:t>MonthlyCharges</w:t>
      </w:r>
      <w:proofErr w:type="spellEnd"/>
      <w:r>
        <w:t xml:space="preserve"> analyses in this report do not depend on </w:t>
      </w:r>
      <w:proofErr w:type="spellStart"/>
      <w:r>
        <w:t>TotalCharges</w:t>
      </w:r>
      <w:proofErr w:type="spellEnd"/>
      <w:r>
        <w:t>, the headline KPIs retain all 7,043 customers.</w:t>
      </w:r>
    </w:p>
    <w:p w14:paraId="70186CAA" w14:textId="77777777" w:rsidR="00AB6DC4" w:rsidRDefault="00000000">
      <w:pPr>
        <w:pStyle w:val="Heading2"/>
      </w:pPr>
      <w:bookmarkStart w:id="10" w:name="h10"/>
      <w:r>
        <w:t>5.2 Data-validation note: MySQL Churn field</w:t>
      </w:r>
      <w:bookmarkEnd w:id="10"/>
    </w:p>
    <w:p w14:paraId="740DA360" w14:textId="77777777" w:rsidR="00AB6DC4" w:rsidRDefault="00000000">
      <w:pPr>
        <w:pBdr>
          <w:left w:val="single" w:sz="24" w:space="8" w:color="2E75B6"/>
        </w:pBdr>
        <w:shd w:val="clear" w:color="auto" w:fill="DEEAF6"/>
        <w:spacing w:before="120" w:after="200" w:line="270" w:lineRule="auto"/>
        <w:ind w:left="140" w:right="140"/>
      </w:pPr>
      <w:r>
        <w:rPr>
          <w:b/>
          <w:bCs/>
          <w:color w:val="1F3864"/>
        </w:rPr>
        <w:t xml:space="preserve">Validation </w:t>
      </w:r>
      <w:proofErr w:type="gramStart"/>
      <w:r>
        <w:rPr>
          <w:b/>
          <w:bCs/>
          <w:color w:val="1F3864"/>
        </w:rPr>
        <w:t>note</w:t>
      </w:r>
      <w:proofErr w:type="gramEnd"/>
      <w:r>
        <w:rPr>
          <w:b/>
          <w:bCs/>
          <w:color w:val="1F3864"/>
        </w:rPr>
        <w:t xml:space="preserve">: </w:t>
      </w:r>
      <w:r>
        <w:t>During the MySQL import workflow, the Churn field showed a carriage-return normalization issue for the value “Yes”. SQL comparisons should use a normalized value (for example TRIM or a first-character check) until the field is cleaned and revalidated. This is an import-specific issue and should not be assumed to exist in the CSV loaded directly into Python or Power BI.</w:t>
      </w:r>
    </w:p>
    <w:p w14:paraId="4A419030" w14:textId="77777777" w:rsidR="00AB6DC4" w:rsidRDefault="00000000">
      <w:pPr>
        <w:pStyle w:val="Heading1"/>
      </w:pPr>
      <w:bookmarkStart w:id="11" w:name="h11"/>
      <w:r>
        <w:t>6. Key Findings</w:t>
      </w:r>
      <w:bookmarkEnd w:id="11"/>
    </w:p>
    <w:p w14:paraId="50455415" w14:textId="77777777" w:rsidR="00AB6DC4" w:rsidRDefault="00000000">
      <w:pPr>
        <w:pStyle w:val="Heading2"/>
      </w:pPr>
      <w:bookmarkStart w:id="12" w:name="h12"/>
      <w:r>
        <w:t>6.1 Overall churn</w:t>
      </w:r>
      <w:bookmarkEnd w:id="12"/>
    </w:p>
    <w:p w14:paraId="0EB790E2" w14:textId="77777777" w:rsidR="00AB6DC4" w:rsidRDefault="00000000">
      <w:pPr>
        <w:spacing w:after="120" w:line="276" w:lineRule="auto"/>
      </w:pPr>
      <w:r>
        <w:t>Of 7,043 customers, 1,869 churned and 5,174 were retained, giving an overall churn rate of 26.54% and a retention rate of 73.46%. Roughly one in four customers in the dataset churned.</w:t>
      </w:r>
    </w:p>
    <w:p w14:paraId="333DED1E" w14:textId="77777777" w:rsidR="00AB6DC4" w:rsidRDefault="00000000">
      <w:pPr>
        <w:pStyle w:val="Heading2"/>
      </w:pPr>
      <w:bookmarkStart w:id="13" w:name="h13"/>
      <w:r>
        <w:t>6.2 Churn by contract type</w:t>
      </w:r>
      <w:bookmarkEnd w:id="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26"/>
        <w:gridCol w:w="2100"/>
        <w:gridCol w:w="2100"/>
        <w:gridCol w:w="2200"/>
      </w:tblGrid>
      <w:tr w:rsidR="00AB6DC4" w14:paraId="336ABA9D" w14:textId="77777777">
        <w:trPr>
          <w:cantSplit/>
          <w:tblHeader/>
        </w:trPr>
        <w:tc>
          <w:tcPr>
            <w:tcW w:w="2626" w:type="dxa"/>
            <w:tcBorders>
              <w:top w:val="single" w:sz="4" w:space="0" w:color="C9D6E6"/>
              <w:left w:val="single" w:sz="4" w:space="0" w:color="C9D6E6"/>
              <w:bottom w:val="single" w:sz="4" w:space="0" w:color="C9D6E6"/>
              <w:right w:val="single" w:sz="4" w:space="0" w:color="C9D6E6"/>
            </w:tcBorders>
            <w:shd w:val="clear" w:color="auto" w:fill="1F3864"/>
            <w:tcMar>
              <w:top w:w="70" w:type="dxa"/>
              <w:left w:w="120" w:type="dxa"/>
              <w:bottom w:w="70" w:type="dxa"/>
              <w:right w:w="120" w:type="dxa"/>
            </w:tcMar>
            <w:vAlign w:val="center"/>
          </w:tcPr>
          <w:p w14:paraId="69BE6885" w14:textId="77777777" w:rsidR="00AB6DC4" w:rsidRDefault="00000000">
            <w:r>
              <w:rPr>
                <w:b/>
                <w:bCs/>
                <w:color w:val="FFFFFF"/>
                <w:sz w:val="20"/>
                <w:szCs w:val="20"/>
              </w:rPr>
              <w:t>Contract</w:t>
            </w:r>
          </w:p>
        </w:tc>
        <w:tc>
          <w:tcPr>
            <w:tcW w:w="2100" w:type="dxa"/>
            <w:tcBorders>
              <w:top w:val="single" w:sz="4" w:space="0" w:color="C9D6E6"/>
              <w:left w:val="single" w:sz="4" w:space="0" w:color="C9D6E6"/>
              <w:bottom w:val="single" w:sz="4" w:space="0" w:color="C9D6E6"/>
              <w:right w:val="single" w:sz="4" w:space="0" w:color="C9D6E6"/>
            </w:tcBorders>
            <w:shd w:val="clear" w:color="auto" w:fill="1F3864"/>
            <w:tcMar>
              <w:top w:w="70" w:type="dxa"/>
              <w:left w:w="120" w:type="dxa"/>
              <w:bottom w:w="70" w:type="dxa"/>
              <w:right w:w="120" w:type="dxa"/>
            </w:tcMar>
            <w:vAlign w:val="center"/>
          </w:tcPr>
          <w:p w14:paraId="48BCA13D" w14:textId="77777777" w:rsidR="00AB6DC4" w:rsidRDefault="00000000">
            <w:pPr>
              <w:jc w:val="right"/>
            </w:pPr>
            <w:r>
              <w:rPr>
                <w:b/>
                <w:bCs/>
                <w:color w:val="FFFFFF"/>
                <w:sz w:val="20"/>
                <w:szCs w:val="20"/>
              </w:rPr>
              <w:t>Total customers</w:t>
            </w:r>
          </w:p>
        </w:tc>
        <w:tc>
          <w:tcPr>
            <w:tcW w:w="2100" w:type="dxa"/>
            <w:tcBorders>
              <w:top w:val="single" w:sz="4" w:space="0" w:color="C9D6E6"/>
              <w:left w:val="single" w:sz="4" w:space="0" w:color="C9D6E6"/>
              <w:bottom w:val="single" w:sz="4" w:space="0" w:color="C9D6E6"/>
              <w:right w:val="single" w:sz="4" w:space="0" w:color="C9D6E6"/>
            </w:tcBorders>
            <w:shd w:val="clear" w:color="auto" w:fill="1F3864"/>
            <w:tcMar>
              <w:top w:w="70" w:type="dxa"/>
              <w:left w:w="120" w:type="dxa"/>
              <w:bottom w:w="70" w:type="dxa"/>
              <w:right w:w="120" w:type="dxa"/>
            </w:tcMar>
            <w:vAlign w:val="center"/>
          </w:tcPr>
          <w:p w14:paraId="078282B8" w14:textId="77777777" w:rsidR="00AB6DC4" w:rsidRDefault="00000000">
            <w:pPr>
              <w:jc w:val="right"/>
            </w:pPr>
            <w:r>
              <w:rPr>
                <w:b/>
                <w:bCs/>
                <w:color w:val="FFFFFF"/>
                <w:sz w:val="20"/>
                <w:szCs w:val="20"/>
              </w:rPr>
              <w:t>Churned customers</w:t>
            </w:r>
          </w:p>
        </w:tc>
        <w:tc>
          <w:tcPr>
            <w:tcW w:w="2200" w:type="dxa"/>
            <w:tcBorders>
              <w:top w:val="single" w:sz="4" w:space="0" w:color="C9D6E6"/>
              <w:left w:val="single" w:sz="4" w:space="0" w:color="C9D6E6"/>
              <w:bottom w:val="single" w:sz="4" w:space="0" w:color="C9D6E6"/>
              <w:right w:val="single" w:sz="4" w:space="0" w:color="C9D6E6"/>
            </w:tcBorders>
            <w:shd w:val="clear" w:color="auto" w:fill="1F3864"/>
            <w:tcMar>
              <w:top w:w="70" w:type="dxa"/>
              <w:left w:w="120" w:type="dxa"/>
              <w:bottom w:w="70" w:type="dxa"/>
              <w:right w:w="120" w:type="dxa"/>
            </w:tcMar>
            <w:vAlign w:val="center"/>
          </w:tcPr>
          <w:p w14:paraId="34DD935A" w14:textId="77777777" w:rsidR="00AB6DC4" w:rsidRDefault="00000000">
            <w:pPr>
              <w:jc w:val="right"/>
            </w:pPr>
            <w:r>
              <w:rPr>
                <w:b/>
                <w:bCs/>
                <w:color w:val="FFFFFF"/>
                <w:sz w:val="20"/>
                <w:szCs w:val="20"/>
              </w:rPr>
              <w:t>Churn rate</w:t>
            </w:r>
          </w:p>
        </w:tc>
      </w:tr>
      <w:tr w:rsidR="00AB6DC4" w14:paraId="6EE7D77C" w14:textId="77777777">
        <w:trPr>
          <w:cantSplit/>
        </w:trPr>
        <w:tc>
          <w:tcPr>
            <w:tcW w:w="2626" w:type="dxa"/>
            <w:tcBorders>
              <w:top w:val="single" w:sz="4" w:space="0" w:color="C9D6E6"/>
              <w:left w:val="single" w:sz="4" w:space="0" w:color="C9D6E6"/>
              <w:bottom w:val="single" w:sz="4" w:space="0" w:color="C9D6E6"/>
              <w:right w:val="single" w:sz="4" w:space="0" w:color="C9D6E6"/>
            </w:tcBorders>
            <w:shd w:val="clear" w:color="auto" w:fill="FDE9EF"/>
            <w:tcMar>
              <w:top w:w="70" w:type="dxa"/>
              <w:left w:w="120" w:type="dxa"/>
              <w:bottom w:w="70" w:type="dxa"/>
              <w:right w:w="120" w:type="dxa"/>
            </w:tcMar>
            <w:vAlign w:val="center"/>
          </w:tcPr>
          <w:p w14:paraId="2085E77D" w14:textId="77777777" w:rsidR="00AB6DC4" w:rsidRDefault="00000000">
            <w:r>
              <w:rPr>
                <w:b/>
                <w:bCs/>
                <w:sz w:val="20"/>
                <w:szCs w:val="20"/>
              </w:rPr>
              <w:t>Month-to-month</w:t>
            </w:r>
          </w:p>
        </w:tc>
        <w:tc>
          <w:tcPr>
            <w:tcW w:w="2100" w:type="dxa"/>
            <w:tcBorders>
              <w:top w:val="single" w:sz="4" w:space="0" w:color="C9D6E6"/>
              <w:left w:val="single" w:sz="4" w:space="0" w:color="C9D6E6"/>
              <w:bottom w:val="single" w:sz="4" w:space="0" w:color="C9D6E6"/>
              <w:right w:val="single" w:sz="4" w:space="0" w:color="C9D6E6"/>
            </w:tcBorders>
            <w:shd w:val="clear" w:color="auto" w:fill="FDE9EF"/>
            <w:tcMar>
              <w:top w:w="70" w:type="dxa"/>
              <w:left w:w="120" w:type="dxa"/>
              <w:bottom w:w="70" w:type="dxa"/>
              <w:right w:w="120" w:type="dxa"/>
            </w:tcMar>
            <w:vAlign w:val="center"/>
          </w:tcPr>
          <w:p w14:paraId="4C0E60B4" w14:textId="77777777" w:rsidR="00AB6DC4" w:rsidRDefault="00000000">
            <w:pPr>
              <w:jc w:val="right"/>
            </w:pPr>
            <w:r>
              <w:rPr>
                <w:sz w:val="20"/>
                <w:szCs w:val="20"/>
              </w:rPr>
              <w:t>3,875</w:t>
            </w:r>
          </w:p>
        </w:tc>
        <w:tc>
          <w:tcPr>
            <w:tcW w:w="2100" w:type="dxa"/>
            <w:tcBorders>
              <w:top w:val="single" w:sz="4" w:space="0" w:color="C9D6E6"/>
              <w:left w:val="single" w:sz="4" w:space="0" w:color="C9D6E6"/>
              <w:bottom w:val="single" w:sz="4" w:space="0" w:color="C9D6E6"/>
              <w:right w:val="single" w:sz="4" w:space="0" w:color="C9D6E6"/>
            </w:tcBorders>
            <w:shd w:val="clear" w:color="auto" w:fill="FDE9EF"/>
            <w:tcMar>
              <w:top w:w="70" w:type="dxa"/>
              <w:left w:w="120" w:type="dxa"/>
              <w:bottom w:w="70" w:type="dxa"/>
              <w:right w:w="120" w:type="dxa"/>
            </w:tcMar>
            <w:vAlign w:val="center"/>
          </w:tcPr>
          <w:p w14:paraId="5EA0BF5E" w14:textId="77777777" w:rsidR="00AB6DC4" w:rsidRDefault="00000000">
            <w:pPr>
              <w:jc w:val="right"/>
            </w:pPr>
            <w:r>
              <w:rPr>
                <w:sz w:val="20"/>
                <w:szCs w:val="20"/>
              </w:rPr>
              <w:t>1,655</w:t>
            </w:r>
          </w:p>
        </w:tc>
        <w:tc>
          <w:tcPr>
            <w:tcW w:w="2200" w:type="dxa"/>
            <w:tcBorders>
              <w:top w:val="single" w:sz="4" w:space="0" w:color="C9D6E6"/>
              <w:left w:val="single" w:sz="4" w:space="0" w:color="C9D6E6"/>
              <w:bottom w:val="single" w:sz="4" w:space="0" w:color="C9D6E6"/>
              <w:right w:val="single" w:sz="4" w:space="0" w:color="C9D6E6"/>
            </w:tcBorders>
            <w:shd w:val="clear" w:color="auto" w:fill="FDE9EF"/>
            <w:tcMar>
              <w:top w:w="70" w:type="dxa"/>
              <w:left w:w="120" w:type="dxa"/>
              <w:bottom w:w="70" w:type="dxa"/>
              <w:right w:w="120" w:type="dxa"/>
            </w:tcMar>
            <w:vAlign w:val="center"/>
          </w:tcPr>
          <w:p w14:paraId="57DA5B27" w14:textId="77777777" w:rsidR="00AB6DC4" w:rsidRDefault="00000000">
            <w:pPr>
              <w:jc w:val="right"/>
            </w:pPr>
            <w:r>
              <w:rPr>
                <w:sz w:val="20"/>
                <w:szCs w:val="20"/>
              </w:rPr>
              <w:t>42.71%</w:t>
            </w:r>
          </w:p>
        </w:tc>
      </w:tr>
      <w:tr w:rsidR="00AB6DC4" w14:paraId="4B722432" w14:textId="77777777">
        <w:trPr>
          <w:cantSplit/>
        </w:trPr>
        <w:tc>
          <w:tcPr>
            <w:tcW w:w="2626" w:type="dxa"/>
            <w:tcBorders>
              <w:top w:val="single" w:sz="4" w:space="0" w:color="C9D6E6"/>
              <w:left w:val="single" w:sz="4" w:space="0" w:color="C9D6E6"/>
              <w:bottom w:val="single" w:sz="4" w:space="0" w:color="C9D6E6"/>
              <w:right w:val="single" w:sz="4" w:space="0" w:color="C9D6E6"/>
            </w:tcBorders>
            <w:shd w:val="clear" w:color="auto" w:fill="F3F8FD"/>
            <w:tcMar>
              <w:top w:w="70" w:type="dxa"/>
              <w:left w:w="120" w:type="dxa"/>
              <w:bottom w:w="70" w:type="dxa"/>
              <w:right w:w="120" w:type="dxa"/>
            </w:tcMar>
            <w:vAlign w:val="center"/>
          </w:tcPr>
          <w:p w14:paraId="4F42949A" w14:textId="77777777" w:rsidR="00AB6DC4" w:rsidRDefault="00000000">
            <w:r>
              <w:rPr>
                <w:b/>
                <w:bCs/>
                <w:sz w:val="20"/>
                <w:szCs w:val="20"/>
              </w:rPr>
              <w:t>One year</w:t>
            </w:r>
          </w:p>
        </w:tc>
        <w:tc>
          <w:tcPr>
            <w:tcW w:w="2100" w:type="dxa"/>
            <w:tcBorders>
              <w:top w:val="single" w:sz="4" w:space="0" w:color="C9D6E6"/>
              <w:left w:val="single" w:sz="4" w:space="0" w:color="C9D6E6"/>
              <w:bottom w:val="single" w:sz="4" w:space="0" w:color="C9D6E6"/>
              <w:right w:val="single" w:sz="4" w:space="0" w:color="C9D6E6"/>
            </w:tcBorders>
            <w:shd w:val="clear" w:color="auto" w:fill="F3F8FD"/>
            <w:tcMar>
              <w:top w:w="70" w:type="dxa"/>
              <w:left w:w="120" w:type="dxa"/>
              <w:bottom w:w="70" w:type="dxa"/>
              <w:right w:w="120" w:type="dxa"/>
            </w:tcMar>
            <w:vAlign w:val="center"/>
          </w:tcPr>
          <w:p w14:paraId="484BA8CB" w14:textId="77777777" w:rsidR="00AB6DC4" w:rsidRDefault="00000000">
            <w:pPr>
              <w:jc w:val="right"/>
            </w:pPr>
            <w:r>
              <w:rPr>
                <w:sz w:val="20"/>
                <w:szCs w:val="20"/>
              </w:rPr>
              <w:t>1,473</w:t>
            </w:r>
          </w:p>
        </w:tc>
        <w:tc>
          <w:tcPr>
            <w:tcW w:w="2100" w:type="dxa"/>
            <w:tcBorders>
              <w:top w:val="single" w:sz="4" w:space="0" w:color="C9D6E6"/>
              <w:left w:val="single" w:sz="4" w:space="0" w:color="C9D6E6"/>
              <w:bottom w:val="single" w:sz="4" w:space="0" w:color="C9D6E6"/>
              <w:right w:val="single" w:sz="4" w:space="0" w:color="C9D6E6"/>
            </w:tcBorders>
            <w:shd w:val="clear" w:color="auto" w:fill="F3F8FD"/>
            <w:tcMar>
              <w:top w:w="70" w:type="dxa"/>
              <w:left w:w="120" w:type="dxa"/>
              <w:bottom w:w="70" w:type="dxa"/>
              <w:right w:w="120" w:type="dxa"/>
            </w:tcMar>
            <w:vAlign w:val="center"/>
          </w:tcPr>
          <w:p w14:paraId="19974D37" w14:textId="77777777" w:rsidR="00AB6DC4" w:rsidRDefault="00000000">
            <w:pPr>
              <w:jc w:val="right"/>
            </w:pPr>
            <w:r>
              <w:rPr>
                <w:sz w:val="20"/>
                <w:szCs w:val="20"/>
              </w:rPr>
              <w:t>166</w:t>
            </w:r>
          </w:p>
        </w:tc>
        <w:tc>
          <w:tcPr>
            <w:tcW w:w="2200" w:type="dxa"/>
            <w:tcBorders>
              <w:top w:val="single" w:sz="4" w:space="0" w:color="C9D6E6"/>
              <w:left w:val="single" w:sz="4" w:space="0" w:color="C9D6E6"/>
              <w:bottom w:val="single" w:sz="4" w:space="0" w:color="C9D6E6"/>
              <w:right w:val="single" w:sz="4" w:space="0" w:color="C9D6E6"/>
            </w:tcBorders>
            <w:shd w:val="clear" w:color="auto" w:fill="F3F8FD"/>
            <w:tcMar>
              <w:top w:w="70" w:type="dxa"/>
              <w:left w:w="120" w:type="dxa"/>
              <w:bottom w:w="70" w:type="dxa"/>
              <w:right w:w="120" w:type="dxa"/>
            </w:tcMar>
            <w:vAlign w:val="center"/>
          </w:tcPr>
          <w:p w14:paraId="5C79E5CF" w14:textId="77777777" w:rsidR="00AB6DC4" w:rsidRDefault="00000000">
            <w:pPr>
              <w:jc w:val="right"/>
            </w:pPr>
            <w:r>
              <w:rPr>
                <w:sz w:val="20"/>
                <w:szCs w:val="20"/>
              </w:rPr>
              <w:t>11.27%</w:t>
            </w:r>
          </w:p>
        </w:tc>
      </w:tr>
      <w:tr w:rsidR="00AB6DC4" w14:paraId="5A8947E0" w14:textId="77777777">
        <w:trPr>
          <w:cantSplit/>
        </w:trPr>
        <w:tc>
          <w:tcPr>
            <w:tcW w:w="2626" w:type="dxa"/>
            <w:tcBorders>
              <w:top w:val="single" w:sz="4" w:space="0" w:color="C9D6E6"/>
              <w:left w:val="single" w:sz="4" w:space="0" w:color="C9D6E6"/>
              <w:bottom w:val="single" w:sz="4" w:space="0" w:color="C9D6E6"/>
              <w:right w:val="single" w:sz="4" w:space="0" w:color="C9D6E6"/>
            </w:tcBorders>
            <w:shd w:val="clear" w:color="auto" w:fill="FFFFFF"/>
            <w:tcMar>
              <w:top w:w="70" w:type="dxa"/>
              <w:left w:w="120" w:type="dxa"/>
              <w:bottom w:w="70" w:type="dxa"/>
              <w:right w:w="120" w:type="dxa"/>
            </w:tcMar>
            <w:vAlign w:val="center"/>
          </w:tcPr>
          <w:p w14:paraId="74E35E83" w14:textId="77777777" w:rsidR="00AB6DC4" w:rsidRDefault="00000000">
            <w:r>
              <w:rPr>
                <w:b/>
                <w:bCs/>
                <w:sz w:val="20"/>
                <w:szCs w:val="20"/>
              </w:rPr>
              <w:t xml:space="preserve">Two </w:t>
            </w:r>
            <w:proofErr w:type="gramStart"/>
            <w:r>
              <w:rPr>
                <w:b/>
                <w:bCs/>
                <w:sz w:val="20"/>
                <w:szCs w:val="20"/>
              </w:rPr>
              <w:t>year</w:t>
            </w:r>
            <w:proofErr w:type="gramEnd"/>
          </w:p>
        </w:tc>
        <w:tc>
          <w:tcPr>
            <w:tcW w:w="2100" w:type="dxa"/>
            <w:tcBorders>
              <w:top w:val="single" w:sz="4" w:space="0" w:color="C9D6E6"/>
              <w:left w:val="single" w:sz="4" w:space="0" w:color="C9D6E6"/>
              <w:bottom w:val="single" w:sz="4" w:space="0" w:color="C9D6E6"/>
              <w:right w:val="single" w:sz="4" w:space="0" w:color="C9D6E6"/>
            </w:tcBorders>
            <w:shd w:val="clear" w:color="auto" w:fill="FFFFFF"/>
            <w:tcMar>
              <w:top w:w="70" w:type="dxa"/>
              <w:left w:w="120" w:type="dxa"/>
              <w:bottom w:w="70" w:type="dxa"/>
              <w:right w:w="120" w:type="dxa"/>
            </w:tcMar>
            <w:vAlign w:val="center"/>
          </w:tcPr>
          <w:p w14:paraId="51ADCB50" w14:textId="77777777" w:rsidR="00AB6DC4" w:rsidRDefault="00000000">
            <w:pPr>
              <w:jc w:val="right"/>
            </w:pPr>
            <w:r>
              <w:rPr>
                <w:sz w:val="20"/>
                <w:szCs w:val="20"/>
              </w:rPr>
              <w:t>1,695</w:t>
            </w:r>
          </w:p>
        </w:tc>
        <w:tc>
          <w:tcPr>
            <w:tcW w:w="2100" w:type="dxa"/>
            <w:tcBorders>
              <w:top w:val="single" w:sz="4" w:space="0" w:color="C9D6E6"/>
              <w:left w:val="single" w:sz="4" w:space="0" w:color="C9D6E6"/>
              <w:bottom w:val="single" w:sz="4" w:space="0" w:color="C9D6E6"/>
              <w:right w:val="single" w:sz="4" w:space="0" w:color="C9D6E6"/>
            </w:tcBorders>
            <w:shd w:val="clear" w:color="auto" w:fill="FFFFFF"/>
            <w:tcMar>
              <w:top w:w="70" w:type="dxa"/>
              <w:left w:w="120" w:type="dxa"/>
              <w:bottom w:w="70" w:type="dxa"/>
              <w:right w:w="120" w:type="dxa"/>
            </w:tcMar>
            <w:vAlign w:val="center"/>
          </w:tcPr>
          <w:p w14:paraId="135DA27E" w14:textId="77777777" w:rsidR="00AB6DC4" w:rsidRDefault="00000000">
            <w:pPr>
              <w:jc w:val="right"/>
            </w:pPr>
            <w:r>
              <w:rPr>
                <w:sz w:val="20"/>
                <w:szCs w:val="20"/>
              </w:rPr>
              <w:t>48</w:t>
            </w:r>
          </w:p>
        </w:tc>
        <w:tc>
          <w:tcPr>
            <w:tcW w:w="2200" w:type="dxa"/>
            <w:tcBorders>
              <w:top w:val="single" w:sz="4" w:space="0" w:color="C9D6E6"/>
              <w:left w:val="single" w:sz="4" w:space="0" w:color="C9D6E6"/>
              <w:bottom w:val="single" w:sz="4" w:space="0" w:color="C9D6E6"/>
              <w:right w:val="single" w:sz="4" w:space="0" w:color="C9D6E6"/>
            </w:tcBorders>
            <w:shd w:val="clear" w:color="auto" w:fill="FFFFFF"/>
            <w:tcMar>
              <w:top w:w="70" w:type="dxa"/>
              <w:left w:w="120" w:type="dxa"/>
              <w:bottom w:w="70" w:type="dxa"/>
              <w:right w:w="120" w:type="dxa"/>
            </w:tcMar>
            <w:vAlign w:val="center"/>
          </w:tcPr>
          <w:p w14:paraId="0A2F7ADE" w14:textId="77777777" w:rsidR="00AB6DC4" w:rsidRDefault="00000000">
            <w:pPr>
              <w:jc w:val="right"/>
            </w:pPr>
            <w:r>
              <w:rPr>
                <w:sz w:val="20"/>
                <w:szCs w:val="20"/>
              </w:rPr>
              <w:t>2.83%</w:t>
            </w:r>
          </w:p>
        </w:tc>
      </w:tr>
    </w:tbl>
    <w:p w14:paraId="5F97432D" w14:textId="77777777" w:rsidR="00AB6DC4" w:rsidRDefault="00000000">
      <w:pPr>
        <w:spacing w:before="60" w:after="200"/>
      </w:pPr>
      <w:r>
        <w:rPr>
          <w:i/>
          <w:iCs/>
          <w:color w:val="595959"/>
          <w:sz w:val="18"/>
          <w:szCs w:val="18"/>
        </w:rPr>
        <w:t>Table 6. Churn by contract type.</w:t>
      </w:r>
    </w:p>
    <w:p w14:paraId="48F8F747" w14:textId="77777777" w:rsidR="00AB6DC4" w:rsidRDefault="00000000">
      <w:pPr>
        <w:keepNext/>
        <w:spacing w:before="120" w:after="40"/>
        <w:jc w:val="center"/>
      </w:pPr>
      <w:r>
        <w:rPr>
          <w:noProof/>
        </w:rPr>
        <w:lastRenderedPageBreak/>
        <w:drawing>
          <wp:inline distT="0" distB="0" distL="0" distR="0" wp14:anchorId="58081875" wp14:editId="499F298E">
            <wp:extent cx="4953000" cy="2400300"/>
            <wp:effectExtent l="0" t="0" r="0" b="0"/>
            <wp:docPr id="1" name="c1.png" descr="c1.png" title="c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2400300"/>
                    </a:xfrm>
                    <a:prstGeom prst="rect">
                      <a:avLst/>
                    </a:prstGeom>
                  </pic:spPr>
                </pic:pic>
              </a:graphicData>
            </a:graphic>
          </wp:inline>
        </w:drawing>
      </w:r>
    </w:p>
    <w:p w14:paraId="12334825" w14:textId="77777777" w:rsidR="00AB6DC4" w:rsidRDefault="00000000">
      <w:pPr>
        <w:spacing w:before="60" w:after="200"/>
      </w:pPr>
      <w:r>
        <w:rPr>
          <w:i/>
          <w:iCs/>
          <w:color w:val="595959"/>
          <w:sz w:val="18"/>
          <w:szCs w:val="18"/>
        </w:rPr>
        <w:t>Figure 1. Contract-wise churn rate (dashed line = overall churn rate).</w:t>
      </w:r>
    </w:p>
    <w:p w14:paraId="546375C1" w14:textId="77777777" w:rsidR="00AB6DC4" w:rsidRDefault="00000000">
      <w:pPr>
        <w:spacing w:after="120" w:line="276" w:lineRule="auto"/>
      </w:pPr>
      <w:r>
        <w:t>Month-to-month customers have the highest observed churn rate. They represent 55.02% of customers but 88.55% of all churned customers (derived from the table above). One-year and two-year contracts show much lower rates. Contract length is a useful segmentation variable for retention planning, but these figures alone do not show that contract type causes churn; customers who intend to stay may simply choose longer contracts.</w:t>
      </w:r>
    </w:p>
    <w:p w14:paraId="06A93D71" w14:textId="77777777" w:rsidR="00AB6DC4" w:rsidRDefault="00000000">
      <w:pPr>
        <w:pStyle w:val="Heading2"/>
      </w:pPr>
      <w:bookmarkStart w:id="14" w:name="h14"/>
      <w:r>
        <w:t>6.3 Churn by tenure group</w:t>
      </w:r>
      <w:bookmarkEnd w:id="1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26"/>
        <w:gridCol w:w="2100"/>
        <w:gridCol w:w="2100"/>
        <w:gridCol w:w="2200"/>
      </w:tblGrid>
      <w:tr w:rsidR="00AB6DC4" w14:paraId="1B4AA3C8" w14:textId="77777777">
        <w:trPr>
          <w:cantSplit/>
          <w:tblHeader/>
        </w:trPr>
        <w:tc>
          <w:tcPr>
            <w:tcW w:w="2626" w:type="dxa"/>
            <w:tcBorders>
              <w:top w:val="single" w:sz="4" w:space="0" w:color="C9D6E6"/>
              <w:left w:val="single" w:sz="4" w:space="0" w:color="C9D6E6"/>
              <w:bottom w:val="single" w:sz="4" w:space="0" w:color="C9D6E6"/>
              <w:right w:val="single" w:sz="4" w:space="0" w:color="C9D6E6"/>
            </w:tcBorders>
            <w:shd w:val="clear" w:color="auto" w:fill="1F3864"/>
            <w:tcMar>
              <w:top w:w="70" w:type="dxa"/>
              <w:left w:w="120" w:type="dxa"/>
              <w:bottom w:w="70" w:type="dxa"/>
              <w:right w:w="120" w:type="dxa"/>
            </w:tcMar>
            <w:vAlign w:val="center"/>
          </w:tcPr>
          <w:p w14:paraId="25A6C0BD" w14:textId="77777777" w:rsidR="00AB6DC4" w:rsidRDefault="00000000">
            <w:r>
              <w:rPr>
                <w:b/>
                <w:bCs/>
                <w:color w:val="FFFFFF"/>
                <w:sz w:val="20"/>
                <w:szCs w:val="20"/>
              </w:rPr>
              <w:t>Tenure group</w:t>
            </w:r>
          </w:p>
        </w:tc>
        <w:tc>
          <w:tcPr>
            <w:tcW w:w="2100" w:type="dxa"/>
            <w:tcBorders>
              <w:top w:val="single" w:sz="4" w:space="0" w:color="C9D6E6"/>
              <w:left w:val="single" w:sz="4" w:space="0" w:color="C9D6E6"/>
              <w:bottom w:val="single" w:sz="4" w:space="0" w:color="C9D6E6"/>
              <w:right w:val="single" w:sz="4" w:space="0" w:color="C9D6E6"/>
            </w:tcBorders>
            <w:shd w:val="clear" w:color="auto" w:fill="1F3864"/>
            <w:tcMar>
              <w:top w:w="70" w:type="dxa"/>
              <w:left w:w="120" w:type="dxa"/>
              <w:bottom w:w="70" w:type="dxa"/>
              <w:right w:w="120" w:type="dxa"/>
            </w:tcMar>
            <w:vAlign w:val="center"/>
          </w:tcPr>
          <w:p w14:paraId="093CDE57" w14:textId="77777777" w:rsidR="00AB6DC4" w:rsidRDefault="00000000">
            <w:pPr>
              <w:jc w:val="right"/>
            </w:pPr>
            <w:r>
              <w:rPr>
                <w:b/>
                <w:bCs/>
                <w:color w:val="FFFFFF"/>
                <w:sz w:val="20"/>
                <w:szCs w:val="20"/>
              </w:rPr>
              <w:t>Total customers</w:t>
            </w:r>
          </w:p>
        </w:tc>
        <w:tc>
          <w:tcPr>
            <w:tcW w:w="2100" w:type="dxa"/>
            <w:tcBorders>
              <w:top w:val="single" w:sz="4" w:space="0" w:color="C9D6E6"/>
              <w:left w:val="single" w:sz="4" w:space="0" w:color="C9D6E6"/>
              <w:bottom w:val="single" w:sz="4" w:space="0" w:color="C9D6E6"/>
              <w:right w:val="single" w:sz="4" w:space="0" w:color="C9D6E6"/>
            </w:tcBorders>
            <w:shd w:val="clear" w:color="auto" w:fill="1F3864"/>
            <w:tcMar>
              <w:top w:w="70" w:type="dxa"/>
              <w:left w:w="120" w:type="dxa"/>
              <w:bottom w:w="70" w:type="dxa"/>
              <w:right w:w="120" w:type="dxa"/>
            </w:tcMar>
            <w:vAlign w:val="center"/>
          </w:tcPr>
          <w:p w14:paraId="7F2A749C" w14:textId="77777777" w:rsidR="00AB6DC4" w:rsidRDefault="00000000">
            <w:pPr>
              <w:jc w:val="right"/>
            </w:pPr>
            <w:r>
              <w:rPr>
                <w:b/>
                <w:bCs/>
                <w:color w:val="FFFFFF"/>
                <w:sz w:val="20"/>
                <w:szCs w:val="20"/>
              </w:rPr>
              <w:t>Churned customers</w:t>
            </w:r>
          </w:p>
        </w:tc>
        <w:tc>
          <w:tcPr>
            <w:tcW w:w="2200" w:type="dxa"/>
            <w:tcBorders>
              <w:top w:val="single" w:sz="4" w:space="0" w:color="C9D6E6"/>
              <w:left w:val="single" w:sz="4" w:space="0" w:color="C9D6E6"/>
              <w:bottom w:val="single" w:sz="4" w:space="0" w:color="C9D6E6"/>
              <w:right w:val="single" w:sz="4" w:space="0" w:color="C9D6E6"/>
            </w:tcBorders>
            <w:shd w:val="clear" w:color="auto" w:fill="1F3864"/>
            <w:tcMar>
              <w:top w:w="70" w:type="dxa"/>
              <w:left w:w="120" w:type="dxa"/>
              <w:bottom w:w="70" w:type="dxa"/>
              <w:right w:w="120" w:type="dxa"/>
            </w:tcMar>
            <w:vAlign w:val="center"/>
          </w:tcPr>
          <w:p w14:paraId="1AC8900B" w14:textId="77777777" w:rsidR="00AB6DC4" w:rsidRDefault="00000000">
            <w:pPr>
              <w:jc w:val="right"/>
            </w:pPr>
            <w:r>
              <w:rPr>
                <w:b/>
                <w:bCs/>
                <w:color w:val="FFFFFF"/>
                <w:sz w:val="20"/>
                <w:szCs w:val="20"/>
              </w:rPr>
              <w:t>Churn rate</w:t>
            </w:r>
          </w:p>
        </w:tc>
      </w:tr>
      <w:tr w:rsidR="00AB6DC4" w14:paraId="60D1D922" w14:textId="77777777">
        <w:trPr>
          <w:cantSplit/>
        </w:trPr>
        <w:tc>
          <w:tcPr>
            <w:tcW w:w="2626" w:type="dxa"/>
            <w:tcBorders>
              <w:top w:val="single" w:sz="4" w:space="0" w:color="C9D6E6"/>
              <w:left w:val="single" w:sz="4" w:space="0" w:color="C9D6E6"/>
              <w:bottom w:val="single" w:sz="4" w:space="0" w:color="C9D6E6"/>
              <w:right w:val="single" w:sz="4" w:space="0" w:color="C9D6E6"/>
            </w:tcBorders>
            <w:shd w:val="clear" w:color="auto" w:fill="FDE9EF"/>
            <w:tcMar>
              <w:top w:w="70" w:type="dxa"/>
              <w:left w:w="120" w:type="dxa"/>
              <w:bottom w:w="70" w:type="dxa"/>
              <w:right w:w="120" w:type="dxa"/>
            </w:tcMar>
            <w:vAlign w:val="center"/>
          </w:tcPr>
          <w:p w14:paraId="1979E276" w14:textId="77777777" w:rsidR="00AB6DC4" w:rsidRDefault="00000000">
            <w:r>
              <w:rPr>
                <w:b/>
                <w:bCs/>
                <w:sz w:val="20"/>
                <w:szCs w:val="20"/>
              </w:rPr>
              <w:t>0–12 months</w:t>
            </w:r>
          </w:p>
        </w:tc>
        <w:tc>
          <w:tcPr>
            <w:tcW w:w="2100" w:type="dxa"/>
            <w:tcBorders>
              <w:top w:val="single" w:sz="4" w:space="0" w:color="C9D6E6"/>
              <w:left w:val="single" w:sz="4" w:space="0" w:color="C9D6E6"/>
              <w:bottom w:val="single" w:sz="4" w:space="0" w:color="C9D6E6"/>
              <w:right w:val="single" w:sz="4" w:space="0" w:color="C9D6E6"/>
            </w:tcBorders>
            <w:shd w:val="clear" w:color="auto" w:fill="FDE9EF"/>
            <w:tcMar>
              <w:top w:w="70" w:type="dxa"/>
              <w:left w:w="120" w:type="dxa"/>
              <w:bottom w:w="70" w:type="dxa"/>
              <w:right w:w="120" w:type="dxa"/>
            </w:tcMar>
            <w:vAlign w:val="center"/>
          </w:tcPr>
          <w:p w14:paraId="73F1822F" w14:textId="77777777" w:rsidR="00AB6DC4" w:rsidRDefault="00000000">
            <w:pPr>
              <w:jc w:val="right"/>
            </w:pPr>
            <w:r>
              <w:rPr>
                <w:sz w:val="20"/>
                <w:szCs w:val="20"/>
              </w:rPr>
              <w:t>2,186</w:t>
            </w:r>
          </w:p>
        </w:tc>
        <w:tc>
          <w:tcPr>
            <w:tcW w:w="2100" w:type="dxa"/>
            <w:tcBorders>
              <w:top w:val="single" w:sz="4" w:space="0" w:color="C9D6E6"/>
              <w:left w:val="single" w:sz="4" w:space="0" w:color="C9D6E6"/>
              <w:bottom w:val="single" w:sz="4" w:space="0" w:color="C9D6E6"/>
              <w:right w:val="single" w:sz="4" w:space="0" w:color="C9D6E6"/>
            </w:tcBorders>
            <w:shd w:val="clear" w:color="auto" w:fill="FDE9EF"/>
            <w:tcMar>
              <w:top w:w="70" w:type="dxa"/>
              <w:left w:w="120" w:type="dxa"/>
              <w:bottom w:w="70" w:type="dxa"/>
              <w:right w:w="120" w:type="dxa"/>
            </w:tcMar>
            <w:vAlign w:val="center"/>
          </w:tcPr>
          <w:p w14:paraId="131C438E" w14:textId="77777777" w:rsidR="00AB6DC4" w:rsidRDefault="00000000">
            <w:pPr>
              <w:jc w:val="right"/>
            </w:pPr>
            <w:r>
              <w:rPr>
                <w:sz w:val="20"/>
                <w:szCs w:val="20"/>
              </w:rPr>
              <w:t>1,037</w:t>
            </w:r>
          </w:p>
        </w:tc>
        <w:tc>
          <w:tcPr>
            <w:tcW w:w="2200" w:type="dxa"/>
            <w:tcBorders>
              <w:top w:val="single" w:sz="4" w:space="0" w:color="C9D6E6"/>
              <w:left w:val="single" w:sz="4" w:space="0" w:color="C9D6E6"/>
              <w:bottom w:val="single" w:sz="4" w:space="0" w:color="C9D6E6"/>
              <w:right w:val="single" w:sz="4" w:space="0" w:color="C9D6E6"/>
            </w:tcBorders>
            <w:shd w:val="clear" w:color="auto" w:fill="FDE9EF"/>
            <w:tcMar>
              <w:top w:w="70" w:type="dxa"/>
              <w:left w:w="120" w:type="dxa"/>
              <w:bottom w:w="70" w:type="dxa"/>
              <w:right w:w="120" w:type="dxa"/>
            </w:tcMar>
            <w:vAlign w:val="center"/>
          </w:tcPr>
          <w:p w14:paraId="3E586971" w14:textId="77777777" w:rsidR="00AB6DC4" w:rsidRDefault="00000000">
            <w:pPr>
              <w:jc w:val="right"/>
            </w:pPr>
            <w:r>
              <w:rPr>
                <w:sz w:val="20"/>
                <w:szCs w:val="20"/>
              </w:rPr>
              <w:t>47.44%</w:t>
            </w:r>
          </w:p>
        </w:tc>
      </w:tr>
      <w:tr w:rsidR="00AB6DC4" w14:paraId="68BD1BF1" w14:textId="77777777">
        <w:trPr>
          <w:cantSplit/>
        </w:trPr>
        <w:tc>
          <w:tcPr>
            <w:tcW w:w="2626" w:type="dxa"/>
            <w:tcBorders>
              <w:top w:val="single" w:sz="4" w:space="0" w:color="C9D6E6"/>
              <w:left w:val="single" w:sz="4" w:space="0" w:color="C9D6E6"/>
              <w:bottom w:val="single" w:sz="4" w:space="0" w:color="C9D6E6"/>
              <w:right w:val="single" w:sz="4" w:space="0" w:color="C9D6E6"/>
            </w:tcBorders>
            <w:shd w:val="clear" w:color="auto" w:fill="F3F8FD"/>
            <w:tcMar>
              <w:top w:w="70" w:type="dxa"/>
              <w:left w:w="120" w:type="dxa"/>
              <w:bottom w:w="70" w:type="dxa"/>
              <w:right w:w="120" w:type="dxa"/>
            </w:tcMar>
            <w:vAlign w:val="center"/>
          </w:tcPr>
          <w:p w14:paraId="6D83D952" w14:textId="77777777" w:rsidR="00AB6DC4" w:rsidRDefault="00000000">
            <w:r>
              <w:rPr>
                <w:b/>
                <w:bCs/>
                <w:sz w:val="20"/>
                <w:szCs w:val="20"/>
              </w:rPr>
              <w:t>13–24 months</w:t>
            </w:r>
          </w:p>
        </w:tc>
        <w:tc>
          <w:tcPr>
            <w:tcW w:w="2100" w:type="dxa"/>
            <w:tcBorders>
              <w:top w:val="single" w:sz="4" w:space="0" w:color="C9D6E6"/>
              <w:left w:val="single" w:sz="4" w:space="0" w:color="C9D6E6"/>
              <w:bottom w:val="single" w:sz="4" w:space="0" w:color="C9D6E6"/>
              <w:right w:val="single" w:sz="4" w:space="0" w:color="C9D6E6"/>
            </w:tcBorders>
            <w:shd w:val="clear" w:color="auto" w:fill="F3F8FD"/>
            <w:tcMar>
              <w:top w:w="70" w:type="dxa"/>
              <w:left w:w="120" w:type="dxa"/>
              <w:bottom w:w="70" w:type="dxa"/>
              <w:right w:w="120" w:type="dxa"/>
            </w:tcMar>
            <w:vAlign w:val="center"/>
          </w:tcPr>
          <w:p w14:paraId="7635152C" w14:textId="77777777" w:rsidR="00AB6DC4" w:rsidRDefault="00000000">
            <w:pPr>
              <w:jc w:val="right"/>
            </w:pPr>
            <w:r>
              <w:rPr>
                <w:sz w:val="20"/>
                <w:szCs w:val="20"/>
              </w:rPr>
              <w:t>1,024</w:t>
            </w:r>
          </w:p>
        </w:tc>
        <w:tc>
          <w:tcPr>
            <w:tcW w:w="2100" w:type="dxa"/>
            <w:tcBorders>
              <w:top w:val="single" w:sz="4" w:space="0" w:color="C9D6E6"/>
              <w:left w:val="single" w:sz="4" w:space="0" w:color="C9D6E6"/>
              <w:bottom w:val="single" w:sz="4" w:space="0" w:color="C9D6E6"/>
              <w:right w:val="single" w:sz="4" w:space="0" w:color="C9D6E6"/>
            </w:tcBorders>
            <w:shd w:val="clear" w:color="auto" w:fill="F3F8FD"/>
            <w:tcMar>
              <w:top w:w="70" w:type="dxa"/>
              <w:left w:w="120" w:type="dxa"/>
              <w:bottom w:w="70" w:type="dxa"/>
              <w:right w:w="120" w:type="dxa"/>
            </w:tcMar>
            <w:vAlign w:val="center"/>
          </w:tcPr>
          <w:p w14:paraId="6D7A38E2" w14:textId="77777777" w:rsidR="00AB6DC4" w:rsidRDefault="00000000">
            <w:pPr>
              <w:jc w:val="right"/>
            </w:pPr>
            <w:r>
              <w:rPr>
                <w:sz w:val="20"/>
                <w:szCs w:val="20"/>
              </w:rPr>
              <w:t>294</w:t>
            </w:r>
          </w:p>
        </w:tc>
        <w:tc>
          <w:tcPr>
            <w:tcW w:w="2200" w:type="dxa"/>
            <w:tcBorders>
              <w:top w:val="single" w:sz="4" w:space="0" w:color="C9D6E6"/>
              <w:left w:val="single" w:sz="4" w:space="0" w:color="C9D6E6"/>
              <w:bottom w:val="single" w:sz="4" w:space="0" w:color="C9D6E6"/>
              <w:right w:val="single" w:sz="4" w:space="0" w:color="C9D6E6"/>
            </w:tcBorders>
            <w:shd w:val="clear" w:color="auto" w:fill="F3F8FD"/>
            <w:tcMar>
              <w:top w:w="70" w:type="dxa"/>
              <w:left w:w="120" w:type="dxa"/>
              <w:bottom w:w="70" w:type="dxa"/>
              <w:right w:w="120" w:type="dxa"/>
            </w:tcMar>
            <w:vAlign w:val="center"/>
          </w:tcPr>
          <w:p w14:paraId="04E538B5" w14:textId="77777777" w:rsidR="00AB6DC4" w:rsidRDefault="00000000">
            <w:pPr>
              <w:jc w:val="right"/>
            </w:pPr>
            <w:r>
              <w:rPr>
                <w:sz w:val="20"/>
                <w:szCs w:val="20"/>
              </w:rPr>
              <w:t>28.71%</w:t>
            </w:r>
          </w:p>
        </w:tc>
      </w:tr>
      <w:tr w:rsidR="00AB6DC4" w14:paraId="6BD8FDC9" w14:textId="77777777">
        <w:trPr>
          <w:cantSplit/>
        </w:trPr>
        <w:tc>
          <w:tcPr>
            <w:tcW w:w="2626" w:type="dxa"/>
            <w:tcBorders>
              <w:top w:val="single" w:sz="4" w:space="0" w:color="C9D6E6"/>
              <w:left w:val="single" w:sz="4" w:space="0" w:color="C9D6E6"/>
              <w:bottom w:val="single" w:sz="4" w:space="0" w:color="C9D6E6"/>
              <w:right w:val="single" w:sz="4" w:space="0" w:color="C9D6E6"/>
            </w:tcBorders>
            <w:shd w:val="clear" w:color="auto" w:fill="FFFFFF"/>
            <w:tcMar>
              <w:top w:w="70" w:type="dxa"/>
              <w:left w:w="120" w:type="dxa"/>
              <w:bottom w:w="70" w:type="dxa"/>
              <w:right w:w="120" w:type="dxa"/>
            </w:tcMar>
            <w:vAlign w:val="center"/>
          </w:tcPr>
          <w:p w14:paraId="39E5E27D" w14:textId="77777777" w:rsidR="00AB6DC4" w:rsidRDefault="00000000">
            <w:r>
              <w:rPr>
                <w:b/>
                <w:bCs/>
                <w:sz w:val="20"/>
                <w:szCs w:val="20"/>
              </w:rPr>
              <w:t>25–48 months</w:t>
            </w:r>
          </w:p>
        </w:tc>
        <w:tc>
          <w:tcPr>
            <w:tcW w:w="2100" w:type="dxa"/>
            <w:tcBorders>
              <w:top w:val="single" w:sz="4" w:space="0" w:color="C9D6E6"/>
              <w:left w:val="single" w:sz="4" w:space="0" w:color="C9D6E6"/>
              <w:bottom w:val="single" w:sz="4" w:space="0" w:color="C9D6E6"/>
              <w:right w:val="single" w:sz="4" w:space="0" w:color="C9D6E6"/>
            </w:tcBorders>
            <w:shd w:val="clear" w:color="auto" w:fill="FFFFFF"/>
            <w:tcMar>
              <w:top w:w="70" w:type="dxa"/>
              <w:left w:w="120" w:type="dxa"/>
              <w:bottom w:w="70" w:type="dxa"/>
              <w:right w:w="120" w:type="dxa"/>
            </w:tcMar>
            <w:vAlign w:val="center"/>
          </w:tcPr>
          <w:p w14:paraId="432EAB81" w14:textId="77777777" w:rsidR="00AB6DC4" w:rsidRDefault="00000000">
            <w:pPr>
              <w:jc w:val="right"/>
            </w:pPr>
            <w:r>
              <w:rPr>
                <w:sz w:val="20"/>
                <w:szCs w:val="20"/>
              </w:rPr>
              <w:t>1,594</w:t>
            </w:r>
          </w:p>
        </w:tc>
        <w:tc>
          <w:tcPr>
            <w:tcW w:w="2100" w:type="dxa"/>
            <w:tcBorders>
              <w:top w:val="single" w:sz="4" w:space="0" w:color="C9D6E6"/>
              <w:left w:val="single" w:sz="4" w:space="0" w:color="C9D6E6"/>
              <w:bottom w:val="single" w:sz="4" w:space="0" w:color="C9D6E6"/>
              <w:right w:val="single" w:sz="4" w:space="0" w:color="C9D6E6"/>
            </w:tcBorders>
            <w:shd w:val="clear" w:color="auto" w:fill="FFFFFF"/>
            <w:tcMar>
              <w:top w:w="70" w:type="dxa"/>
              <w:left w:w="120" w:type="dxa"/>
              <w:bottom w:w="70" w:type="dxa"/>
              <w:right w:w="120" w:type="dxa"/>
            </w:tcMar>
            <w:vAlign w:val="center"/>
          </w:tcPr>
          <w:p w14:paraId="70764263" w14:textId="77777777" w:rsidR="00AB6DC4" w:rsidRDefault="00000000">
            <w:pPr>
              <w:jc w:val="right"/>
            </w:pPr>
            <w:r>
              <w:rPr>
                <w:sz w:val="20"/>
                <w:szCs w:val="20"/>
              </w:rPr>
              <w:t>325</w:t>
            </w:r>
          </w:p>
        </w:tc>
        <w:tc>
          <w:tcPr>
            <w:tcW w:w="2200" w:type="dxa"/>
            <w:tcBorders>
              <w:top w:val="single" w:sz="4" w:space="0" w:color="C9D6E6"/>
              <w:left w:val="single" w:sz="4" w:space="0" w:color="C9D6E6"/>
              <w:bottom w:val="single" w:sz="4" w:space="0" w:color="C9D6E6"/>
              <w:right w:val="single" w:sz="4" w:space="0" w:color="C9D6E6"/>
            </w:tcBorders>
            <w:shd w:val="clear" w:color="auto" w:fill="FFFFFF"/>
            <w:tcMar>
              <w:top w:w="70" w:type="dxa"/>
              <w:left w:w="120" w:type="dxa"/>
              <w:bottom w:w="70" w:type="dxa"/>
              <w:right w:w="120" w:type="dxa"/>
            </w:tcMar>
            <w:vAlign w:val="center"/>
          </w:tcPr>
          <w:p w14:paraId="03DDB798" w14:textId="77777777" w:rsidR="00AB6DC4" w:rsidRDefault="00000000">
            <w:pPr>
              <w:jc w:val="right"/>
            </w:pPr>
            <w:r>
              <w:rPr>
                <w:sz w:val="20"/>
                <w:szCs w:val="20"/>
              </w:rPr>
              <w:t>20.39%</w:t>
            </w:r>
          </w:p>
        </w:tc>
      </w:tr>
      <w:tr w:rsidR="00AB6DC4" w14:paraId="3AA574A0" w14:textId="77777777">
        <w:trPr>
          <w:cantSplit/>
        </w:trPr>
        <w:tc>
          <w:tcPr>
            <w:tcW w:w="2626" w:type="dxa"/>
            <w:tcBorders>
              <w:top w:val="single" w:sz="4" w:space="0" w:color="C9D6E6"/>
              <w:left w:val="single" w:sz="4" w:space="0" w:color="C9D6E6"/>
              <w:bottom w:val="single" w:sz="4" w:space="0" w:color="C9D6E6"/>
              <w:right w:val="single" w:sz="4" w:space="0" w:color="C9D6E6"/>
            </w:tcBorders>
            <w:shd w:val="clear" w:color="auto" w:fill="F3F8FD"/>
            <w:tcMar>
              <w:top w:w="70" w:type="dxa"/>
              <w:left w:w="120" w:type="dxa"/>
              <w:bottom w:w="70" w:type="dxa"/>
              <w:right w:w="120" w:type="dxa"/>
            </w:tcMar>
            <w:vAlign w:val="center"/>
          </w:tcPr>
          <w:p w14:paraId="7E8CF15D" w14:textId="77777777" w:rsidR="00AB6DC4" w:rsidRDefault="00000000">
            <w:r>
              <w:rPr>
                <w:b/>
                <w:bCs/>
                <w:sz w:val="20"/>
                <w:szCs w:val="20"/>
              </w:rPr>
              <w:t>49–72 months</w:t>
            </w:r>
          </w:p>
        </w:tc>
        <w:tc>
          <w:tcPr>
            <w:tcW w:w="2100" w:type="dxa"/>
            <w:tcBorders>
              <w:top w:val="single" w:sz="4" w:space="0" w:color="C9D6E6"/>
              <w:left w:val="single" w:sz="4" w:space="0" w:color="C9D6E6"/>
              <w:bottom w:val="single" w:sz="4" w:space="0" w:color="C9D6E6"/>
              <w:right w:val="single" w:sz="4" w:space="0" w:color="C9D6E6"/>
            </w:tcBorders>
            <w:shd w:val="clear" w:color="auto" w:fill="F3F8FD"/>
            <w:tcMar>
              <w:top w:w="70" w:type="dxa"/>
              <w:left w:w="120" w:type="dxa"/>
              <w:bottom w:w="70" w:type="dxa"/>
              <w:right w:w="120" w:type="dxa"/>
            </w:tcMar>
            <w:vAlign w:val="center"/>
          </w:tcPr>
          <w:p w14:paraId="00148BFA" w14:textId="77777777" w:rsidR="00AB6DC4" w:rsidRDefault="00000000">
            <w:pPr>
              <w:jc w:val="right"/>
            </w:pPr>
            <w:r>
              <w:rPr>
                <w:sz w:val="20"/>
                <w:szCs w:val="20"/>
              </w:rPr>
              <w:t>2,239</w:t>
            </w:r>
          </w:p>
        </w:tc>
        <w:tc>
          <w:tcPr>
            <w:tcW w:w="2100" w:type="dxa"/>
            <w:tcBorders>
              <w:top w:val="single" w:sz="4" w:space="0" w:color="C9D6E6"/>
              <w:left w:val="single" w:sz="4" w:space="0" w:color="C9D6E6"/>
              <w:bottom w:val="single" w:sz="4" w:space="0" w:color="C9D6E6"/>
              <w:right w:val="single" w:sz="4" w:space="0" w:color="C9D6E6"/>
            </w:tcBorders>
            <w:shd w:val="clear" w:color="auto" w:fill="F3F8FD"/>
            <w:tcMar>
              <w:top w:w="70" w:type="dxa"/>
              <w:left w:w="120" w:type="dxa"/>
              <w:bottom w:w="70" w:type="dxa"/>
              <w:right w:w="120" w:type="dxa"/>
            </w:tcMar>
            <w:vAlign w:val="center"/>
          </w:tcPr>
          <w:p w14:paraId="2F4AADCB" w14:textId="77777777" w:rsidR="00AB6DC4" w:rsidRDefault="00000000">
            <w:pPr>
              <w:jc w:val="right"/>
            </w:pPr>
            <w:r>
              <w:rPr>
                <w:sz w:val="20"/>
                <w:szCs w:val="20"/>
              </w:rPr>
              <w:t>213</w:t>
            </w:r>
          </w:p>
        </w:tc>
        <w:tc>
          <w:tcPr>
            <w:tcW w:w="2200" w:type="dxa"/>
            <w:tcBorders>
              <w:top w:val="single" w:sz="4" w:space="0" w:color="C9D6E6"/>
              <w:left w:val="single" w:sz="4" w:space="0" w:color="C9D6E6"/>
              <w:bottom w:val="single" w:sz="4" w:space="0" w:color="C9D6E6"/>
              <w:right w:val="single" w:sz="4" w:space="0" w:color="C9D6E6"/>
            </w:tcBorders>
            <w:shd w:val="clear" w:color="auto" w:fill="F3F8FD"/>
            <w:tcMar>
              <w:top w:w="70" w:type="dxa"/>
              <w:left w:w="120" w:type="dxa"/>
              <w:bottom w:w="70" w:type="dxa"/>
              <w:right w:w="120" w:type="dxa"/>
            </w:tcMar>
            <w:vAlign w:val="center"/>
          </w:tcPr>
          <w:p w14:paraId="5EFA1286" w14:textId="77777777" w:rsidR="00AB6DC4" w:rsidRDefault="00000000">
            <w:pPr>
              <w:jc w:val="right"/>
            </w:pPr>
            <w:r>
              <w:rPr>
                <w:sz w:val="20"/>
                <w:szCs w:val="20"/>
              </w:rPr>
              <w:t>9.51%</w:t>
            </w:r>
          </w:p>
        </w:tc>
      </w:tr>
    </w:tbl>
    <w:p w14:paraId="7877DEB6" w14:textId="77777777" w:rsidR="00AB6DC4" w:rsidRDefault="00000000">
      <w:pPr>
        <w:spacing w:before="60" w:after="200"/>
      </w:pPr>
      <w:r>
        <w:rPr>
          <w:i/>
          <w:iCs/>
          <w:color w:val="595959"/>
          <w:sz w:val="18"/>
          <w:szCs w:val="18"/>
        </w:rPr>
        <w:t>Table 7. Churn by tenure group.</w:t>
      </w:r>
    </w:p>
    <w:p w14:paraId="29A7DBFD" w14:textId="77777777" w:rsidR="00AB6DC4" w:rsidRDefault="00000000">
      <w:pPr>
        <w:keepNext/>
        <w:spacing w:before="120" w:after="40"/>
        <w:jc w:val="center"/>
      </w:pPr>
      <w:r>
        <w:rPr>
          <w:noProof/>
        </w:rPr>
        <w:drawing>
          <wp:inline distT="0" distB="0" distL="0" distR="0" wp14:anchorId="7A09F962" wp14:editId="6BB12BC5">
            <wp:extent cx="4953000" cy="2400300"/>
            <wp:effectExtent l="0" t="0" r="0" b="0"/>
            <wp:docPr id="830394033" name="c2.png" descr="c2.png" title="c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2400300"/>
                    </a:xfrm>
                    <a:prstGeom prst="rect">
                      <a:avLst/>
                    </a:prstGeom>
                  </pic:spPr>
                </pic:pic>
              </a:graphicData>
            </a:graphic>
          </wp:inline>
        </w:drawing>
      </w:r>
    </w:p>
    <w:p w14:paraId="27AF33BB" w14:textId="77777777" w:rsidR="00AB6DC4" w:rsidRDefault="00000000">
      <w:pPr>
        <w:spacing w:before="60" w:after="200"/>
      </w:pPr>
      <w:r>
        <w:rPr>
          <w:i/>
          <w:iCs/>
          <w:color w:val="595959"/>
          <w:sz w:val="18"/>
          <w:szCs w:val="18"/>
        </w:rPr>
        <w:t>Figure 2. Tenure-wise churn rate (dashed line = overall churn rate).</w:t>
      </w:r>
    </w:p>
    <w:p w14:paraId="076056F7" w14:textId="77777777" w:rsidR="00AB6DC4" w:rsidRDefault="00000000">
      <w:pPr>
        <w:spacing w:after="120" w:line="276" w:lineRule="auto"/>
      </w:pPr>
      <w:r>
        <w:t>Churn declines steadily as tenure increases. Customers in the first 12 months account for 31.04% of customers and 55.48% of churned customers (derived), making this the highest-priority segment in the observed data.</w:t>
      </w:r>
    </w:p>
    <w:p w14:paraId="15F506E4" w14:textId="77777777" w:rsidR="00AB6DC4" w:rsidRDefault="00000000">
      <w:pPr>
        <w:pStyle w:val="Heading2"/>
      </w:pPr>
      <w:bookmarkStart w:id="15" w:name="h15"/>
      <w:r>
        <w:lastRenderedPageBreak/>
        <w:t>6.4 Monthly charges by churn status</w:t>
      </w:r>
      <w:bookmarkEnd w:id="1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AB6DC4" w14:paraId="44905D90" w14:textId="77777777">
        <w:trPr>
          <w:cantSplit/>
          <w:tblHeader/>
        </w:trPr>
        <w:tc>
          <w:tcPr>
            <w:tcW w:w="4513" w:type="dxa"/>
            <w:tcBorders>
              <w:top w:val="single" w:sz="4" w:space="0" w:color="C9D6E6"/>
              <w:left w:val="single" w:sz="4" w:space="0" w:color="C9D6E6"/>
              <w:bottom w:val="single" w:sz="4" w:space="0" w:color="C9D6E6"/>
              <w:right w:val="single" w:sz="4" w:space="0" w:color="C9D6E6"/>
            </w:tcBorders>
            <w:shd w:val="clear" w:color="auto" w:fill="1F3864"/>
            <w:tcMar>
              <w:top w:w="70" w:type="dxa"/>
              <w:left w:w="120" w:type="dxa"/>
              <w:bottom w:w="70" w:type="dxa"/>
              <w:right w:w="120" w:type="dxa"/>
            </w:tcMar>
            <w:vAlign w:val="center"/>
          </w:tcPr>
          <w:p w14:paraId="74162567" w14:textId="77777777" w:rsidR="00AB6DC4" w:rsidRDefault="00000000">
            <w:r>
              <w:rPr>
                <w:b/>
                <w:bCs/>
                <w:color w:val="FFFFFF"/>
                <w:sz w:val="20"/>
                <w:szCs w:val="20"/>
              </w:rPr>
              <w:t>Customer status</w:t>
            </w:r>
          </w:p>
        </w:tc>
        <w:tc>
          <w:tcPr>
            <w:tcW w:w="4513" w:type="dxa"/>
            <w:tcBorders>
              <w:top w:val="single" w:sz="4" w:space="0" w:color="C9D6E6"/>
              <w:left w:val="single" w:sz="4" w:space="0" w:color="C9D6E6"/>
              <w:bottom w:val="single" w:sz="4" w:space="0" w:color="C9D6E6"/>
              <w:right w:val="single" w:sz="4" w:space="0" w:color="C9D6E6"/>
            </w:tcBorders>
            <w:shd w:val="clear" w:color="auto" w:fill="1F3864"/>
            <w:tcMar>
              <w:top w:w="70" w:type="dxa"/>
              <w:left w:w="120" w:type="dxa"/>
              <w:bottom w:w="70" w:type="dxa"/>
              <w:right w:w="120" w:type="dxa"/>
            </w:tcMar>
            <w:vAlign w:val="center"/>
          </w:tcPr>
          <w:p w14:paraId="10A5D2B0" w14:textId="77777777" w:rsidR="00AB6DC4" w:rsidRDefault="00000000">
            <w:pPr>
              <w:jc w:val="right"/>
            </w:pPr>
            <w:r>
              <w:rPr>
                <w:b/>
                <w:bCs/>
                <w:color w:val="FFFFFF"/>
                <w:sz w:val="20"/>
                <w:szCs w:val="20"/>
              </w:rPr>
              <w:t xml:space="preserve">Average </w:t>
            </w:r>
            <w:proofErr w:type="spellStart"/>
            <w:r>
              <w:rPr>
                <w:b/>
                <w:bCs/>
                <w:color w:val="FFFFFF"/>
                <w:sz w:val="20"/>
                <w:szCs w:val="20"/>
              </w:rPr>
              <w:t>MonthlyCharges</w:t>
            </w:r>
            <w:proofErr w:type="spellEnd"/>
          </w:p>
        </w:tc>
      </w:tr>
      <w:tr w:rsidR="00AB6DC4" w14:paraId="72F07F26" w14:textId="77777777">
        <w:trPr>
          <w:cantSplit/>
        </w:trPr>
        <w:tc>
          <w:tcPr>
            <w:tcW w:w="4513" w:type="dxa"/>
            <w:tcBorders>
              <w:top w:val="single" w:sz="4" w:space="0" w:color="C9D6E6"/>
              <w:left w:val="single" w:sz="4" w:space="0" w:color="C9D6E6"/>
              <w:bottom w:val="single" w:sz="4" w:space="0" w:color="C9D6E6"/>
              <w:right w:val="single" w:sz="4" w:space="0" w:color="C9D6E6"/>
            </w:tcBorders>
            <w:shd w:val="clear" w:color="auto" w:fill="FFFFFF"/>
            <w:tcMar>
              <w:top w:w="70" w:type="dxa"/>
              <w:left w:w="120" w:type="dxa"/>
              <w:bottom w:w="70" w:type="dxa"/>
              <w:right w:w="120" w:type="dxa"/>
            </w:tcMar>
            <w:vAlign w:val="center"/>
          </w:tcPr>
          <w:p w14:paraId="71623CEB" w14:textId="77777777" w:rsidR="00AB6DC4" w:rsidRDefault="00000000">
            <w:r>
              <w:rPr>
                <w:sz w:val="20"/>
                <w:szCs w:val="20"/>
              </w:rPr>
              <w:t>Retained customers</w:t>
            </w:r>
          </w:p>
        </w:tc>
        <w:tc>
          <w:tcPr>
            <w:tcW w:w="4513" w:type="dxa"/>
            <w:tcBorders>
              <w:top w:val="single" w:sz="4" w:space="0" w:color="C9D6E6"/>
              <w:left w:val="single" w:sz="4" w:space="0" w:color="C9D6E6"/>
              <w:bottom w:val="single" w:sz="4" w:space="0" w:color="C9D6E6"/>
              <w:right w:val="single" w:sz="4" w:space="0" w:color="C9D6E6"/>
            </w:tcBorders>
            <w:shd w:val="clear" w:color="auto" w:fill="FFFFFF"/>
            <w:tcMar>
              <w:top w:w="70" w:type="dxa"/>
              <w:left w:w="120" w:type="dxa"/>
              <w:bottom w:w="70" w:type="dxa"/>
              <w:right w:w="120" w:type="dxa"/>
            </w:tcMar>
            <w:vAlign w:val="center"/>
          </w:tcPr>
          <w:p w14:paraId="60C7FAE1" w14:textId="77777777" w:rsidR="00AB6DC4" w:rsidRDefault="00000000">
            <w:pPr>
              <w:jc w:val="right"/>
            </w:pPr>
            <w:r>
              <w:rPr>
                <w:sz w:val="20"/>
                <w:szCs w:val="20"/>
              </w:rPr>
              <w:t>61.27</w:t>
            </w:r>
          </w:p>
        </w:tc>
      </w:tr>
      <w:tr w:rsidR="00AB6DC4" w14:paraId="235FD7DA" w14:textId="77777777">
        <w:trPr>
          <w:cantSplit/>
        </w:trPr>
        <w:tc>
          <w:tcPr>
            <w:tcW w:w="4513" w:type="dxa"/>
            <w:tcBorders>
              <w:top w:val="single" w:sz="4" w:space="0" w:color="C9D6E6"/>
              <w:left w:val="single" w:sz="4" w:space="0" w:color="C9D6E6"/>
              <w:bottom w:val="single" w:sz="4" w:space="0" w:color="C9D6E6"/>
              <w:right w:val="single" w:sz="4" w:space="0" w:color="C9D6E6"/>
            </w:tcBorders>
            <w:shd w:val="clear" w:color="auto" w:fill="FDE9EF"/>
            <w:tcMar>
              <w:top w:w="70" w:type="dxa"/>
              <w:left w:w="120" w:type="dxa"/>
              <w:bottom w:w="70" w:type="dxa"/>
              <w:right w:w="120" w:type="dxa"/>
            </w:tcMar>
            <w:vAlign w:val="center"/>
          </w:tcPr>
          <w:p w14:paraId="0F4AC6D9" w14:textId="77777777" w:rsidR="00AB6DC4" w:rsidRDefault="00000000">
            <w:r>
              <w:rPr>
                <w:sz w:val="20"/>
                <w:szCs w:val="20"/>
              </w:rPr>
              <w:t>Churned customers</w:t>
            </w:r>
          </w:p>
        </w:tc>
        <w:tc>
          <w:tcPr>
            <w:tcW w:w="4513" w:type="dxa"/>
            <w:tcBorders>
              <w:top w:val="single" w:sz="4" w:space="0" w:color="C9D6E6"/>
              <w:left w:val="single" w:sz="4" w:space="0" w:color="C9D6E6"/>
              <w:bottom w:val="single" w:sz="4" w:space="0" w:color="C9D6E6"/>
              <w:right w:val="single" w:sz="4" w:space="0" w:color="C9D6E6"/>
            </w:tcBorders>
            <w:shd w:val="clear" w:color="auto" w:fill="FDE9EF"/>
            <w:tcMar>
              <w:top w:w="70" w:type="dxa"/>
              <w:left w:w="120" w:type="dxa"/>
              <w:bottom w:w="70" w:type="dxa"/>
              <w:right w:w="120" w:type="dxa"/>
            </w:tcMar>
            <w:vAlign w:val="center"/>
          </w:tcPr>
          <w:p w14:paraId="42BB37FE" w14:textId="77777777" w:rsidR="00AB6DC4" w:rsidRDefault="00000000">
            <w:pPr>
              <w:jc w:val="right"/>
            </w:pPr>
            <w:r>
              <w:rPr>
                <w:sz w:val="20"/>
                <w:szCs w:val="20"/>
              </w:rPr>
              <w:t>74.44</w:t>
            </w:r>
          </w:p>
        </w:tc>
      </w:tr>
      <w:tr w:rsidR="00AB6DC4" w14:paraId="5D2EE947" w14:textId="77777777">
        <w:trPr>
          <w:cantSplit/>
        </w:trPr>
        <w:tc>
          <w:tcPr>
            <w:tcW w:w="4513" w:type="dxa"/>
            <w:tcBorders>
              <w:top w:val="single" w:sz="4" w:space="0" w:color="C9D6E6"/>
              <w:left w:val="single" w:sz="4" w:space="0" w:color="C9D6E6"/>
              <w:bottom w:val="single" w:sz="4" w:space="0" w:color="C9D6E6"/>
              <w:right w:val="single" w:sz="4" w:space="0" w:color="C9D6E6"/>
            </w:tcBorders>
            <w:shd w:val="clear" w:color="auto" w:fill="FFFFFF"/>
            <w:tcMar>
              <w:top w:w="70" w:type="dxa"/>
              <w:left w:w="120" w:type="dxa"/>
              <w:bottom w:w="70" w:type="dxa"/>
              <w:right w:w="120" w:type="dxa"/>
            </w:tcMar>
            <w:vAlign w:val="center"/>
          </w:tcPr>
          <w:p w14:paraId="2EE89219" w14:textId="77777777" w:rsidR="00AB6DC4" w:rsidRDefault="00000000">
            <w:r>
              <w:rPr>
                <w:sz w:val="20"/>
                <w:szCs w:val="20"/>
              </w:rPr>
              <w:t>All customers</w:t>
            </w:r>
          </w:p>
        </w:tc>
        <w:tc>
          <w:tcPr>
            <w:tcW w:w="4513" w:type="dxa"/>
            <w:tcBorders>
              <w:top w:val="single" w:sz="4" w:space="0" w:color="C9D6E6"/>
              <w:left w:val="single" w:sz="4" w:space="0" w:color="C9D6E6"/>
              <w:bottom w:val="single" w:sz="4" w:space="0" w:color="C9D6E6"/>
              <w:right w:val="single" w:sz="4" w:space="0" w:color="C9D6E6"/>
            </w:tcBorders>
            <w:shd w:val="clear" w:color="auto" w:fill="FFFFFF"/>
            <w:tcMar>
              <w:top w:w="70" w:type="dxa"/>
              <w:left w:w="120" w:type="dxa"/>
              <w:bottom w:w="70" w:type="dxa"/>
              <w:right w:w="120" w:type="dxa"/>
            </w:tcMar>
            <w:vAlign w:val="center"/>
          </w:tcPr>
          <w:p w14:paraId="2B39A2FF" w14:textId="77777777" w:rsidR="00AB6DC4" w:rsidRDefault="00000000">
            <w:pPr>
              <w:jc w:val="right"/>
            </w:pPr>
            <w:r>
              <w:rPr>
                <w:sz w:val="20"/>
                <w:szCs w:val="20"/>
              </w:rPr>
              <w:t>64.76</w:t>
            </w:r>
          </w:p>
        </w:tc>
      </w:tr>
    </w:tbl>
    <w:p w14:paraId="6BB81E0F" w14:textId="77777777" w:rsidR="00AB6DC4" w:rsidRDefault="00000000">
      <w:pPr>
        <w:spacing w:before="60" w:after="200"/>
      </w:pPr>
      <w:r>
        <w:rPr>
          <w:i/>
          <w:iCs/>
          <w:color w:val="595959"/>
          <w:sz w:val="18"/>
          <w:szCs w:val="18"/>
        </w:rPr>
        <w:t>Table 8. Average monthly charges by customer status.</w:t>
      </w:r>
    </w:p>
    <w:p w14:paraId="11661A6A" w14:textId="77777777" w:rsidR="00AB6DC4" w:rsidRDefault="00000000">
      <w:pPr>
        <w:keepNext/>
        <w:spacing w:before="120" w:after="40"/>
        <w:jc w:val="center"/>
      </w:pPr>
      <w:r>
        <w:rPr>
          <w:noProof/>
        </w:rPr>
        <w:drawing>
          <wp:inline distT="0" distB="0" distL="0" distR="0" wp14:anchorId="06E9187C" wp14:editId="375D0086">
            <wp:extent cx="4953000" cy="2171700"/>
            <wp:effectExtent l="0" t="0" r="0" b="0"/>
            <wp:docPr id="1443097756" name="c3.png" descr="c3.png" title="c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53000" cy="2171700"/>
                    </a:xfrm>
                    <a:prstGeom prst="rect">
                      <a:avLst/>
                    </a:prstGeom>
                  </pic:spPr>
                </pic:pic>
              </a:graphicData>
            </a:graphic>
          </wp:inline>
        </w:drawing>
      </w:r>
    </w:p>
    <w:p w14:paraId="15101CD1" w14:textId="77777777" w:rsidR="00AB6DC4" w:rsidRDefault="00000000">
      <w:pPr>
        <w:spacing w:before="60" w:after="200"/>
      </w:pPr>
      <w:r>
        <w:rPr>
          <w:i/>
          <w:iCs/>
          <w:color w:val="595959"/>
          <w:sz w:val="18"/>
          <w:szCs w:val="18"/>
        </w:rPr>
        <w:t>Figure 3. Average monthly charges for retained, all, and churned customers.</w:t>
      </w:r>
    </w:p>
    <w:p w14:paraId="262E3C45" w14:textId="77777777" w:rsidR="00AB6DC4" w:rsidRDefault="00000000">
      <w:pPr>
        <w:spacing w:after="120" w:line="276" w:lineRule="auto"/>
      </w:pPr>
      <w:r>
        <w:t>Churned customers pay 13.17 more per month on average than retained customers (about 21.50% higher, derived). This may reflect service mix, value perception, or support experience, but price alone should not be assumed to be the cause.</w:t>
      </w:r>
    </w:p>
    <w:p w14:paraId="56CADB56" w14:textId="77777777" w:rsidR="00AB6DC4" w:rsidRDefault="00000000">
      <w:pPr>
        <w:pStyle w:val="Heading2"/>
      </w:pPr>
      <w:bookmarkStart w:id="16" w:name="h16"/>
      <w:r>
        <w:t>6.5 Additional segment observations</w:t>
      </w:r>
      <w:bookmarkEnd w:id="1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300"/>
        <w:gridCol w:w="2726"/>
      </w:tblGrid>
      <w:tr w:rsidR="00AB6DC4" w14:paraId="5F553ACB" w14:textId="77777777">
        <w:trPr>
          <w:cantSplit/>
          <w:tblHeader/>
        </w:trPr>
        <w:tc>
          <w:tcPr>
            <w:tcW w:w="3000" w:type="dxa"/>
            <w:tcBorders>
              <w:top w:val="single" w:sz="4" w:space="0" w:color="C9D6E6"/>
              <w:left w:val="single" w:sz="4" w:space="0" w:color="C9D6E6"/>
              <w:bottom w:val="single" w:sz="4" w:space="0" w:color="C9D6E6"/>
              <w:right w:val="single" w:sz="4" w:space="0" w:color="C9D6E6"/>
            </w:tcBorders>
            <w:shd w:val="clear" w:color="auto" w:fill="1F3864"/>
            <w:tcMar>
              <w:top w:w="70" w:type="dxa"/>
              <w:left w:w="120" w:type="dxa"/>
              <w:bottom w:w="70" w:type="dxa"/>
              <w:right w:w="120" w:type="dxa"/>
            </w:tcMar>
            <w:vAlign w:val="center"/>
          </w:tcPr>
          <w:p w14:paraId="3F4D5BE4" w14:textId="77777777" w:rsidR="00AB6DC4" w:rsidRDefault="00000000">
            <w:r>
              <w:rPr>
                <w:b/>
                <w:bCs/>
                <w:color w:val="FFFFFF"/>
                <w:sz w:val="20"/>
                <w:szCs w:val="20"/>
              </w:rPr>
              <w:t>Dimension</w:t>
            </w:r>
          </w:p>
        </w:tc>
        <w:tc>
          <w:tcPr>
            <w:tcW w:w="3300" w:type="dxa"/>
            <w:tcBorders>
              <w:top w:val="single" w:sz="4" w:space="0" w:color="C9D6E6"/>
              <w:left w:val="single" w:sz="4" w:space="0" w:color="C9D6E6"/>
              <w:bottom w:val="single" w:sz="4" w:space="0" w:color="C9D6E6"/>
              <w:right w:val="single" w:sz="4" w:space="0" w:color="C9D6E6"/>
            </w:tcBorders>
            <w:shd w:val="clear" w:color="auto" w:fill="1F3864"/>
            <w:tcMar>
              <w:top w:w="70" w:type="dxa"/>
              <w:left w:w="120" w:type="dxa"/>
              <w:bottom w:w="70" w:type="dxa"/>
              <w:right w:w="120" w:type="dxa"/>
            </w:tcMar>
            <w:vAlign w:val="center"/>
          </w:tcPr>
          <w:p w14:paraId="15CB1804" w14:textId="77777777" w:rsidR="00AB6DC4" w:rsidRDefault="00000000">
            <w:r>
              <w:rPr>
                <w:b/>
                <w:bCs/>
                <w:color w:val="FFFFFF"/>
                <w:sz w:val="20"/>
                <w:szCs w:val="20"/>
              </w:rPr>
              <w:t>Segment</w:t>
            </w:r>
          </w:p>
        </w:tc>
        <w:tc>
          <w:tcPr>
            <w:tcW w:w="2726" w:type="dxa"/>
            <w:tcBorders>
              <w:top w:val="single" w:sz="4" w:space="0" w:color="C9D6E6"/>
              <w:left w:val="single" w:sz="4" w:space="0" w:color="C9D6E6"/>
              <w:bottom w:val="single" w:sz="4" w:space="0" w:color="C9D6E6"/>
              <w:right w:val="single" w:sz="4" w:space="0" w:color="C9D6E6"/>
            </w:tcBorders>
            <w:shd w:val="clear" w:color="auto" w:fill="1F3864"/>
            <w:tcMar>
              <w:top w:w="70" w:type="dxa"/>
              <w:left w:w="120" w:type="dxa"/>
              <w:bottom w:w="70" w:type="dxa"/>
              <w:right w:w="120" w:type="dxa"/>
            </w:tcMar>
            <w:vAlign w:val="center"/>
          </w:tcPr>
          <w:p w14:paraId="2B65114B" w14:textId="77777777" w:rsidR="00AB6DC4" w:rsidRDefault="00000000">
            <w:pPr>
              <w:jc w:val="right"/>
            </w:pPr>
            <w:r>
              <w:rPr>
                <w:b/>
                <w:bCs/>
                <w:color w:val="FFFFFF"/>
                <w:sz w:val="20"/>
                <w:szCs w:val="20"/>
              </w:rPr>
              <w:t>Churn rate</w:t>
            </w:r>
          </w:p>
        </w:tc>
      </w:tr>
      <w:tr w:rsidR="00AB6DC4" w14:paraId="2B2D6CE8" w14:textId="77777777">
        <w:trPr>
          <w:cantSplit/>
        </w:trPr>
        <w:tc>
          <w:tcPr>
            <w:tcW w:w="3000" w:type="dxa"/>
            <w:tcBorders>
              <w:top w:val="single" w:sz="4" w:space="0" w:color="C9D6E6"/>
              <w:left w:val="single" w:sz="4" w:space="0" w:color="C9D6E6"/>
              <w:bottom w:val="single" w:sz="4" w:space="0" w:color="C9D6E6"/>
              <w:right w:val="single" w:sz="4" w:space="0" w:color="C9D6E6"/>
            </w:tcBorders>
            <w:shd w:val="clear" w:color="auto" w:fill="FDE9EF"/>
            <w:tcMar>
              <w:top w:w="70" w:type="dxa"/>
              <w:left w:w="120" w:type="dxa"/>
              <w:bottom w:w="70" w:type="dxa"/>
              <w:right w:w="120" w:type="dxa"/>
            </w:tcMar>
            <w:vAlign w:val="center"/>
          </w:tcPr>
          <w:p w14:paraId="63BD61B3" w14:textId="77777777" w:rsidR="00AB6DC4" w:rsidRDefault="00000000">
            <w:r>
              <w:rPr>
                <w:sz w:val="20"/>
                <w:szCs w:val="20"/>
              </w:rPr>
              <w:t>Internet service</w:t>
            </w:r>
          </w:p>
        </w:tc>
        <w:tc>
          <w:tcPr>
            <w:tcW w:w="3300" w:type="dxa"/>
            <w:tcBorders>
              <w:top w:val="single" w:sz="4" w:space="0" w:color="C9D6E6"/>
              <w:left w:val="single" w:sz="4" w:space="0" w:color="C9D6E6"/>
              <w:bottom w:val="single" w:sz="4" w:space="0" w:color="C9D6E6"/>
              <w:right w:val="single" w:sz="4" w:space="0" w:color="C9D6E6"/>
            </w:tcBorders>
            <w:shd w:val="clear" w:color="auto" w:fill="FDE9EF"/>
            <w:tcMar>
              <w:top w:w="70" w:type="dxa"/>
              <w:left w:w="120" w:type="dxa"/>
              <w:bottom w:w="70" w:type="dxa"/>
              <w:right w:w="120" w:type="dxa"/>
            </w:tcMar>
            <w:vAlign w:val="center"/>
          </w:tcPr>
          <w:p w14:paraId="7359F5B4" w14:textId="77777777" w:rsidR="00AB6DC4" w:rsidRDefault="00000000">
            <w:r>
              <w:rPr>
                <w:sz w:val="20"/>
                <w:szCs w:val="20"/>
              </w:rPr>
              <w:t>Fiber optic</w:t>
            </w:r>
          </w:p>
        </w:tc>
        <w:tc>
          <w:tcPr>
            <w:tcW w:w="2726" w:type="dxa"/>
            <w:tcBorders>
              <w:top w:val="single" w:sz="4" w:space="0" w:color="C9D6E6"/>
              <w:left w:val="single" w:sz="4" w:space="0" w:color="C9D6E6"/>
              <w:bottom w:val="single" w:sz="4" w:space="0" w:color="C9D6E6"/>
              <w:right w:val="single" w:sz="4" w:space="0" w:color="C9D6E6"/>
            </w:tcBorders>
            <w:shd w:val="clear" w:color="auto" w:fill="FDE9EF"/>
            <w:tcMar>
              <w:top w:w="70" w:type="dxa"/>
              <w:left w:w="120" w:type="dxa"/>
              <w:bottom w:w="70" w:type="dxa"/>
              <w:right w:w="120" w:type="dxa"/>
            </w:tcMar>
            <w:vAlign w:val="center"/>
          </w:tcPr>
          <w:p w14:paraId="5D33E6E3" w14:textId="77777777" w:rsidR="00AB6DC4" w:rsidRDefault="00000000">
            <w:pPr>
              <w:jc w:val="right"/>
            </w:pPr>
            <w:r>
              <w:rPr>
                <w:sz w:val="20"/>
                <w:szCs w:val="20"/>
              </w:rPr>
              <w:t>41.89%</w:t>
            </w:r>
          </w:p>
        </w:tc>
      </w:tr>
      <w:tr w:rsidR="00AB6DC4" w14:paraId="5CC3D754" w14:textId="77777777">
        <w:trPr>
          <w:cantSplit/>
        </w:trPr>
        <w:tc>
          <w:tcPr>
            <w:tcW w:w="3000" w:type="dxa"/>
            <w:tcBorders>
              <w:top w:val="single" w:sz="4" w:space="0" w:color="C9D6E6"/>
              <w:left w:val="single" w:sz="4" w:space="0" w:color="C9D6E6"/>
              <w:bottom w:val="single" w:sz="4" w:space="0" w:color="C9D6E6"/>
              <w:right w:val="single" w:sz="4" w:space="0" w:color="C9D6E6"/>
            </w:tcBorders>
            <w:shd w:val="clear" w:color="auto" w:fill="F3F8FD"/>
            <w:tcMar>
              <w:top w:w="70" w:type="dxa"/>
              <w:left w:w="120" w:type="dxa"/>
              <w:bottom w:w="70" w:type="dxa"/>
              <w:right w:w="120" w:type="dxa"/>
            </w:tcMar>
            <w:vAlign w:val="center"/>
          </w:tcPr>
          <w:p w14:paraId="08B7BCFA" w14:textId="77777777" w:rsidR="00AB6DC4" w:rsidRDefault="00000000">
            <w:r>
              <w:rPr>
                <w:sz w:val="20"/>
                <w:szCs w:val="20"/>
              </w:rPr>
              <w:t>Internet service</w:t>
            </w:r>
          </w:p>
        </w:tc>
        <w:tc>
          <w:tcPr>
            <w:tcW w:w="3300" w:type="dxa"/>
            <w:tcBorders>
              <w:top w:val="single" w:sz="4" w:space="0" w:color="C9D6E6"/>
              <w:left w:val="single" w:sz="4" w:space="0" w:color="C9D6E6"/>
              <w:bottom w:val="single" w:sz="4" w:space="0" w:color="C9D6E6"/>
              <w:right w:val="single" w:sz="4" w:space="0" w:color="C9D6E6"/>
            </w:tcBorders>
            <w:shd w:val="clear" w:color="auto" w:fill="F3F8FD"/>
            <w:tcMar>
              <w:top w:w="70" w:type="dxa"/>
              <w:left w:w="120" w:type="dxa"/>
              <w:bottom w:w="70" w:type="dxa"/>
              <w:right w:w="120" w:type="dxa"/>
            </w:tcMar>
            <w:vAlign w:val="center"/>
          </w:tcPr>
          <w:p w14:paraId="0BD97B3F" w14:textId="77777777" w:rsidR="00AB6DC4" w:rsidRDefault="00000000">
            <w:r>
              <w:rPr>
                <w:sz w:val="20"/>
                <w:szCs w:val="20"/>
              </w:rPr>
              <w:t>DSL</w:t>
            </w:r>
          </w:p>
        </w:tc>
        <w:tc>
          <w:tcPr>
            <w:tcW w:w="2726" w:type="dxa"/>
            <w:tcBorders>
              <w:top w:val="single" w:sz="4" w:space="0" w:color="C9D6E6"/>
              <w:left w:val="single" w:sz="4" w:space="0" w:color="C9D6E6"/>
              <w:bottom w:val="single" w:sz="4" w:space="0" w:color="C9D6E6"/>
              <w:right w:val="single" w:sz="4" w:space="0" w:color="C9D6E6"/>
            </w:tcBorders>
            <w:shd w:val="clear" w:color="auto" w:fill="F3F8FD"/>
            <w:tcMar>
              <w:top w:w="70" w:type="dxa"/>
              <w:left w:w="120" w:type="dxa"/>
              <w:bottom w:w="70" w:type="dxa"/>
              <w:right w:w="120" w:type="dxa"/>
            </w:tcMar>
            <w:vAlign w:val="center"/>
          </w:tcPr>
          <w:p w14:paraId="3159CABF" w14:textId="77777777" w:rsidR="00AB6DC4" w:rsidRDefault="00000000">
            <w:pPr>
              <w:jc w:val="right"/>
            </w:pPr>
            <w:r>
              <w:rPr>
                <w:sz w:val="20"/>
                <w:szCs w:val="20"/>
              </w:rPr>
              <w:t>18.96%</w:t>
            </w:r>
          </w:p>
        </w:tc>
      </w:tr>
      <w:tr w:rsidR="00AB6DC4" w14:paraId="4502DFDD" w14:textId="77777777">
        <w:trPr>
          <w:cantSplit/>
        </w:trPr>
        <w:tc>
          <w:tcPr>
            <w:tcW w:w="3000" w:type="dxa"/>
            <w:tcBorders>
              <w:top w:val="single" w:sz="4" w:space="0" w:color="C9D6E6"/>
              <w:left w:val="single" w:sz="4" w:space="0" w:color="C9D6E6"/>
              <w:bottom w:val="single" w:sz="4" w:space="0" w:color="C9D6E6"/>
              <w:right w:val="single" w:sz="4" w:space="0" w:color="C9D6E6"/>
            </w:tcBorders>
            <w:shd w:val="clear" w:color="auto" w:fill="FFFFFF"/>
            <w:tcMar>
              <w:top w:w="70" w:type="dxa"/>
              <w:left w:w="120" w:type="dxa"/>
              <w:bottom w:w="70" w:type="dxa"/>
              <w:right w:w="120" w:type="dxa"/>
            </w:tcMar>
            <w:vAlign w:val="center"/>
          </w:tcPr>
          <w:p w14:paraId="60289877" w14:textId="77777777" w:rsidR="00AB6DC4" w:rsidRDefault="00000000">
            <w:r>
              <w:rPr>
                <w:sz w:val="20"/>
                <w:szCs w:val="20"/>
              </w:rPr>
              <w:t>Internet service</w:t>
            </w:r>
          </w:p>
        </w:tc>
        <w:tc>
          <w:tcPr>
            <w:tcW w:w="3300" w:type="dxa"/>
            <w:tcBorders>
              <w:top w:val="single" w:sz="4" w:space="0" w:color="C9D6E6"/>
              <w:left w:val="single" w:sz="4" w:space="0" w:color="C9D6E6"/>
              <w:bottom w:val="single" w:sz="4" w:space="0" w:color="C9D6E6"/>
              <w:right w:val="single" w:sz="4" w:space="0" w:color="C9D6E6"/>
            </w:tcBorders>
            <w:shd w:val="clear" w:color="auto" w:fill="FFFFFF"/>
            <w:tcMar>
              <w:top w:w="70" w:type="dxa"/>
              <w:left w:w="120" w:type="dxa"/>
              <w:bottom w:w="70" w:type="dxa"/>
              <w:right w:w="120" w:type="dxa"/>
            </w:tcMar>
            <w:vAlign w:val="center"/>
          </w:tcPr>
          <w:p w14:paraId="106DFD1A" w14:textId="77777777" w:rsidR="00AB6DC4" w:rsidRDefault="00000000">
            <w:r>
              <w:rPr>
                <w:sz w:val="20"/>
                <w:szCs w:val="20"/>
              </w:rPr>
              <w:t>No internet service</w:t>
            </w:r>
          </w:p>
        </w:tc>
        <w:tc>
          <w:tcPr>
            <w:tcW w:w="2726" w:type="dxa"/>
            <w:tcBorders>
              <w:top w:val="single" w:sz="4" w:space="0" w:color="C9D6E6"/>
              <w:left w:val="single" w:sz="4" w:space="0" w:color="C9D6E6"/>
              <w:bottom w:val="single" w:sz="4" w:space="0" w:color="C9D6E6"/>
              <w:right w:val="single" w:sz="4" w:space="0" w:color="C9D6E6"/>
            </w:tcBorders>
            <w:shd w:val="clear" w:color="auto" w:fill="FFFFFF"/>
            <w:tcMar>
              <w:top w:w="70" w:type="dxa"/>
              <w:left w:w="120" w:type="dxa"/>
              <w:bottom w:w="70" w:type="dxa"/>
              <w:right w:w="120" w:type="dxa"/>
            </w:tcMar>
            <w:vAlign w:val="center"/>
          </w:tcPr>
          <w:p w14:paraId="66938930" w14:textId="77777777" w:rsidR="00AB6DC4" w:rsidRDefault="00000000">
            <w:pPr>
              <w:jc w:val="right"/>
            </w:pPr>
            <w:r>
              <w:rPr>
                <w:sz w:val="20"/>
                <w:szCs w:val="20"/>
              </w:rPr>
              <w:t>7.40%</w:t>
            </w:r>
          </w:p>
        </w:tc>
      </w:tr>
      <w:tr w:rsidR="00AB6DC4" w14:paraId="507BE66A" w14:textId="77777777">
        <w:trPr>
          <w:cantSplit/>
        </w:trPr>
        <w:tc>
          <w:tcPr>
            <w:tcW w:w="3000" w:type="dxa"/>
            <w:tcBorders>
              <w:top w:val="single" w:sz="4" w:space="0" w:color="C9D6E6"/>
              <w:left w:val="single" w:sz="4" w:space="0" w:color="C9D6E6"/>
              <w:bottom w:val="single" w:sz="4" w:space="0" w:color="C9D6E6"/>
              <w:right w:val="single" w:sz="4" w:space="0" w:color="C9D6E6"/>
            </w:tcBorders>
            <w:shd w:val="clear" w:color="auto" w:fill="FDE9EF"/>
            <w:tcMar>
              <w:top w:w="70" w:type="dxa"/>
              <w:left w:w="120" w:type="dxa"/>
              <w:bottom w:w="70" w:type="dxa"/>
              <w:right w:w="120" w:type="dxa"/>
            </w:tcMar>
            <w:vAlign w:val="center"/>
          </w:tcPr>
          <w:p w14:paraId="1A52EA91" w14:textId="77777777" w:rsidR="00AB6DC4" w:rsidRDefault="00000000">
            <w:r>
              <w:rPr>
                <w:sz w:val="20"/>
                <w:szCs w:val="20"/>
              </w:rPr>
              <w:t>Payment method</w:t>
            </w:r>
          </w:p>
        </w:tc>
        <w:tc>
          <w:tcPr>
            <w:tcW w:w="3300" w:type="dxa"/>
            <w:tcBorders>
              <w:top w:val="single" w:sz="4" w:space="0" w:color="C9D6E6"/>
              <w:left w:val="single" w:sz="4" w:space="0" w:color="C9D6E6"/>
              <w:bottom w:val="single" w:sz="4" w:space="0" w:color="C9D6E6"/>
              <w:right w:val="single" w:sz="4" w:space="0" w:color="C9D6E6"/>
            </w:tcBorders>
            <w:shd w:val="clear" w:color="auto" w:fill="FDE9EF"/>
            <w:tcMar>
              <w:top w:w="70" w:type="dxa"/>
              <w:left w:w="120" w:type="dxa"/>
              <w:bottom w:w="70" w:type="dxa"/>
              <w:right w:w="120" w:type="dxa"/>
            </w:tcMar>
            <w:vAlign w:val="center"/>
          </w:tcPr>
          <w:p w14:paraId="79FD88E0" w14:textId="77777777" w:rsidR="00AB6DC4" w:rsidRDefault="00000000">
            <w:r>
              <w:rPr>
                <w:sz w:val="20"/>
                <w:szCs w:val="20"/>
              </w:rPr>
              <w:t>Electronic check</w:t>
            </w:r>
          </w:p>
        </w:tc>
        <w:tc>
          <w:tcPr>
            <w:tcW w:w="2726" w:type="dxa"/>
            <w:tcBorders>
              <w:top w:val="single" w:sz="4" w:space="0" w:color="C9D6E6"/>
              <w:left w:val="single" w:sz="4" w:space="0" w:color="C9D6E6"/>
              <w:bottom w:val="single" w:sz="4" w:space="0" w:color="C9D6E6"/>
              <w:right w:val="single" w:sz="4" w:space="0" w:color="C9D6E6"/>
            </w:tcBorders>
            <w:shd w:val="clear" w:color="auto" w:fill="FDE9EF"/>
            <w:tcMar>
              <w:top w:w="70" w:type="dxa"/>
              <w:left w:w="120" w:type="dxa"/>
              <w:bottom w:w="70" w:type="dxa"/>
              <w:right w:w="120" w:type="dxa"/>
            </w:tcMar>
            <w:vAlign w:val="center"/>
          </w:tcPr>
          <w:p w14:paraId="0E78EF2A" w14:textId="77777777" w:rsidR="00AB6DC4" w:rsidRDefault="00000000">
            <w:pPr>
              <w:jc w:val="right"/>
            </w:pPr>
            <w:r>
              <w:rPr>
                <w:sz w:val="20"/>
                <w:szCs w:val="20"/>
              </w:rPr>
              <w:t>45.29%</w:t>
            </w:r>
          </w:p>
        </w:tc>
      </w:tr>
      <w:tr w:rsidR="00AB6DC4" w14:paraId="01B55F07" w14:textId="77777777">
        <w:trPr>
          <w:cantSplit/>
        </w:trPr>
        <w:tc>
          <w:tcPr>
            <w:tcW w:w="3000" w:type="dxa"/>
            <w:tcBorders>
              <w:top w:val="single" w:sz="4" w:space="0" w:color="C9D6E6"/>
              <w:left w:val="single" w:sz="4" w:space="0" w:color="C9D6E6"/>
              <w:bottom w:val="single" w:sz="4" w:space="0" w:color="C9D6E6"/>
              <w:right w:val="single" w:sz="4" w:space="0" w:color="C9D6E6"/>
            </w:tcBorders>
            <w:shd w:val="clear" w:color="auto" w:fill="FFFFFF"/>
            <w:tcMar>
              <w:top w:w="70" w:type="dxa"/>
              <w:left w:w="120" w:type="dxa"/>
              <w:bottom w:w="70" w:type="dxa"/>
              <w:right w:w="120" w:type="dxa"/>
            </w:tcMar>
            <w:vAlign w:val="center"/>
          </w:tcPr>
          <w:p w14:paraId="3C434746" w14:textId="77777777" w:rsidR="00AB6DC4" w:rsidRDefault="00000000">
            <w:r>
              <w:rPr>
                <w:sz w:val="20"/>
                <w:szCs w:val="20"/>
              </w:rPr>
              <w:t>Payment method</w:t>
            </w:r>
          </w:p>
        </w:tc>
        <w:tc>
          <w:tcPr>
            <w:tcW w:w="3300" w:type="dxa"/>
            <w:tcBorders>
              <w:top w:val="single" w:sz="4" w:space="0" w:color="C9D6E6"/>
              <w:left w:val="single" w:sz="4" w:space="0" w:color="C9D6E6"/>
              <w:bottom w:val="single" w:sz="4" w:space="0" w:color="C9D6E6"/>
              <w:right w:val="single" w:sz="4" w:space="0" w:color="C9D6E6"/>
            </w:tcBorders>
            <w:shd w:val="clear" w:color="auto" w:fill="FFFFFF"/>
            <w:tcMar>
              <w:top w:w="70" w:type="dxa"/>
              <w:left w:w="120" w:type="dxa"/>
              <w:bottom w:w="70" w:type="dxa"/>
              <w:right w:w="120" w:type="dxa"/>
            </w:tcMar>
            <w:vAlign w:val="center"/>
          </w:tcPr>
          <w:p w14:paraId="7C122F4E" w14:textId="77777777" w:rsidR="00AB6DC4" w:rsidRDefault="00000000">
            <w:r>
              <w:rPr>
                <w:sz w:val="20"/>
                <w:szCs w:val="20"/>
              </w:rPr>
              <w:t>Automatic bank transfer</w:t>
            </w:r>
          </w:p>
        </w:tc>
        <w:tc>
          <w:tcPr>
            <w:tcW w:w="2726" w:type="dxa"/>
            <w:tcBorders>
              <w:top w:val="single" w:sz="4" w:space="0" w:color="C9D6E6"/>
              <w:left w:val="single" w:sz="4" w:space="0" w:color="C9D6E6"/>
              <w:bottom w:val="single" w:sz="4" w:space="0" w:color="C9D6E6"/>
              <w:right w:val="single" w:sz="4" w:space="0" w:color="C9D6E6"/>
            </w:tcBorders>
            <w:shd w:val="clear" w:color="auto" w:fill="FFFFFF"/>
            <w:tcMar>
              <w:top w:w="70" w:type="dxa"/>
              <w:left w:w="120" w:type="dxa"/>
              <w:bottom w:w="70" w:type="dxa"/>
              <w:right w:w="120" w:type="dxa"/>
            </w:tcMar>
            <w:vAlign w:val="center"/>
          </w:tcPr>
          <w:p w14:paraId="60ADAC3C" w14:textId="77777777" w:rsidR="00AB6DC4" w:rsidRDefault="00000000">
            <w:pPr>
              <w:jc w:val="right"/>
            </w:pPr>
            <w:r>
              <w:rPr>
                <w:sz w:val="20"/>
                <w:szCs w:val="20"/>
              </w:rPr>
              <w:t>16.71%</w:t>
            </w:r>
          </w:p>
        </w:tc>
      </w:tr>
      <w:tr w:rsidR="00AB6DC4" w14:paraId="7AD68427" w14:textId="77777777">
        <w:trPr>
          <w:cantSplit/>
        </w:trPr>
        <w:tc>
          <w:tcPr>
            <w:tcW w:w="3000" w:type="dxa"/>
            <w:tcBorders>
              <w:top w:val="single" w:sz="4" w:space="0" w:color="C9D6E6"/>
              <w:left w:val="single" w:sz="4" w:space="0" w:color="C9D6E6"/>
              <w:bottom w:val="single" w:sz="4" w:space="0" w:color="C9D6E6"/>
              <w:right w:val="single" w:sz="4" w:space="0" w:color="C9D6E6"/>
            </w:tcBorders>
            <w:shd w:val="clear" w:color="auto" w:fill="F3F8FD"/>
            <w:tcMar>
              <w:top w:w="70" w:type="dxa"/>
              <w:left w:w="120" w:type="dxa"/>
              <w:bottom w:w="70" w:type="dxa"/>
              <w:right w:w="120" w:type="dxa"/>
            </w:tcMar>
            <w:vAlign w:val="center"/>
          </w:tcPr>
          <w:p w14:paraId="260B523B" w14:textId="77777777" w:rsidR="00AB6DC4" w:rsidRDefault="00000000">
            <w:r>
              <w:rPr>
                <w:sz w:val="20"/>
                <w:szCs w:val="20"/>
              </w:rPr>
              <w:t>Payment method</w:t>
            </w:r>
          </w:p>
        </w:tc>
        <w:tc>
          <w:tcPr>
            <w:tcW w:w="3300" w:type="dxa"/>
            <w:tcBorders>
              <w:top w:val="single" w:sz="4" w:space="0" w:color="C9D6E6"/>
              <w:left w:val="single" w:sz="4" w:space="0" w:color="C9D6E6"/>
              <w:bottom w:val="single" w:sz="4" w:space="0" w:color="C9D6E6"/>
              <w:right w:val="single" w:sz="4" w:space="0" w:color="C9D6E6"/>
            </w:tcBorders>
            <w:shd w:val="clear" w:color="auto" w:fill="F3F8FD"/>
            <w:tcMar>
              <w:top w:w="70" w:type="dxa"/>
              <w:left w:w="120" w:type="dxa"/>
              <w:bottom w:w="70" w:type="dxa"/>
              <w:right w:w="120" w:type="dxa"/>
            </w:tcMar>
            <w:vAlign w:val="center"/>
          </w:tcPr>
          <w:p w14:paraId="1B5E6E3D" w14:textId="77777777" w:rsidR="00AB6DC4" w:rsidRDefault="00000000">
            <w:r>
              <w:rPr>
                <w:sz w:val="20"/>
                <w:szCs w:val="20"/>
              </w:rPr>
              <w:t>Automatic credit card</w:t>
            </w:r>
          </w:p>
        </w:tc>
        <w:tc>
          <w:tcPr>
            <w:tcW w:w="2726" w:type="dxa"/>
            <w:tcBorders>
              <w:top w:val="single" w:sz="4" w:space="0" w:color="C9D6E6"/>
              <w:left w:val="single" w:sz="4" w:space="0" w:color="C9D6E6"/>
              <w:bottom w:val="single" w:sz="4" w:space="0" w:color="C9D6E6"/>
              <w:right w:val="single" w:sz="4" w:space="0" w:color="C9D6E6"/>
            </w:tcBorders>
            <w:shd w:val="clear" w:color="auto" w:fill="F3F8FD"/>
            <w:tcMar>
              <w:top w:w="70" w:type="dxa"/>
              <w:left w:w="120" w:type="dxa"/>
              <w:bottom w:w="70" w:type="dxa"/>
              <w:right w:w="120" w:type="dxa"/>
            </w:tcMar>
            <w:vAlign w:val="center"/>
          </w:tcPr>
          <w:p w14:paraId="10B7EB9C" w14:textId="77777777" w:rsidR="00AB6DC4" w:rsidRDefault="00000000">
            <w:pPr>
              <w:jc w:val="right"/>
            </w:pPr>
            <w:r>
              <w:rPr>
                <w:sz w:val="20"/>
                <w:szCs w:val="20"/>
              </w:rPr>
              <w:t>15.24%</w:t>
            </w:r>
          </w:p>
        </w:tc>
      </w:tr>
      <w:tr w:rsidR="00AB6DC4" w14:paraId="0861FD61" w14:textId="77777777">
        <w:trPr>
          <w:cantSplit/>
        </w:trPr>
        <w:tc>
          <w:tcPr>
            <w:tcW w:w="3000" w:type="dxa"/>
            <w:tcBorders>
              <w:top w:val="single" w:sz="4" w:space="0" w:color="C9D6E6"/>
              <w:left w:val="single" w:sz="4" w:space="0" w:color="C9D6E6"/>
              <w:bottom w:val="single" w:sz="4" w:space="0" w:color="C9D6E6"/>
              <w:right w:val="single" w:sz="4" w:space="0" w:color="C9D6E6"/>
            </w:tcBorders>
            <w:shd w:val="clear" w:color="auto" w:fill="FFFFFF"/>
            <w:tcMar>
              <w:top w:w="70" w:type="dxa"/>
              <w:left w:w="120" w:type="dxa"/>
              <w:bottom w:w="70" w:type="dxa"/>
              <w:right w:w="120" w:type="dxa"/>
            </w:tcMar>
            <w:vAlign w:val="center"/>
          </w:tcPr>
          <w:p w14:paraId="1298CD1F" w14:textId="77777777" w:rsidR="00AB6DC4" w:rsidRDefault="00000000">
            <w:r>
              <w:rPr>
                <w:sz w:val="20"/>
                <w:szCs w:val="20"/>
              </w:rPr>
              <w:t>Payment method</w:t>
            </w:r>
          </w:p>
        </w:tc>
        <w:tc>
          <w:tcPr>
            <w:tcW w:w="3300" w:type="dxa"/>
            <w:tcBorders>
              <w:top w:val="single" w:sz="4" w:space="0" w:color="C9D6E6"/>
              <w:left w:val="single" w:sz="4" w:space="0" w:color="C9D6E6"/>
              <w:bottom w:val="single" w:sz="4" w:space="0" w:color="C9D6E6"/>
              <w:right w:val="single" w:sz="4" w:space="0" w:color="C9D6E6"/>
            </w:tcBorders>
            <w:shd w:val="clear" w:color="auto" w:fill="FFFFFF"/>
            <w:tcMar>
              <w:top w:w="70" w:type="dxa"/>
              <w:left w:w="120" w:type="dxa"/>
              <w:bottom w:w="70" w:type="dxa"/>
              <w:right w:w="120" w:type="dxa"/>
            </w:tcMar>
            <w:vAlign w:val="center"/>
          </w:tcPr>
          <w:p w14:paraId="0B01E8F8" w14:textId="77777777" w:rsidR="00AB6DC4" w:rsidRDefault="00000000">
            <w:r>
              <w:rPr>
                <w:sz w:val="20"/>
                <w:szCs w:val="20"/>
              </w:rPr>
              <w:t>Mailed check</w:t>
            </w:r>
          </w:p>
        </w:tc>
        <w:tc>
          <w:tcPr>
            <w:tcW w:w="2726" w:type="dxa"/>
            <w:tcBorders>
              <w:top w:val="single" w:sz="4" w:space="0" w:color="C9D6E6"/>
              <w:left w:val="single" w:sz="4" w:space="0" w:color="C9D6E6"/>
              <w:bottom w:val="single" w:sz="4" w:space="0" w:color="C9D6E6"/>
              <w:right w:val="single" w:sz="4" w:space="0" w:color="C9D6E6"/>
            </w:tcBorders>
            <w:shd w:val="clear" w:color="auto" w:fill="FFFFFF"/>
            <w:tcMar>
              <w:top w:w="70" w:type="dxa"/>
              <w:left w:w="120" w:type="dxa"/>
              <w:bottom w:w="70" w:type="dxa"/>
              <w:right w:w="120" w:type="dxa"/>
            </w:tcMar>
            <w:vAlign w:val="center"/>
          </w:tcPr>
          <w:p w14:paraId="6353293D" w14:textId="77777777" w:rsidR="00AB6DC4" w:rsidRDefault="00000000">
            <w:pPr>
              <w:jc w:val="right"/>
            </w:pPr>
            <w:r>
              <w:rPr>
                <w:sz w:val="20"/>
                <w:szCs w:val="20"/>
              </w:rPr>
              <w:t>19.11%</w:t>
            </w:r>
          </w:p>
        </w:tc>
      </w:tr>
      <w:tr w:rsidR="00AB6DC4" w14:paraId="57BBC395" w14:textId="77777777">
        <w:trPr>
          <w:cantSplit/>
        </w:trPr>
        <w:tc>
          <w:tcPr>
            <w:tcW w:w="3000" w:type="dxa"/>
            <w:tcBorders>
              <w:top w:val="single" w:sz="4" w:space="0" w:color="C9D6E6"/>
              <w:left w:val="single" w:sz="4" w:space="0" w:color="C9D6E6"/>
              <w:bottom w:val="single" w:sz="4" w:space="0" w:color="C9D6E6"/>
              <w:right w:val="single" w:sz="4" w:space="0" w:color="C9D6E6"/>
            </w:tcBorders>
            <w:shd w:val="clear" w:color="auto" w:fill="FDE9EF"/>
            <w:tcMar>
              <w:top w:w="70" w:type="dxa"/>
              <w:left w:w="120" w:type="dxa"/>
              <w:bottom w:w="70" w:type="dxa"/>
              <w:right w:w="120" w:type="dxa"/>
            </w:tcMar>
            <w:vAlign w:val="center"/>
          </w:tcPr>
          <w:p w14:paraId="32421B26" w14:textId="77777777" w:rsidR="00AB6DC4" w:rsidRDefault="00000000">
            <w:r>
              <w:rPr>
                <w:sz w:val="20"/>
                <w:szCs w:val="20"/>
              </w:rPr>
              <w:t>Online security</w:t>
            </w:r>
          </w:p>
        </w:tc>
        <w:tc>
          <w:tcPr>
            <w:tcW w:w="3300" w:type="dxa"/>
            <w:tcBorders>
              <w:top w:val="single" w:sz="4" w:space="0" w:color="C9D6E6"/>
              <w:left w:val="single" w:sz="4" w:space="0" w:color="C9D6E6"/>
              <w:bottom w:val="single" w:sz="4" w:space="0" w:color="C9D6E6"/>
              <w:right w:val="single" w:sz="4" w:space="0" w:color="C9D6E6"/>
            </w:tcBorders>
            <w:shd w:val="clear" w:color="auto" w:fill="FDE9EF"/>
            <w:tcMar>
              <w:top w:w="70" w:type="dxa"/>
              <w:left w:w="120" w:type="dxa"/>
              <w:bottom w:w="70" w:type="dxa"/>
              <w:right w:w="120" w:type="dxa"/>
            </w:tcMar>
            <w:vAlign w:val="center"/>
          </w:tcPr>
          <w:p w14:paraId="2D186164" w14:textId="77777777" w:rsidR="00AB6DC4" w:rsidRDefault="00000000">
            <w:r>
              <w:rPr>
                <w:sz w:val="20"/>
                <w:szCs w:val="20"/>
              </w:rPr>
              <w:t>Without online security</w:t>
            </w:r>
          </w:p>
        </w:tc>
        <w:tc>
          <w:tcPr>
            <w:tcW w:w="2726" w:type="dxa"/>
            <w:tcBorders>
              <w:top w:val="single" w:sz="4" w:space="0" w:color="C9D6E6"/>
              <w:left w:val="single" w:sz="4" w:space="0" w:color="C9D6E6"/>
              <w:bottom w:val="single" w:sz="4" w:space="0" w:color="C9D6E6"/>
              <w:right w:val="single" w:sz="4" w:space="0" w:color="C9D6E6"/>
            </w:tcBorders>
            <w:shd w:val="clear" w:color="auto" w:fill="FDE9EF"/>
            <w:tcMar>
              <w:top w:w="70" w:type="dxa"/>
              <w:left w:w="120" w:type="dxa"/>
              <w:bottom w:w="70" w:type="dxa"/>
              <w:right w:w="120" w:type="dxa"/>
            </w:tcMar>
            <w:vAlign w:val="center"/>
          </w:tcPr>
          <w:p w14:paraId="1B5CF1FA" w14:textId="77777777" w:rsidR="00AB6DC4" w:rsidRDefault="00000000">
            <w:pPr>
              <w:jc w:val="right"/>
            </w:pPr>
            <w:r>
              <w:rPr>
                <w:sz w:val="20"/>
                <w:szCs w:val="20"/>
              </w:rPr>
              <w:t>41.77%</w:t>
            </w:r>
          </w:p>
        </w:tc>
      </w:tr>
      <w:tr w:rsidR="00AB6DC4" w14:paraId="35DE8043" w14:textId="77777777">
        <w:trPr>
          <w:cantSplit/>
        </w:trPr>
        <w:tc>
          <w:tcPr>
            <w:tcW w:w="3000" w:type="dxa"/>
            <w:tcBorders>
              <w:top w:val="single" w:sz="4" w:space="0" w:color="C9D6E6"/>
              <w:left w:val="single" w:sz="4" w:space="0" w:color="C9D6E6"/>
              <w:bottom w:val="single" w:sz="4" w:space="0" w:color="C9D6E6"/>
              <w:right w:val="single" w:sz="4" w:space="0" w:color="C9D6E6"/>
            </w:tcBorders>
            <w:shd w:val="clear" w:color="auto" w:fill="FFFFFF"/>
            <w:tcMar>
              <w:top w:w="70" w:type="dxa"/>
              <w:left w:w="120" w:type="dxa"/>
              <w:bottom w:w="70" w:type="dxa"/>
              <w:right w:w="120" w:type="dxa"/>
            </w:tcMar>
            <w:vAlign w:val="center"/>
          </w:tcPr>
          <w:p w14:paraId="594B1B12" w14:textId="77777777" w:rsidR="00AB6DC4" w:rsidRDefault="00000000">
            <w:r>
              <w:rPr>
                <w:sz w:val="20"/>
                <w:szCs w:val="20"/>
              </w:rPr>
              <w:t>Online security</w:t>
            </w:r>
          </w:p>
        </w:tc>
        <w:tc>
          <w:tcPr>
            <w:tcW w:w="3300" w:type="dxa"/>
            <w:tcBorders>
              <w:top w:val="single" w:sz="4" w:space="0" w:color="C9D6E6"/>
              <w:left w:val="single" w:sz="4" w:space="0" w:color="C9D6E6"/>
              <w:bottom w:val="single" w:sz="4" w:space="0" w:color="C9D6E6"/>
              <w:right w:val="single" w:sz="4" w:space="0" w:color="C9D6E6"/>
            </w:tcBorders>
            <w:shd w:val="clear" w:color="auto" w:fill="FFFFFF"/>
            <w:tcMar>
              <w:top w:w="70" w:type="dxa"/>
              <w:left w:w="120" w:type="dxa"/>
              <w:bottom w:w="70" w:type="dxa"/>
              <w:right w:w="120" w:type="dxa"/>
            </w:tcMar>
            <w:vAlign w:val="center"/>
          </w:tcPr>
          <w:p w14:paraId="315A699E" w14:textId="77777777" w:rsidR="00AB6DC4" w:rsidRDefault="00000000">
            <w:r>
              <w:rPr>
                <w:sz w:val="20"/>
                <w:szCs w:val="20"/>
              </w:rPr>
              <w:t>With online security</w:t>
            </w:r>
          </w:p>
        </w:tc>
        <w:tc>
          <w:tcPr>
            <w:tcW w:w="2726" w:type="dxa"/>
            <w:tcBorders>
              <w:top w:val="single" w:sz="4" w:space="0" w:color="C9D6E6"/>
              <w:left w:val="single" w:sz="4" w:space="0" w:color="C9D6E6"/>
              <w:bottom w:val="single" w:sz="4" w:space="0" w:color="C9D6E6"/>
              <w:right w:val="single" w:sz="4" w:space="0" w:color="C9D6E6"/>
            </w:tcBorders>
            <w:shd w:val="clear" w:color="auto" w:fill="FFFFFF"/>
            <w:tcMar>
              <w:top w:w="70" w:type="dxa"/>
              <w:left w:w="120" w:type="dxa"/>
              <w:bottom w:w="70" w:type="dxa"/>
              <w:right w:w="120" w:type="dxa"/>
            </w:tcMar>
            <w:vAlign w:val="center"/>
          </w:tcPr>
          <w:p w14:paraId="74929156" w14:textId="77777777" w:rsidR="00AB6DC4" w:rsidRDefault="00000000">
            <w:pPr>
              <w:jc w:val="right"/>
            </w:pPr>
            <w:r>
              <w:rPr>
                <w:sz w:val="20"/>
                <w:szCs w:val="20"/>
              </w:rPr>
              <w:t>14.61%</w:t>
            </w:r>
          </w:p>
        </w:tc>
      </w:tr>
      <w:tr w:rsidR="00AB6DC4" w14:paraId="09FCB245" w14:textId="77777777">
        <w:trPr>
          <w:cantSplit/>
        </w:trPr>
        <w:tc>
          <w:tcPr>
            <w:tcW w:w="3000" w:type="dxa"/>
            <w:tcBorders>
              <w:top w:val="single" w:sz="4" w:space="0" w:color="C9D6E6"/>
              <w:left w:val="single" w:sz="4" w:space="0" w:color="C9D6E6"/>
              <w:bottom w:val="single" w:sz="4" w:space="0" w:color="C9D6E6"/>
              <w:right w:val="single" w:sz="4" w:space="0" w:color="C9D6E6"/>
            </w:tcBorders>
            <w:shd w:val="clear" w:color="auto" w:fill="FDE9EF"/>
            <w:tcMar>
              <w:top w:w="70" w:type="dxa"/>
              <w:left w:w="120" w:type="dxa"/>
              <w:bottom w:w="70" w:type="dxa"/>
              <w:right w:w="120" w:type="dxa"/>
            </w:tcMar>
            <w:vAlign w:val="center"/>
          </w:tcPr>
          <w:p w14:paraId="33EB5319" w14:textId="77777777" w:rsidR="00AB6DC4" w:rsidRDefault="00000000">
            <w:r>
              <w:rPr>
                <w:sz w:val="20"/>
                <w:szCs w:val="20"/>
              </w:rPr>
              <w:t>Tech support</w:t>
            </w:r>
          </w:p>
        </w:tc>
        <w:tc>
          <w:tcPr>
            <w:tcW w:w="3300" w:type="dxa"/>
            <w:tcBorders>
              <w:top w:val="single" w:sz="4" w:space="0" w:color="C9D6E6"/>
              <w:left w:val="single" w:sz="4" w:space="0" w:color="C9D6E6"/>
              <w:bottom w:val="single" w:sz="4" w:space="0" w:color="C9D6E6"/>
              <w:right w:val="single" w:sz="4" w:space="0" w:color="C9D6E6"/>
            </w:tcBorders>
            <w:shd w:val="clear" w:color="auto" w:fill="FDE9EF"/>
            <w:tcMar>
              <w:top w:w="70" w:type="dxa"/>
              <w:left w:w="120" w:type="dxa"/>
              <w:bottom w:w="70" w:type="dxa"/>
              <w:right w:w="120" w:type="dxa"/>
            </w:tcMar>
            <w:vAlign w:val="center"/>
          </w:tcPr>
          <w:p w14:paraId="65DFA7DE" w14:textId="77777777" w:rsidR="00AB6DC4" w:rsidRDefault="00000000">
            <w:r>
              <w:rPr>
                <w:sz w:val="20"/>
                <w:szCs w:val="20"/>
              </w:rPr>
              <w:t>Without tech support</w:t>
            </w:r>
          </w:p>
        </w:tc>
        <w:tc>
          <w:tcPr>
            <w:tcW w:w="2726" w:type="dxa"/>
            <w:tcBorders>
              <w:top w:val="single" w:sz="4" w:space="0" w:color="C9D6E6"/>
              <w:left w:val="single" w:sz="4" w:space="0" w:color="C9D6E6"/>
              <w:bottom w:val="single" w:sz="4" w:space="0" w:color="C9D6E6"/>
              <w:right w:val="single" w:sz="4" w:space="0" w:color="C9D6E6"/>
            </w:tcBorders>
            <w:shd w:val="clear" w:color="auto" w:fill="FDE9EF"/>
            <w:tcMar>
              <w:top w:w="70" w:type="dxa"/>
              <w:left w:w="120" w:type="dxa"/>
              <w:bottom w:w="70" w:type="dxa"/>
              <w:right w:w="120" w:type="dxa"/>
            </w:tcMar>
            <w:vAlign w:val="center"/>
          </w:tcPr>
          <w:p w14:paraId="5037DBEB" w14:textId="77777777" w:rsidR="00AB6DC4" w:rsidRDefault="00000000">
            <w:pPr>
              <w:jc w:val="right"/>
            </w:pPr>
            <w:r>
              <w:rPr>
                <w:sz w:val="20"/>
                <w:szCs w:val="20"/>
              </w:rPr>
              <w:t>41.64%</w:t>
            </w:r>
          </w:p>
        </w:tc>
      </w:tr>
      <w:tr w:rsidR="00AB6DC4" w14:paraId="5B3394B6" w14:textId="77777777">
        <w:trPr>
          <w:cantSplit/>
        </w:trPr>
        <w:tc>
          <w:tcPr>
            <w:tcW w:w="3000" w:type="dxa"/>
            <w:tcBorders>
              <w:top w:val="single" w:sz="4" w:space="0" w:color="C9D6E6"/>
              <w:left w:val="single" w:sz="4" w:space="0" w:color="C9D6E6"/>
              <w:bottom w:val="single" w:sz="4" w:space="0" w:color="C9D6E6"/>
              <w:right w:val="single" w:sz="4" w:space="0" w:color="C9D6E6"/>
            </w:tcBorders>
            <w:shd w:val="clear" w:color="auto" w:fill="FFFFFF"/>
            <w:tcMar>
              <w:top w:w="70" w:type="dxa"/>
              <w:left w:w="120" w:type="dxa"/>
              <w:bottom w:w="70" w:type="dxa"/>
              <w:right w:w="120" w:type="dxa"/>
            </w:tcMar>
            <w:vAlign w:val="center"/>
          </w:tcPr>
          <w:p w14:paraId="3E4FCA1F" w14:textId="77777777" w:rsidR="00AB6DC4" w:rsidRDefault="00000000">
            <w:r>
              <w:rPr>
                <w:sz w:val="20"/>
                <w:szCs w:val="20"/>
              </w:rPr>
              <w:t>Tech support</w:t>
            </w:r>
          </w:p>
        </w:tc>
        <w:tc>
          <w:tcPr>
            <w:tcW w:w="3300" w:type="dxa"/>
            <w:tcBorders>
              <w:top w:val="single" w:sz="4" w:space="0" w:color="C9D6E6"/>
              <w:left w:val="single" w:sz="4" w:space="0" w:color="C9D6E6"/>
              <w:bottom w:val="single" w:sz="4" w:space="0" w:color="C9D6E6"/>
              <w:right w:val="single" w:sz="4" w:space="0" w:color="C9D6E6"/>
            </w:tcBorders>
            <w:shd w:val="clear" w:color="auto" w:fill="FFFFFF"/>
            <w:tcMar>
              <w:top w:w="70" w:type="dxa"/>
              <w:left w:w="120" w:type="dxa"/>
              <w:bottom w:w="70" w:type="dxa"/>
              <w:right w:w="120" w:type="dxa"/>
            </w:tcMar>
            <w:vAlign w:val="center"/>
          </w:tcPr>
          <w:p w14:paraId="1609E4ED" w14:textId="77777777" w:rsidR="00AB6DC4" w:rsidRDefault="00000000">
            <w:r>
              <w:rPr>
                <w:sz w:val="20"/>
                <w:szCs w:val="20"/>
              </w:rPr>
              <w:t>With tech support</w:t>
            </w:r>
          </w:p>
        </w:tc>
        <w:tc>
          <w:tcPr>
            <w:tcW w:w="2726" w:type="dxa"/>
            <w:tcBorders>
              <w:top w:val="single" w:sz="4" w:space="0" w:color="C9D6E6"/>
              <w:left w:val="single" w:sz="4" w:space="0" w:color="C9D6E6"/>
              <w:bottom w:val="single" w:sz="4" w:space="0" w:color="C9D6E6"/>
              <w:right w:val="single" w:sz="4" w:space="0" w:color="C9D6E6"/>
            </w:tcBorders>
            <w:shd w:val="clear" w:color="auto" w:fill="FFFFFF"/>
            <w:tcMar>
              <w:top w:w="70" w:type="dxa"/>
              <w:left w:w="120" w:type="dxa"/>
              <w:bottom w:w="70" w:type="dxa"/>
              <w:right w:w="120" w:type="dxa"/>
            </w:tcMar>
            <w:vAlign w:val="center"/>
          </w:tcPr>
          <w:p w14:paraId="14A00D86" w14:textId="77777777" w:rsidR="00AB6DC4" w:rsidRDefault="00000000">
            <w:pPr>
              <w:jc w:val="right"/>
            </w:pPr>
            <w:r>
              <w:rPr>
                <w:sz w:val="20"/>
                <w:szCs w:val="20"/>
              </w:rPr>
              <w:t>15.17%</w:t>
            </w:r>
          </w:p>
        </w:tc>
      </w:tr>
    </w:tbl>
    <w:p w14:paraId="64DCEB72" w14:textId="77777777" w:rsidR="00AB6DC4" w:rsidRDefault="00000000">
      <w:pPr>
        <w:spacing w:before="60" w:after="200"/>
      </w:pPr>
      <w:r>
        <w:rPr>
          <w:i/>
          <w:iCs/>
          <w:color w:val="595959"/>
          <w:sz w:val="18"/>
          <w:szCs w:val="18"/>
        </w:rPr>
        <w:t>Table 9. Churn by additional segments (highest-churn segment in each dimension highlighted).</w:t>
      </w:r>
    </w:p>
    <w:p w14:paraId="0A4172BF" w14:textId="77777777" w:rsidR="00AB6DC4" w:rsidRDefault="00000000">
      <w:pPr>
        <w:spacing w:after="120" w:line="276" w:lineRule="auto"/>
      </w:pPr>
      <w:r>
        <w:t xml:space="preserve">Fiber optic customers churn at 22.93 percentage points more than DSL customers, and electronic-check users churn at 28.58 percentage points more than automatic bank-transfer users (derived). </w:t>
      </w:r>
      <w:r>
        <w:lastRenderedPageBreak/>
        <w:t>These segments overlap and may reflect other customer characteristics, so they should be treated as hypotheses for deeper analysis before any targeting or pricing decision.</w:t>
      </w:r>
    </w:p>
    <w:p w14:paraId="0BDBC64F" w14:textId="77777777" w:rsidR="00AB6DC4" w:rsidRDefault="00000000">
      <w:pPr>
        <w:pStyle w:val="Heading1"/>
        <w:pageBreakBefore/>
      </w:pPr>
      <w:bookmarkStart w:id="17" w:name="h17"/>
      <w:r>
        <w:lastRenderedPageBreak/>
        <w:t>7. Business Interpretation</w:t>
      </w:r>
      <w:bookmarkEnd w:id="17"/>
    </w:p>
    <w:p w14:paraId="09536BAA" w14:textId="77777777" w:rsidR="00AB6DC4" w:rsidRDefault="00000000">
      <w:pPr>
        <w:spacing w:after="120" w:line="276" w:lineRule="auto"/>
      </w:pPr>
      <w:r>
        <w:t>The findings point to where retention effort is most likely to matter. Each interpretation below is framed as an observed association with a suggested follow-up, not a proven cause.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3226"/>
      </w:tblGrid>
      <w:tr w:rsidR="00AB6DC4" w14:paraId="540707D0" w14:textId="77777777">
        <w:trPr>
          <w:cantSplit/>
          <w:tblHeader/>
        </w:trPr>
        <w:tc>
          <w:tcPr>
            <w:tcW w:w="2200" w:type="dxa"/>
            <w:tcBorders>
              <w:top w:val="single" w:sz="4" w:space="0" w:color="C9D6E6"/>
              <w:left w:val="single" w:sz="4" w:space="0" w:color="C9D6E6"/>
              <w:bottom w:val="single" w:sz="4" w:space="0" w:color="C9D6E6"/>
              <w:right w:val="single" w:sz="4" w:space="0" w:color="C9D6E6"/>
            </w:tcBorders>
            <w:shd w:val="clear" w:color="auto" w:fill="1F3864"/>
            <w:tcMar>
              <w:top w:w="70" w:type="dxa"/>
              <w:left w:w="120" w:type="dxa"/>
              <w:bottom w:w="70" w:type="dxa"/>
              <w:right w:w="120" w:type="dxa"/>
            </w:tcMar>
            <w:vAlign w:val="center"/>
          </w:tcPr>
          <w:p w14:paraId="60561D9E" w14:textId="77777777" w:rsidR="00AB6DC4" w:rsidRDefault="00000000">
            <w:r>
              <w:rPr>
                <w:b/>
                <w:bCs/>
                <w:color w:val="FFFFFF"/>
                <w:sz w:val="20"/>
                <w:szCs w:val="20"/>
              </w:rPr>
              <w:t>Finding</w:t>
            </w:r>
          </w:p>
        </w:tc>
        <w:tc>
          <w:tcPr>
            <w:tcW w:w="3600" w:type="dxa"/>
            <w:tcBorders>
              <w:top w:val="single" w:sz="4" w:space="0" w:color="C9D6E6"/>
              <w:left w:val="single" w:sz="4" w:space="0" w:color="C9D6E6"/>
              <w:bottom w:val="single" w:sz="4" w:space="0" w:color="C9D6E6"/>
              <w:right w:val="single" w:sz="4" w:space="0" w:color="C9D6E6"/>
            </w:tcBorders>
            <w:shd w:val="clear" w:color="auto" w:fill="1F3864"/>
            <w:tcMar>
              <w:top w:w="70" w:type="dxa"/>
              <w:left w:w="120" w:type="dxa"/>
              <w:bottom w:w="70" w:type="dxa"/>
              <w:right w:w="120" w:type="dxa"/>
            </w:tcMar>
            <w:vAlign w:val="center"/>
          </w:tcPr>
          <w:p w14:paraId="62BB0D77" w14:textId="77777777" w:rsidR="00AB6DC4" w:rsidRDefault="00000000">
            <w:r>
              <w:rPr>
                <w:b/>
                <w:bCs/>
                <w:color w:val="FFFFFF"/>
                <w:sz w:val="20"/>
                <w:szCs w:val="20"/>
              </w:rPr>
              <w:t>What the data shows</w:t>
            </w:r>
          </w:p>
        </w:tc>
        <w:tc>
          <w:tcPr>
            <w:tcW w:w="3226" w:type="dxa"/>
            <w:tcBorders>
              <w:top w:val="single" w:sz="4" w:space="0" w:color="C9D6E6"/>
              <w:left w:val="single" w:sz="4" w:space="0" w:color="C9D6E6"/>
              <w:bottom w:val="single" w:sz="4" w:space="0" w:color="C9D6E6"/>
              <w:right w:val="single" w:sz="4" w:space="0" w:color="C9D6E6"/>
            </w:tcBorders>
            <w:shd w:val="clear" w:color="auto" w:fill="1F3864"/>
            <w:tcMar>
              <w:top w:w="70" w:type="dxa"/>
              <w:left w:w="120" w:type="dxa"/>
              <w:bottom w:w="70" w:type="dxa"/>
              <w:right w:w="120" w:type="dxa"/>
            </w:tcMar>
            <w:vAlign w:val="center"/>
          </w:tcPr>
          <w:p w14:paraId="3D006A9E" w14:textId="77777777" w:rsidR="00AB6DC4" w:rsidRDefault="00000000">
            <w:r>
              <w:rPr>
                <w:b/>
                <w:bCs/>
                <w:color w:val="FFFFFF"/>
                <w:sz w:val="20"/>
                <w:szCs w:val="20"/>
              </w:rPr>
              <w:t>Suggested interpretation</w:t>
            </w:r>
          </w:p>
        </w:tc>
      </w:tr>
      <w:tr w:rsidR="00AB6DC4" w14:paraId="0EFA687E" w14:textId="77777777">
        <w:trPr>
          <w:cantSplit/>
        </w:trPr>
        <w:tc>
          <w:tcPr>
            <w:tcW w:w="2200" w:type="dxa"/>
            <w:tcBorders>
              <w:top w:val="single" w:sz="4" w:space="0" w:color="C9D6E6"/>
              <w:left w:val="single" w:sz="4" w:space="0" w:color="C9D6E6"/>
              <w:bottom w:val="single" w:sz="4" w:space="0" w:color="C9D6E6"/>
              <w:right w:val="single" w:sz="4" w:space="0" w:color="C9D6E6"/>
            </w:tcBorders>
            <w:shd w:val="clear" w:color="auto" w:fill="FFFFFF"/>
            <w:tcMar>
              <w:top w:w="70" w:type="dxa"/>
              <w:left w:w="120" w:type="dxa"/>
              <w:bottom w:w="70" w:type="dxa"/>
              <w:right w:w="120" w:type="dxa"/>
            </w:tcMar>
            <w:vAlign w:val="center"/>
          </w:tcPr>
          <w:p w14:paraId="2CC39D4A" w14:textId="77777777" w:rsidR="00AB6DC4" w:rsidRDefault="00000000">
            <w:r>
              <w:rPr>
                <w:b/>
                <w:bCs/>
                <w:sz w:val="20"/>
                <w:szCs w:val="20"/>
              </w:rPr>
              <w:t>Contract risk</w:t>
            </w:r>
          </w:p>
        </w:tc>
        <w:tc>
          <w:tcPr>
            <w:tcW w:w="3600" w:type="dxa"/>
            <w:tcBorders>
              <w:top w:val="single" w:sz="4" w:space="0" w:color="C9D6E6"/>
              <w:left w:val="single" w:sz="4" w:space="0" w:color="C9D6E6"/>
              <w:bottom w:val="single" w:sz="4" w:space="0" w:color="C9D6E6"/>
              <w:right w:val="single" w:sz="4" w:space="0" w:color="C9D6E6"/>
            </w:tcBorders>
            <w:shd w:val="clear" w:color="auto" w:fill="FFFFFF"/>
            <w:tcMar>
              <w:top w:w="70" w:type="dxa"/>
              <w:left w:w="120" w:type="dxa"/>
              <w:bottom w:w="70" w:type="dxa"/>
              <w:right w:w="120" w:type="dxa"/>
            </w:tcMar>
            <w:vAlign w:val="center"/>
          </w:tcPr>
          <w:p w14:paraId="6775FAD8" w14:textId="77777777" w:rsidR="00AB6DC4" w:rsidRDefault="00000000">
            <w:r>
              <w:rPr>
                <w:sz w:val="20"/>
                <w:szCs w:val="20"/>
              </w:rPr>
              <w:t>Month-to-month churn is 42.71% versus 2.83% for two-year contracts.</w:t>
            </w:r>
          </w:p>
        </w:tc>
        <w:tc>
          <w:tcPr>
            <w:tcW w:w="3226" w:type="dxa"/>
            <w:tcBorders>
              <w:top w:val="single" w:sz="4" w:space="0" w:color="C9D6E6"/>
              <w:left w:val="single" w:sz="4" w:space="0" w:color="C9D6E6"/>
              <w:bottom w:val="single" w:sz="4" w:space="0" w:color="C9D6E6"/>
              <w:right w:val="single" w:sz="4" w:space="0" w:color="C9D6E6"/>
            </w:tcBorders>
            <w:shd w:val="clear" w:color="auto" w:fill="FFFFFF"/>
            <w:tcMar>
              <w:top w:w="70" w:type="dxa"/>
              <w:left w:w="120" w:type="dxa"/>
              <w:bottom w:w="70" w:type="dxa"/>
              <w:right w:w="120" w:type="dxa"/>
            </w:tcMar>
            <w:vAlign w:val="center"/>
          </w:tcPr>
          <w:p w14:paraId="34251DF1" w14:textId="77777777" w:rsidR="00AB6DC4" w:rsidRDefault="00000000">
            <w:r>
              <w:rPr>
                <w:sz w:val="20"/>
                <w:szCs w:val="20"/>
              </w:rPr>
              <w:t>Month-to-month customers have the lowest commitment and are the largest at-risk pool.</w:t>
            </w:r>
          </w:p>
        </w:tc>
      </w:tr>
      <w:tr w:rsidR="00AB6DC4" w14:paraId="0092FDA2" w14:textId="77777777">
        <w:trPr>
          <w:cantSplit/>
        </w:trPr>
        <w:tc>
          <w:tcPr>
            <w:tcW w:w="2200" w:type="dxa"/>
            <w:tcBorders>
              <w:top w:val="single" w:sz="4" w:space="0" w:color="C9D6E6"/>
              <w:left w:val="single" w:sz="4" w:space="0" w:color="C9D6E6"/>
              <w:bottom w:val="single" w:sz="4" w:space="0" w:color="C9D6E6"/>
              <w:right w:val="single" w:sz="4" w:space="0" w:color="C9D6E6"/>
            </w:tcBorders>
            <w:shd w:val="clear" w:color="auto" w:fill="F3F8FD"/>
            <w:tcMar>
              <w:top w:w="70" w:type="dxa"/>
              <w:left w:w="120" w:type="dxa"/>
              <w:bottom w:w="70" w:type="dxa"/>
              <w:right w:w="120" w:type="dxa"/>
            </w:tcMar>
            <w:vAlign w:val="center"/>
          </w:tcPr>
          <w:p w14:paraId="37875741" w14:textId="77777777" w:rsidR="00AB6DC4" w:rsidRDefault="00000000">
            <w:r>
              <w:rPr>
                <w:b/>
                <w:bCs/>
                <w:sz w:val="20"/>
                <w:szCs w:val="20"/>
              </w:rPr>
              <w:t>Early-tenure risk</w:t>
            </w:r>
          </w:p>
        </w:tc>
        <w:tc>
          <w:tcPr>
            <w:tcW w:w="3600" w:type="dxa"/>
            <w:tcBorders>
              <w:top w:val="single" w:sz="4" w:space="0" w:color="C9D6E6"/>
              <w:left w:val="single" w:sz="4" w:space="0" w:color="C9D6E6"/>
              <w:bottom w:val="single" w:sz="4" w:space="0" w:color="C9D6E6"/>
              <w:right w:val="single" w:sz="4" w:space="0" w:color="C9D6E6"/>
            </w:tcBorders>
            <w:shd w:val="clear" w:color="auto" w:fill="F3F8FD"/>
            <w:tcMar>
              <w:top w:w="70" w:type="dxa"/>
              <w:left w:w="120" w:type="dxa"/>
              <w:bottom w:w="70" w:type="dxa"/>
              <w:right w:w="120" w:type="dxa"/>
            </w:tcMar>
            <w:vAlign w:val="center"/>
          </w:tcPr>
          <w:p w14:paraId="5E2B3C44" w14:textId="77777777" w:rsidR="00AB6DC4" w:rsidRDefault="00000000">
            <w:r>
              <w:rPr>
                <w:sz w:val="20"/>
                <w:szCs w:val="20"/>
              </w:rPr>
              <w:t>Churn is 47.44% in the first 12 months and 9.51% at 49–72 months.</w:t>
            </w:r>
          </w:p>
        </w:tc>
        <w:tc>
          <w:tcPr>
            <w:tcW w:w="3226" w:type="dxa"/>
            <w:tcBorders>
              <w:top w:val="single" w:sz="4" w:space="0" w:color="C9D6E6"/>
              <w:left w:val="single" w:sz="4" w:space="0" w:color="C9D6E6"/>
              <w:bottom w:val="single" w:sz="4" w:space="0" w:color="C9D6E6"/>
              <w:right w:val="single" w:sz="4" w:space="0" w:color="C9D6E6"/>
            </w:tcBorders>
            <w:shd w:val="clear" w:color="auto" w:fill="F3F8FD"/>
            <w:tcMar>
              <w:top w:w="70" w:type="dxa"/>
              <w:left w:w="120" w:type="dxa"/>
              <w:bottom w:w="70" w:type="dxa"/>
              <w:right w:w="120" w:type="dxa"/>
            </w:tcMar>
            <w:vAlign w:val="center"/>
          </w:tcPr>
          <w:p w14:paraId="3BB3ECDF" w14:textId="77777777" w:rsidR="00AB6DC4" w:rsidRDefault="00000000">
            <w:r>
              <w:rPr>
                <w:sz w:val="20"/>
                <w:szCs w:val="20"/>
              </w:rPr>
              <w:t>The first year is a critical window for onboarding and service experience.</w:t>
            </w:r>
          </w:p>
        </w:tc>
      </w:tr>
      <w:tr w:rsidR="00AB6DC4" w14:paraId="1AA4C5F5" w14:textId="77777777">
        <w:trPr>
          <w:cantSplit/>
        </w:trPr>
        <w:tc>
          <w:tcPr>
            <w:tcW w:w="2200" w:type="dxa"/>
            <w:tcBorders>
              <w:top w:val="single" w:sz="4" w:space="0" w:color="C9D6E6"/>
              <w:left w:val="single" w:sz="4" w:space="0" w:color="C9D6E6"/>
              <w:bottom w:val="single" w:sz="4" w:space="0" w:color="C9D6E6"/>
              <w:right w:val="single" w:sz="4" w:space="0" w:color="C9D6E6"/>
            </w:tcBorders>
            <w:shd w:val="clear" w:color="auto" w:fill="FFFFFF"/>
            <w:tcMar>
              <w:top w:w="70" w:type="dxa"/>
              <w:left w:w="120" w:type="dxa"/>
              <w:bottom w:w="70" w:type="dxa"/>
              <w:right w:w="120" w:type="dxa"/>
            </w:tcMar>
            <w:vAlign w:val="center"/>
          </w:tcPr>
          <w:p w14:paraId="2218E26E" w14:textId="77777777" w:rsidR="00AB6DC4" w:rsidRDefault="00000000">
            <w:r>
              <w:rPr>
                <w:b/>
                <w:bCs/>
                <w:sz w:val="20"/>
                <w:szCs w:val="20"/>
              </w:rPr>
              <w:t>Charge level</w:t>
            </w:r>
          </w:p>
        </w:tc>
        <w:tc>
          <w:tcPr>
            <w:tcW w:w="3600" w:type="dxa"/>
            <w:tcBorders>
              <w:top w:val="single" w:sz="4" w:space="0" w:color="C9D6E6"/>
              <w:left w:val="single" w:sz="4" w:space="0" w:color="C9D6E6"/>
              <w:bottom w:val="single" w:sz="4" w:space="0" w:color="C9D6E6"/>
              <w:right w:val="single" w:sz="4" w:space="0" w:color="C9D6E6"/>
            </w:tcBorders>
            <w:shd w:val="clear" w:color="auto" w:fill="FFFFFF"/>
            <w:tcMar>
              <w:top w:w="70" w:type="dxa"/>
              <w:left w:w="120" w:type="dxa"/>
              <w:bottom w:w="70" w:type="dxa"/>
              <w:right w:w="120" w:type="dxa"/>
            </w:tcMar>
            <w:vAlign w:val="center"/>
          </w:tcPr>
          <w:p w14:paraId="2FB360BE" w14:textId="77777777" w:rsidR="00AB6DC4" w:rsidRDefault="00000000">
            <w:r>
              <w:rPr>
                <w:sz w:val="20"/>
                <w:szCs w:val="20"/>
              </w:rPr>
              <w:t>Churned customers average 74.44 versus 61.27 for retained.</w:t>
            </w:r>
          </w:p>
        </w:tc>
        <w:tc>
          <w:tcPr>
            <w:tcW w:w="3226" w:type="dxa"/>
            <w:tcBorders>
              <w:top w:val="single" w:sz="4" w:space="0" w:color="C9D6E6"/>
              <w:left w:val="single" w:sz="4" w:space="0" w:color="C9D6E6"/>
              <w:bottom w:val="single" w:sz="4" w:space="0" w:color="C9D6E6"/>
              <w:right w:val="single" w:sz="4" w:space="0" w:color="C9D6E6"/>
            </w:tcBorders>
            <w:shd w:val="clear" w:color="auto" w:fill="FFFFFF"/>
            <w:tcMar>
              <w:top w:w="70" w:type="dxa"/>
              <w:left w:w="120" w:type="dxa"/>
              <w:bottom w:w="70" w:type="dxa"/>
              <w:right w:w="120" w:type="dxa"/>
            </w:tcMar>
            <w:vAlign w:val="center"/>
          </w:tcPr>
          <w:p w14:paraId="0F9322A5" w14:textId="77777777" w:rsidR="00AB6DC4" w:rsidRDefault="00000000">
            <w:r>
              <w:rPr>
                <w:sz w:val="20"/>
                <w:szCs w:val="20"/>
              </w:rPr>
              <w:t>Value perception, service mix, or billing may deserve review; not proof of price sensitivity.</w:t>
            </w:r>
          </w:p>
        </w:tc>
      </w:tr>
      <w:tr w:rsidR="00AB6DC4" w14:paraId="56B5526C" w14:textId="77777777">
        <w:trPr>
          <w:cantSplit/>
        </w:trPr>
        <w:tc>
          <w:tcPr>
            <w:tcW w:w="2200" w:type="dxa"/>
            <w:tcBorders>
              <w:top w:val="single" w:sz="4" w:space="0" w:color="C9D6E6"/>
              <w:left w:val="single" w:sz="4" w:space="0" w:color="C9D6E6"/>
              <w:bottom w:val="single" w:sz="4" w:space="0" w:color="C9D6E6"/>
              <w:right w:val="single" w:sz="4" w:space="0" w:color="C9D6E6"/>
            </w:tcBorders>
            <w:shd w:val="clear" w:color="auto" w:fill="F3F8FD"/>
            <w:tcMar>
              <w:top w:w="70" w:type="dxa"/>
              <w:left w:w="120" w:type="dxa"/>
              <w:bottom w:w="70" w:type="dxa"/>
              <w:right w:w="120" w:type="dxa"/>
            </w:tcMar>
            <w:vAlign w:val="center"/>
          </w:tcPr>
          <w:p w14:paraId="3E4B1811" w14:textId="77777777" w:rsidR="00AB6DC4" w:rsidRDefault="00000000">
            <w:r>
              <w:rPr>
                <w:b/>
                <w:bCs/>
                <w:sz w:val="20"/>
                <w:szCs w:val="20"/>
              </w:rPr>
              <w:t>Service and payment</w:t>
            </w:r>
          </w:p>
        </w:tc>
        <w:tc>
          <w:tcPr>
            <w:tcW w:w="3600" w:type="dxa"/>
            <w:tcBorders>
              <w:top w:val="single" w:sz="4" w:space="0" w:color="C9D6E6"/>
              <w:left w:val="single" w:sz="4" w:space="0" w:color="C9D6E6"/>
              <w:bottom w:val="single" w:sz="4" w:space="0" w:color="C9D6E6"/>
              <w:right w:val="single" w:sz="4" w:space="0" w:color="C9D6E6"/>
            </w:tcBorders>
            <w:shd w:val="clear" w:color="auto" w:fill="F3F8FD"/>
            <w:tcMar>
              <w:top w:w="70" w:type="dxa"/>
              <w:left w:w="120" w:type="dxa"/>
              <w:bottom w:w="70" w:type="dxa"/>
              <w:right w:w="120" w:type="dxa"/>
            </w:tcMar>
            <w:vAlign w:val="center"/>
          </w:tcPr>
          <w:p w14:paraId="61E70E04" w14:textId="77777777" w:rsidR="00AB6DC4" w:rsidRDefault="00000000">
            <w:r>
              <w:rPr>
                <w:sz w:val="20"/>
                <w:szCs w:val="20"/>
              </w:rPr>
              <w:t xml:space="preserve">Elevated churn for </w:t>
            </w:r>
            <w:proofErr w:type="spellStart"/>
            <w:r>
              <w:rPr>
                <w:sz w:val="20"/>
                <w:szCs w:val="20"/>
              </w:rPr>
              <w:t>fiber</w:t>
            </w:r>
            <w:proofErr w:type="spellEnd"/>
            <w:r>
              <w:rPr>
                <w:sz w:val="20"/>
                <w:szCs w:val="20"/>
              </w:rPr>
              <w:t xml:space="preserve"> optic, electronic check, no online security, no tech support.</w:t>
            </w:r>
          </w:p>
        </w:tc>
        <w:tc>
          <w:tcPr>
            <w:tcW w:w="3226" w:type="dxa"/>
            <w:tcBorders>
              <w:top w:val="single" w:sz="4" w:space="0" w:color="C9D6E6"/>
              <w:left w:val="single" w:sz="4" w:space="0" w:color="C9D6E6"/>
              <w:bottom w:val="single" w:sz="4" w:space="0" w:color="C9D6E6"/>
              <w:right w:val="single" w:sz="4" w:space="0" w:color="C9D6E6"/>
            </w:tcBorders>
            <w:shd w:val="clear" w:color="auto" w:fill="F3F8FD"/>
            <w:tcMar>
              <w:top w:w="70" w:type="dxa"/>
              <w:left w:w="120" w:type="dxa"/>
              <w:bottom w:w="70" w:type="dxa"/>
              <w:right w:w="120" w:type="dxa"/>
            </w:tcMar>
            <w:vAlign w:val="center"/>
          </w:tcPr>
          <w:p w14:paraId="78119CB2" w14:textId="77777777" w:rsidR="00AB6DC4" w:rsidRDefault="00000000">
            <w:r>
              <w:rPr>
                <w:sz w:val="20"/>
                <w:szCs w:val="20"/>
              </w:rPr>
              <w:t>Candidate areas to examine for service quality, billing clarity, and support gaps.</w:t>
            </w:r>
          </w:p>
        </w:tc>
      </w:tr>
    </w:tbl>
    <w:p w14:paraId="0527D985" w14:textId="77777777" w:rsidR="00AB6DC4" w:rsidRDefault="00000000">
      <w:pPr>
        <w:spacing w:before="60" w:after="200"/>
      </w:pPr>
      <w:r>
        <w:rPr>
          <w:i/>
          <w:iCs/>
          <w:color w:val="595959"/>
          <w:sz w:val="18"/>
          <w:szCs w:val="18"/>
        </w:rPr>
        <w:t>Table 10. Business interpretation summary.</w:t>
      </w:r>
    </w:p>
    <w:p w14:paraId="64D08673" w14:textId="77777777" w:rsidR="00AB6DC4" w:rsidRDefault="00000000">
      <w:pPr>
        <w:pStyle w:val="Heading2"/>
      </w:pPr>
      <w:bookmarkStart w:id="18" w:name="h18"/>
      <w:r>
        <w:t>7.1 Association versus causation</w:t>
      </w:r>
      <w:bookmarkEnd w:id="18"/>
    </w:p>
    <w:p w14:paraId="2EC2E064" w14:textId="77777777" w:rsidR="00AB6DC4" w:rsidRDefault="00000000">
      <w:pPr>
        <w:spacing w:after="120" w:line="276" w:lineRule="auto"/>
      </w:pPr>
      <w:r>
        <w:t xml:space="preserve">This is a descriptive analysis of observational data. Customers are not randomly assigned to contract types, payment methods, or services, so differences between segments may be explained by other factors. For example, customers who already plan to stay may choose annual contracts, and segments such as </w:t>
      </w:r>
      <w:proofErr w:type="spellStart"/>
      <w:r>
        <w:t>fiber</w:t>
      </w:r>
      <w:proofErr w:type="spellEnd"/>
      <w:r>
        <w:t xml:space="preserve"> optic users may differ in price, usage, or location. Establishing causes would require controlled tests or more rigorous statistical </w:t>
      </w:r>
      <w:proofErr w:type="spellStart"/>
      <w:r>
        <w:t>modeling</w:t>
      </w:r>
      <w:proofErr w:type="spellEnd"/>
      <w:r>
        <w:t>.</w:t>
      </w:r>
    </w:p>
    <w:p w14:paraId="0527246A" w14:textId="77777777" w:rsidR="00AB6DC4" w:rsidRDefault="00000000">
      <w:pPr>
        <w:pBdr>
          <w:left w:val="single" w:sz="24" w:space="8" w:color="D6537F"/>
        </w:pBdr>
        <w:shd w:val="clear" w:color="auto" w:fill="FDE9EF"/>
        <w:spacing w:before="120" w:after="200" w:line="270" w:lineRule="auto"/>
        <w:ind w:left="140" w:right="140"/>
      </w:pPr>
      <w:r>
        <w:rPr>
          <w:b/>
          <w:bCs/>
          <w:color w:val="1F3864"/>
        </w:rPr>
        <w:t xml:space="preserve">Reading guide: </w:t>
      </w:r>
      <w:r>
        <w:t>Statements such as “higher churn among X” describe what was observed. They do not mean that X independently causes churn.</w:t>
      </w:r>
    </w:p>
    <w:p w14:paraId="49AC9FF1" w14:textId="77777777" w:rsidR="00AB6DC4" w:rsidRDefault="00000000">
      <w:pPr>
        <w:pStyle w:val="Heading1"/>
      </w:pPr>
      <w:bookmarkStart w:id="19" w:name="h19"/>
      <w:r>
        <w:t>8. Recommendations</w:t>
      </w:r>
      <w:bookmarkEnd w:id="19"/>
    </w:p>
    <w:p w14:paraId="7E80CB8B" w14:textId="77777777" w:rsidR="00AB6DC4" w:rsidRDefault="00000000">
      <w:pPr>
        <w:spacing w:after="120" w:line="276" w:lineRule="auto"/>
      </w:pPr>
      <w:r>
        <w:t>Recommendations are prioritized by the size of the observed churn gap. Each should be treated as a hypothesis to test and measure.</w:t>
      </w:r>
    </w:p>
    <w:p w14:paraId="2E0DA263" w14:textId="77777777" w:rsidR="00AB6DC4" w:rsidRDefault="00000000">
      <w:pPr>
        <w:pStyle w:val="Heading2"/>
      </w:pPr>
      <w:bookmarkStart w:id="20" w:name="h20"/>
      <w:r>
        <w:t>8.1 Early-stage onboarding and retention campaigns</w:t>
      </w:r>
      <w:bookmarkEnd w:id="20"/>
    </w:p>
    <w:p w14:paraId="5C1B726D" w14:textId="77777777" w:rsidR="00AB6DC4" w:rsidRDefault="00000000">
      <w:pPr>
        <w:spacing w:after="120" w:line="276" w:lineRule="auto"/>
      </w:pPr>
      <w:r>
        <w:t>Design an early-retention journey for customers in their first 12 months: onboarding check-ins, proactive issue resolution, service-use guidance, and satisfaction reviews. Define a baseline first-year churn rate and measure the change after launch.</w:t>
      </w:r>
    </w:p>
    <w:p w14:paraId="24019DDC" w14:textId="77777777" w:rsidR="00AB6DC4" w:rsidRDefault="00000000">
      <w:pPr>
        <w:pStyle w:val="Heading2"/>
      </w:pPr>
      <w:bookmarkStart w:id="21" w:name="h21"/>
      <w:r>
        <w:t>8.2 Test longer-term contract incentives</w:t>
      </w:r>
      <w:bookmarkEnd w:id="21"/>
    </w:p>
    <w:p w14:paraId="6D11C7BA" w14:textId="77777777" w:rsidR="00AB6DC4" w:rsidRDefault="00000000">
      <w:pPr>
        <w:spacing w:after="120" w:line="276" w:lineRule="auto"/>
      </w:pPr>
      <w:r>
        <w:t>Offer selected month-to-month customers clear, optional benefits for moving to longer contracts. Use a controlled test with a comparison group to confirm that the offer improves retention without eroding margin.</w:t>
      </w:r>
    </w:p>
    <w:p w14:paraId="5E281D5C" w14:textId="77777777" w:rsidR="00AB6DC4" w:rsidRDefault="00000000">
      <w:pPr>
        <w:pStyle w:val="Heading2"/>
      </w:pPr>
      <w:bookmarkStart w:id="22" w:name="h22"/>
      <w:r>
        <w:lastRenderedPageBreak/>
        <w:t>8.3 Investigate billing, service quality, and support</w:t>
      </w:r>
      <w:bookmarkEnd w:id="22"/>
    </w:p>
    <w:p w14:paraId="43FB36C0" w14:textId="77777777" w:rsidR="00AB6DC4" w:rsidRDefault="00000000">
      <w:pPr>
        <w:spacing w:after="120" w:line="276" w:lineRule="auto"/>
      </w:pPr>
      <w:r>
        <w:t xml:space="preserve">Review billing clarity, complaints, service quality, and support interactions for higher-charge customers and for the </w:t>
      </w:r>
      <w:proofErr w:type="spellStart"/>
      <w:r>
        <w:t>fiber</w:t>
      </w:r>
      <w:proofErr w:type="spellEnd"/>
      <w:r>
        <w:t xml:space="preserve"> optic, electronic-check, no-online-security, and no-tech-support segments. Avoid blanket discounts until the drivers of churn are better understood.</w:t>
      </w:r>
    </w:p>
    <w:p w14:paraId="177045E9" w14:textId="77777777" w:rsidR="00AB6DC4" w:rsidRDefault="00000000">
      <w:pPr>
        <w:pStyle w:val="Heading2"/>
      </w:pPr>
      <w:bookmarkStart w:id="23" w:name="h23"/>
      <w:r>
        <w:t>8.4 Monitor outcomes</w:t>
      </w:r>
      <w:bookmarkEnd w:id="23"/>
    </w:p>
    <w:p w14:paraId="4936AD2C" w14:textId="77777777" w:rsidR="00AB6DC4" w:rsidRDefault="00000000">
      <w:pPr>
        <w:spacing w:after="120" w:line="276" w:lineRule="auto"/>
      </w:pPr>
      <w:r>
        <w:t>Track churn rate, retention rate, first-year churn, contract mix, and monthly charges of churned customers over time, together with the outcomes of each intervention.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00"/>
        <w:gridCol w:w="3326"/>
      </w:tblGrid>
      <w:tr w:rsidR="00AB6DC4" w14:paraId="1578E06A" w14:textId="77777777">
        <w:trPr>
          <w:cantSplit/>
          <w:tblHeader/>
        </w:trPr>
        <w:tc>
          <w:tcPr>
            <w:tcW w:w="2400" w:type="dxa"/>
            <w:tcBorders>
              <w:top w:val="single" w:sz="4" w:space="0" w:color="C9D6E6"/>
              <w:left w:val="single" w:sz="4" w:space="0" w:color="C9D6E6"/>
              <w:bottom w:val="single" w:sz="4" w:space="0" w:color="C9D6E6"/>
              <w:right w:val="single" w:sz="4" w:space="0" w:color="C9D6E6"/>
            </w:tcBorders>
            <w:shd w:val="clear" w:color="auto" w:fill="1F3864"/>
            <w:tcMar>
              <w:top w:w="70" w:type="dxa"/>
              <w:left w:w="120" w:type="dxa"/>
              <w:bottom w:w="70" w:type="dxa"/>
              <w:right w:w="120" w:type="dxa"/>
            </w:tcMar>
            <w:vAlign w:val="center"/>
          </w:tcPr>
          <w:p w14:paraId="519E4D4C" w14:textId="77777777" w:rsidR="00AB6DC4" w:rsidRDefault="00000000">
            <w:pPr>
              <w:jc w:val="center"/>
            </w:pPr>
            <w:r>
              <w:rPr>
                <w:b/>
                <w:bCs/>
                <w:color w:val="FFFFFF"/>
                <w:sz w:val="20"/>
                <w:szCs w:val="20"/>
              </w:rPr>
              <w:t>Priority</w:t>
            </w:r>
          </w:p>
        </w:tc>
        <w:tc>
          <w:tcPr>
            <w:tcW w:w="3300" w:type="dxa"/>
            <w:tcBorders>
              <w:top w:val="single" w:sz="4" w:space="0" w:color="C9D6E6"/>
              <w:left w:val="single" w:sz="4" w:space="0" w:color="C9D6E6"/>
              <w:bottom w:val="single" w:sz="4" w:space="0" w:color="C9D6E6"/>
              <w:right w:val="single" w:sz="4" w:space="0" w:color="C9D6E6"/>
            </w:tcBorders>
            <w:shd w:val="clear" w:color="auto" w:fill="1F3864"/>
            <w:tcMar>
              <w:top w:w="70" w:type="dxa"/>
              <w:left w:w="120" w:type="dxa"/>
              <w:bottom w:w="70" w:type="dxa"/>
              <w:right w:w="120" w:type="dxa"/>
            </w:tcMar>
            <w:vAlign w:val="center"/>
          </w:tcPr>
          <w:p w14:paraId="41082E0F" w14:textId="77777777" w:rsidR="00AB6DC4" w:rsidRDefault="00000000">
            <w:r>
              <w:rPr>
                <w:b/>
                <w:bCs/>
                <w:color w:val="FFFFFF"/>
                <w:sz w:val="20"/>
                <w:szCs w:val="20"/>
              </w:rPr>
              <w:t>Action</w:t>
            </w:r>
          </w:p>
        </w:tc>
        <w:tc>
          <w:tcPr>
            <w:tcW w:w="3326" w:type="dxa"/>
            <w:tcBorders>
              <w:top w:val="single" w:sz="4" w:space="0" w:color="C9D6E6"/>
              <w:left w:val="single" w:sz="4" w:space="0" w:color="C9D6E6"/>
              <w:bottom w:val="single" w:sz="4" w:space="0" w:color="C9D6E6"/>
              <w:right w:val="single" w:sz="4" w:space="0" w:color="C9D6E6"/>
            </w:tcBorders>
            <w:shd w:val="clear" w:color="auto" w:fill="1F3864"/>
            <w:tcMar>
              <w:top w:w="70" w:type="dxa"/>
              <w:left w:w="120" w:type="dxa"/>
              <w:bottom w:w="70" w:type="dxa"/>
              <w:right w:w="120" w:type="dxa"/>
            </w:tcMar>
            <w:vAlign w:val="center"/>
          </w:tcPr>
          <w:p w14:paraId="71DBB9EE" w14:textId="77777777" w:rsidR="00AB6DC4" w:rsidRDefault="00000000">
            <w:r>
              <w:rPr>
                <w:b/>
                <w:bCs/>
                <w:color w:val="FFFFFF"/>
                <w:sz w:val="20"/>
                <w:szCs w:val="20"/>
              </w:rPr>
              <w:t>Success measure</w:t>
            </w:r>
          </w:p>
        </w:tc>
      </w:tr>
      <w:tr w:rsidR="00AB6DC4" w14:paraId="49D50874" w14:textId="77777777">
        <w:trPr>
          <w:cantSplit/>
        </w:trPr>
        <w:tc>
          <w:tcPr>
            <w:tcW w:w="2400" w:type="dxa"/>
            <w:tcBorders>
              <w:top w:val="single" w:sz="4" w:space="0" w:color="C9D6E6"/>
              <w:left w:val="single" w:sz="4" w:space="0" w:color="C9D6E6"/>
              <w:bottom w:val="single" w:sz="4" w:space="0" w:color="C9D6E6"/>
              <w:right w:val="single" w:sz="4" w:space="0" w:color="C9D6E6"/>
            </w:tcBorders>
            <w:shd w:val="clear" w:color="auto" w:fill="FFFFFF"/>
            <w:tcMar>
              <w:top w:w="70" w:type="dxa"/>
              <w:left w:w="120" w:type="dxa"/>
              <w:bottom w:w="70" w:type="dxa"/>
              <w:right w:w="120" w:type="dxa"/>
            </w:tcMar>
            <w:vAlign w:val="center"/>
          </w:tcPr>
          <w:p w14:paraId="59460D36" w14:textId="77777777" w:rsidR="00AB6DC4" w:rsidRDefault="00000000">
            <w:pPr>
              <w:jc w:val="center"/>
            </w:pPr>
            <w:r>
              <w:rPr>
                <w:sz w:val="20"/>
                <w:szCs w:val="20"/>
              </w:rPr>
              <w:t>1</w:t>
            </w:r>
          </w:p>
        </w:tc>
        <w:tc>
          <w:tcPr>
            <w:tcW w:w="3300" w:type="dxa"/>
            <w:tcBorders>
              <w:top w:val="single" w:sz="4" w:space="0" w:color="C9D6E6"/>
              <w:left w:val="single" w:sz="4" w:space="0" w:color="C9D6E6"/>
              <w:bottom w:val="single" w:sz="4" w:space="0" w:color="C9D6E6"/>
              <w:right w:val="single" w:sz="4" w:space="0" w:color="C9D6E6"/>
            </w:tcBorders>
            <w:shd w:val="clear" w:color="auto" w:fill="FFFFFF"/>
            <w:tcMar>
              <w:top w:w="70" w:type="dxa"/>
              <w:left w:w="120" w:type="dxa"/>
              <w:bottom w:w="70" w:type="dxa"/>
              <w:right w:w="120" w:type="dxa"/>
            </w:tcMar>
            <w:vAlign w:val="center"/>
          </w:tcPr>
          <w:p w14:paraId="6F75AE20" w14:textId="77777777" w:rsidR="00AB6DC4" w:rsidRDefault="00000000">
            <w:r>
              <w:rPr>
                <w:sz w:val="20"/>
                <w:szCs w:val="20"/>
              </w:rPr>
              <w:t>Early-tenure onboarding and retention campaign</w:t>
            </w:r>
          </w:p>
        </w:tc>
        <w:tc>
          <w:tcPr>
            <w:tcW w:w="3326" w:type="dxa"/>
            <w:tcBorders>
              <w:top w:val="single" w:sz="4" w:space="0" w:color="C9D6E6"/>
              <w:left w:val="single" w:sz="4" w:space="0" w:color="C9D6E6"/>
              <w:bottom w:val="single" w:sz="4" w:space="0" w:color="C9D6E6"/>
              <w:right w:val="single" w:sz="4" w:space="0" w:color="C9D6E6"/>
            </w:tcBorders>
            <w:shd w:val="clear" w:color="auto" w:fill="FFFFFF"/>
            <w:tcMar>
              <w:top w:w="70" w:type="dxa"/>
              <w:left w:w="120" w:type="dxa"/>
              <w:bottom w:w="70" w:type="dxa"/>
              <w:right w:w="120" w:type="dxa"/>
            </w:tcMar>
            <w:vAlign w:val="center"/>
          </w:tcPr>
          <w:p w14:paraId="10A5F5D8" w14:textId="77777777" w:rsidR="00AB6DC4" w:rsidRDefault="00000000">
            <w:r>
              <w:rPr>
                <w:sz w:val="20"/>
                <w:szCs w:val="20"/>
              </w:rPr>
              <w:t>First-year (0–12 month) churn rate</w:t>
            </w:r>
          </w:p>
        </w:tc>
      </w:tr>
      <w:tr w:rsidR="00AB6DC4" w14:paraId="09325C9D" w14:textId="77777777">
        <w:trPr>
          <w:cantSplit/>
        </w:trPr>
        <w:tc>
          <w:tcPr>
            <w:tcW w:w="2400" w:type="dxa"/>
            <w:tcBorders>
              <w:top w:val="single" w:sz="4" w:space="0" w:color="C9D6E6"/>
              <w:left w:val="single" w:sz="4" w:space="0" w:color="C9D6E6"/>
              <w:bottom w:val="single" w:sz="4" w:space="0" w:color="C9D6E6"/>
              <w:right w:val="single" w:sz="4" w:space="0" w:color="C9D6E6"/>
            </w:tcBorders>
            <w:shd w:val="clear" w:color="auto" w:fill="F3F8FD"/>
            <w:tcMar>
              <w:top w:w="70" w:type="dxa"/>
              <w:left w:w="120" w:type="dxa"/>
              <w:bottom w:w="70" w:type="dxa"/>
              <w:right w:w="120" w:type="dxa"/>
            </w:tcMar>
            <w:vAlign w:val="center"/>
          </w:tcPr>
          <w:p w14:paraId="0CB231B2" w14:textId="77777777" w:rsidR="00AB6DC4" w:rsidRDefault="00000000">
            <w:pPr>
              <w:jc w:val="center"/>
            </w:pPr>
            <w:r>
              <w:rPr>
                <w:sz w:val="20"/>
                <w:szCs w:val="20"/>
              </w:rPr>
              <w:t>2</w:t>
            </w:r>
          </w:p>
        </w:tc>
        <w:tc>
          <w:tcPr>
            <w:tcW w:w="3300" w:type="dxa"/>
            <w:tcBorders>
              <w:top w:val="single" w:sz="4" w:space="0" w:color="C9D6E6"/>
              <w:left w:val="single" w:sz="4" w:space="0" w:color="C9D6E6"/>
              <w:bottom w:val="single" w:sz="4" w:space="0" w:color="C9D6E6"/>
              <w:right w:val="single" w:sz="4" w:space="0" w:color="C9D6E6"/>
            </w:tcBorders>
            <w:shd w:val="clear" w:color="auto" w:fill="F3F8FD"/>
            <w:tcMar>
              <w:top w:w="70" w:type="dxa"/>
              <w:left w:w="120" w:type="dxa"/>
              <w:bottom w:w="70" w:type="dxa"/>
              <w:right w:w="120" w:type="dxa"/>
            </w:tcMar>
            <w:vAlign w:val="center"/>
          </w:tcPr>
          <w:p w14:paraId="2B292E31" w14:textId="77777777" w:rsidR="00AB6DC4" w:rsidRDefault="00000000">
            <w:r>
              <w:rPr>
                <w:sz w:val="20"/>
                <w:szCs w:val="20"/>
              </w:rPr>
              <w:t>Contract-incentive test for month-to-month customers</w:t>
            </w:r>
          </w:p>
        </w:tc>
        <w:tc>
          <w:tcPr>
            <w:tcW w:w="3326" w:type="dxa"/>
            <w:tcBorders>
              <w:top w:val="single" w:sz="4" w:space="0" w:color="C9D6E6"/>
              <w:left w:val="single" w:sz="4" w:space="0" w:color="C9D6E6"/>
              <w:bottom w:val="single" w:sz="4" w:space="0" w:color="C9D6E6"/>
              <w:right w:val="single" w:sz="4" w:space="0" w:color="C9D6E6"/>
            </w:tcBorders>
            <w:shd w:val="clear" w:color="auto" w:fill="F3F8FD"/>
            <w:tcMar>
              <w:top w:w="70" w:type="dxa"/>
              <w:left w:w="120" w:type="dxa"/>
              <w:bottom w:w="70" w:type="dxa"/>
              <w:right w:w="120" w:type="dxa"/>
            </w:tcMar>
            <w:vAlign w:val="center"/>
          </w:tcPr>
          <w:p w14:paraId="65DDCDF0" w14:textId="77777777" w:rsidR="00AB6DC4" w:rsidRDefault="00000000">
            <w:r>
              <w:rPr>
                <w:sz w:val="20"/>
                <w:szCs w:val="20"/>
              </w:rPr>
              <w:t>Churn and margin versus control group</w:t>
            </w:r>
          </w:p>
        </w:tc>
      </w:tr>
      <w:tr w:rsidR="00AB6DC4" w14:paraId="365F12CC" w14:textId="77777777">
        <w:trPr>
          <w:cantSplit/>
        </w:trPr>
        <w:tc>
          <w:tcPr>
            <w:tcW w:w="2400" w:type="dxa"/>
            <w:tcBorders>
              <w:top w:val="single" w:sz="4" w:space="0" w:color="C9D6E6"/>
              <w:left w:val="single" w:sz="4" w:space="0" w:color="C9D6E6"/>
              <w:bottom w:val="single" w:sz="4" w:space="0" w:color="C9D6E6"/>
              <w:right w:val="single" w:sz="4" w:space="0" w:color="C9D6E6"/>
            </w:tcBorders>
            <w:shd w:val="clear" w:color="auto" w:fill="FFFFFF"/>
            <w:tcMar>
              <w:top w:w="70" w:type="dxa"/>
              <w:left w:w="120" w:type="dxa"/>
              <w:bottom w:w="70" w:type="dxa"/>
              <w:right w:w="120" w:type="dxa"/>
            </w:tcMar>
            <w:vAlign w:val="center"/>
          </w:tcPr>
          <w:p w14:paraId="6C17A024" w14:textId="77777777" w:rsidR="00AB6DC4" w:rsidRDefault="00000000">
            <w:pPr>
              <w:jc w:val="center"/>
            </w:pPr>
            <w:r>
              <w:rPr>
                <w:sz w:val="20"/>
                <w:szCs w:val="20"/>
              </w:rPr>
              <w:t>3</w:t>
            </w:r>
          </w:p>
        </w:tc>
        <w:tc>
          <w:tcPr>
            <w:tcW w:w="3300" w:type="dxa"/>
            <w:tcBorders>
              <w:top w:val="single" w:sz="4" w:space="0" w:color="C9D6E6"/>
              <w:left w:val="single" w:sz="4" w:space="0" w:color="C9D6E6"/>
              <w:bottom w:val="single" w:sz="4" w:space="0" w:color="C9D6E6"/>
              <w:right w:val="single" w:sz="4" w:space="0" w:color="C9D6E6"/>
            </w:tcBorders>
            <w:shd w:val="clear" w:color="auto" w:fill="FFFFFF"/>
            <w:tcMar>
              <w:top w:w="70" w:type="dxa"/>
              <w:left w:w="120" w:type="dxa"/>
              <w:bottom w:w="70" w:type="dxa"/>
              <w:right w:w="120" w:type="dxa"/>
            </w:tcMar>
            <w:vAlign w:val="center"/>
          </w:tcPr>
          <w:p w14:paraId="61676C41" w14:textId="77777777" w:rsidR="00AB6DC4" w:rsidRDefault="00000000">
            <w:r>
              <w:rPr>
                <w:sz w:val="20"/>
                <w:szCs w:val="20"/>
              </w:rPr>
              <w:t>Billing, service, and support investigation</w:t>
            </w:r>
          </w:p>
        </w:tc>
        <w:tc>
          <w:tcPr>
            <w:tcW w:w="3326" w:type="dxa"/>
            <w:tcBorders>
              <w:top w:val="single" w:sz="4" w:space="0" w:color="C9D6E6"/>
              <w:left w:val="single" w:sz="4" w:space="0" w:color="C9D6E6"/>
              <w:bottom w:val="single" w:sz="4" w:space="0" w:color="C9D6E6"/>
              <w:right w:val="single" w:sz="4" w:space="0" w:color="C9D6E6"/>
            </w:tcBorders>
            <w:shd w:val="clear" w:color="auto" w:fill="FFFFFF"/>
            <w:tcMar>
              <w:top w:w="70" w:type="dxa"/>
              <w:left w:w="120" w:type="dxa"/>
              <w:bottom w:w="70" w:type="dxa"/>
              <w:right w:w="120" w:type="dxa"/>
            </w:tcMar>
            <w:vAlign w:val="center"/>
          </w:tcPr>
          <w:p w14:paraId="57B0D819" w14:textId="77777777" w:rsidR="00AB6DC4" w:rsidRDefault="00000000">
            <w:r>
              <w:rPr>
                <w:sz w:val="20"/>
                <w:szCs w:val="20"/>
              </w:rPr>
              <w:t>Findings documented; follow-up tests defined</w:t>
            </w:r>
          </w:p>
        </w:tc>
      </w:tr>
      <w:tr w:rsidR="00AB6DC4" w14:paraId="1CFADB57" w14:textId="77777777">
        <w:trPr>
          <w:cantSplit/>
        </w:trPr>
        <w:tc>
          <w:tcPr>
            <w:tcW w:w="2400" w:type="dxa"/>
            <w:tcBorders>
              <w:top w:val="single" w:sz="4" w:space="0" w:color="C9D6E6"/>
              <w:left w:val="single" w:sz="4" w:space="0" w:color="C9D6E6"/>
              <w:bottom w:val="single" w:sz="4" w:space="0" w:color="C9D6E6"/>
              <w:right w:val="single" w:sz="4" w:space="0" w:color="C9D6E6"/>
            </w:tcBorders>
            <w:shd w:val="clear" w:color="auto" w:fill="F3F8FD"/>
            <w:tcMar>
              <w:top w:w="70" w:type="dxa"/>
              <w:left w:w="120" w:type="dxa"/>
              <w:bottom w:w="70" w:type="dxa"/>
              <w:right w:w="120" w:type="dxa"/>
            </w:tcMar>
            <w:vAlign w:val="center"/>
          </w:tcPr>
          <w:p w14:paraId="7860DC2C" w14:textId="77777777" w:rsidR="00AB6DC4" w:rsidRDefault="00000000">
            <w:pPr>
              <w:jc w:val="center"/>
            </w:pPr>
            <w:r>
              <w:rPr>
                <w:sz w:val="20"/>
                <w:szCs w:val="20"/>
              </w:rPr>
              <w:t>4</w:t>
            </w:r>
          </w:p>
        </w:tc>
        <w:tc>
          <w:tcPr>
            <w:tcW w:w="3300" w:type="dxa"/>
            <w:tcBorders>
              <w:top w:val="single" w:sz="4" w:space="0" w:color="C9D6E6"/>
              <w:left w:val="single" w:sz="4" w:space="0" w:color="C9D6E6"/>
              <w:bottom w:val="single" w:sz="4" w:space="0" w:color="C9D6E6"/>
              <w:right w:val="single" w:sz="4" w:space="0" w:color="C9D6E6"/>
            </w:tcBorders>
            <w:shd w:val="clear" w:color="auto" w:fill="F3F8FD"/>
            <w:tcMar>
              <w:top w:w="70" w:type="dxa"/>
              <w:left w:w="120" w:type="dxa"/>
              <w:bottom w:w="70" w:type="dxa"/>
              <w:right w:w="120" w:type="dxa"/>
            </w:tcMar>
            <w:vAlign w:val="center"/>
          </w:tcPr>
          <w:p w14:paraId="36EB6970" w14:textId="77777777" w:rsidR="00AB6DC4" w:rsidRDefault="00000000">
            <w:r>
              <w:rPr>
                <w:sz w:val="20"/>
                <w:szCs w:val="20"/>
              </w:rPr>
              <w:t>Ongoing monitoring</w:t>
            </w:r>
          </w:p>
        </w:tc>
        <w:tc>
          <w:tcPr>
            <w:tcW w:w="3326" w:type="dxa"/>
            <w:tcBorders>
              <w:top w:val="single" w:sz="4" w:space="0" w:color="C9D6E6"/>
              <w:left w:val="single" w:sz="4" w:space="0" w:color="C9D6E6"/>
              <w:bottom w:val="single" w:sz="4" w:space="0" w:color="C9D6E6"/>
              <w:right w:val="single" w:sz="4" w:space="0" w:color="C9D6E6"/>
            </w:tcBorders>
            <w:shd w:val="clear" w:color="auto" w:fill="F3F8FD"/>
            <w:tcMar>
              <w:top w:w="70" w:type="dxa"/>
              <w:left w:w="120" w:type="dxa"/>
              <w:bottom w:w="70" w:type="dxa"/>
              <w:right w:w="120" w:type="dxa"/>
            </w:tcMar>
            <w:vAlign w:val="center"/>
          </w:tcPr>
          <w:p w14:paraId="0038C56F" w14:textId="77777777" w:rsidR="00AB6DC4" w:rsidRDefault="00000000">
            <w:r>
              <w:rPr>
                <w:sz w:val="20"/>
                <w:szCs w:val="20"/>
              </w:rPr>
              <w:t>Churn and retention rate trend; intervention results</w:t>
            </w:r>
          </w:p>
        </w:tc>
      </w:tr>
    </w:tbl>
    <w:p w14:paraId="5EBD4BEE" w14:textId="77777777" w:rsidR="00AB6DC4" w:rsidRDefault="00000000">
      <w:pPr>
        <w:spacing w:before="60" w:after="200"/>
      </w:pPr>
      <w:r>
        <w:rPr>
          <w:i/>
          <w:iCs/>
          <w:color w:val="595959"/>
          <w:sz w:val="18"/>
          <w:szCs w:val="18"/>
        </w:rPr>
        <w:t>Table 11. Recommendation roadmap.</w:t>
      </w:r>
    </w:p>
    <w:p w14:paraId="1F16E1F3" w14:textId="77777777" w:rsidR="00AB6DC4" w:rsidRDefault="00000000">
      <w:pPr>
        <w:pStyle w:val="Heading1"/>
        <w:pageBreakBefore/>
      </w:pPr>
      <w:bookmarkStart w:id="24" w:name="h24"/>
      <w:r>
        <w:lastRenderedPageBreak/>
        <w:t>9. Power BI Dashboard Design and Usage</w:t>
      </w:r>
      <w:bookmarkEnd w:id="24"/>
    </w:p>
    <w:p w14:paraId="4BE6DDC0" w14:textId="77777777" w:rsidR="00AB6DC4" w:rsidRDefault="00000000">
      <w:pPr>
        <w:spacing w:after="120" w:line="276" w:lineRule="auto"/>
      </w:pPr>
      <w:r>
        <w:t>The Power BI deliverable is designed as a single-page Executive Overview. It lets a business reader see headline churn performance at a glance and explore segments using slicers.</w:t>
      </w:r>
    </w:p>
    <w:p w14:paraId="72D5EA9C" w14:textId="77777777" w:rsidR="00AB6DC4" w:rsidRDefault="00000000">
      <w:pPr>
        <w:pStyle w:val="Heading2"/>
      </w:pPr>
      <w:bookmarkStart w:id="25" w:name="h25"/>
      <w:r>
        <w:t>9.1 Dashboard components</w:t>
      </w:r>
      <w:bookmarkEnd w:id="2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AB6DC4" w14:paraId="539513E5" w14:textId="77777777">
        <w:trPr>
          <w:cantSplit/>
          <w:tblHeader/>
        </w:trPr>
        <w:tc>
          <w:tcPr>
            <w:tcW w:w="2800" w:type="dxa"/>
            <w:tcBorders>
              <w:top w:val="single" w:sz="4" w:space="0" w:color="C9D6E6"/>
              <w:left w:val="single" w:sz="4" w:space="0" w:color="C9D6E6"/>
              <w:bottom w:val="single" w:sz="4" w:space="0" w:color="C9D6E6"/>
              <w:right w:val="single" w:sz="4" w:space="0" w:color="C9D6E6"/>
            </w:tcBorders>
            <w:shd w:val="clear" w:color="auto" w:fill="1F3864"/>
            <w:tcMar>
              <w:top w:w="70" w:type="dxa"/>
              <w:left w:w="120" w:type="dxa"/>
              <w:bottom w:w="70" w:type="dxa"/>
              <w:right w:w="120" w:type="dxa"/>
            </w:tcMar>
            <w:vAlign w:val="center"/>
          </w:tcPr>
          <w:p w14:paraId="1396570A" w14:textId="77777777" w:rsidR="00AB6DC4" w:rsidRDefault="00000000">
            <w:r>
              <w:rPr>
                <w:b/>
                <w:bCs/>
                <w:color w:val="FFFFFF"/>
                <w:sz w:val="20"/>
                <w:szCs w:val="20"/>
              </w:rPr>
              <w:t>Component</w:t>
            </w:r>
          </w:p>
        </w:tc>
        <w:tc>
          <w:tcPr>
            <w:tcW w:w="6226" w:type="dxa"/>
            <w:tcBorders>
              <w:top w:val="single" w:sz="4" w:space="0" w:color="C9D6E6"/>
              <w:left w:val="single" w:sz="4" w:space="0" w:color="C9D6E6"/>
              <w:bottom w:val="single" w:sz="4" w:space="0" w:color="C9D6E6"/>
              <w:right w:val="single" w:sz="4" w:space="0" w:color="C9D6E6"/>
            </w:tcBorders>
            <w:shd w:val="clear" w:color="auto" w:fill="1F3864"/>
            <w:tcMar>
              <w:top w:w="70" w:type="dxa"/>
              <w:left w:w="120" w:type="dxa"/>
              <w:bottom w:w="70" w:type="dxa"/>
              <w:right w:w="120" w:type="dxa"/>
            </w:tcMar>
            <w:vAlign w:val="center"/>
          </w:tcPr>
          <w:p w14:paraId="0995D18F" w14:textId="77777777" w:rsidR="00AB6DC4" w:rsidRDefault="00000000">
            <w:r>
              <w:rPr>
                <w:b/>
                <w:bCs/>
                <w:color w:val="FFFFFF"/>
                <w:sz w:val="20"/>
                <w:szCs w:val="20"/>
              </w:rPr>
              <w:t>Purpose</w:t>
            </w:r>
          </w:p>
        </w:tc>
      </w:tr>
      <w:tr w:rsidR="00AB6DC4" w14:paraId="5BF58A88" w14:textId="77777777">
        <w:trPr>
          <w:cantSplit/>
        </w:trPr>
        <w:tc>
          <w:tcPr>
            <w:tcW w:w="2800" w:type="dxa"/>
            <w:tcBorders>
              <w:top w:val="single" w:sz="4" w:space="0" w:color="C9D6E6"/>
              <w:left w:val="single" w:sz="4" w:space="0" w:color="C9D6E6"/>
              <w:bottom w:val="single" w:sz="4" w:space="0" w:color="C9D6E6"/>
              <w:right w:val="single" w:sz="4" w:space="0" w:color="C9D6E6"/>
            </w:tcBorders>
            <w:shd w:val="clear" w:color="auto" w:fill="FFFFFF"/>
            <w:tcMar>
              <w:top w:w="70" w:type="dxa"/>
              <w:left w:w="120" w:type="dxa"/>
              <w:bottom w:w="70" w:type="dxa"/>
              <w:right w:w="120" w:type="dxa"/>
            </w:tcMar>
            <w:vAlign w:val="center"/>
          </w:tcPr>
          <w:p w14:paraId="192913D5" w14:textId="77777777" w:rsidR="00AB6DC4" w:rsidRDefault="00000000">
            <w:r>
              <w:rPr>
                <w:b/>
                <w:bCs/>
                <w:sz w:val="20"/>
                <w:szCs w:val="20"/>
              </w:rPr>
              <w:t>KPI cards</w:t>
            </w:r>
          </w:p>
        </w:tc>
        <w:tc>
          <w:tcPr>
            <w:tcW w:w="6226" w:type="dxa"/>
            <w:tcBorders>
              <w:top w:val="single" w:sz="4" w:space="0" w:color="C9D6E6"/>
              <w:left w:val="single" w:sz="4" w:space="0" w:color="C9D6E6"/>
              <w:bottom w:val="single" w:sz="4" w:space="0" w:color="C9D6E6"/>
              <w:right w:val="single" w:sz="4" w:space="0" w:color="C9D6E6"/>
            </w:tcBorders>
            <w:shd w:val="clear" w:color="auto" w:fill="FFFFFF"/>
            <w:tcMar>
              <w:top w:w="70" w:type="dxa"/>
              <w:left w:w="120" w:type="dxa"/>
              <w:bottom w:w="70" w:type="dxa"/>
              <w:right w:w="120" w:type="dxa"/>
            </w:tcMar>
            <w:vAlign w:val="center"/>
          </w:tcPr>
          <w:p w14:paraId="57EA8B79" w14:textId="77777777" w:rsidR="00AB6DC4" w:rsidRDefault="00000000">
            <w:r>
              <w:rPr>
                <w:sz w:val="20"/>
                <w:szCs w:val="20"/>
              </w:rPr>
              <w:t>Total Customers (7,043), Churned Customers (1,869), Retained Customers (5,174), Churn Rate (26.54%), Retention Rate (73.46%).</w:t>
            </w:r>
          </w:p>
        </w:tc>
      </w:tr>
      <w:tr w:rsidR="00AB6DC4" w14:paraId="64A5CC3D" w14:textId="77777777">
        <w:trPr>
          <w:cantSplit/>
        </w:trPr>
        <w:tc>
          <w:tcPr>
            <w:tcW w:w="2800" w:type="dxa"/>
            <w:tcBorders>
              <w:top w:val="single" w:sz="4" w:space="0" w:color="C9D6E6"/>
              <w:left w:val="single" w:sz="4" w:space="0" w:color="C9D6E6"/>
              <w:bottom w:val="single" w:sz="4" w:space="0" w:color="C9D6E6"/>
              <w:right w:val="single" w:sz="4" w:space="0" w:color="C9D6E6"/>
            </w:tcBorders>
            <w:shd w:val="clear" w:color="auto" w:fill="F3F8FD"/>
            <w:tcMar>
              <w:top w:w="70" w:type="dxa"/>
              <w:left w:w="120" w:type="dxa"/>
              <w:bottom w:w="70" w:type="dxa"/>
              <w:right w:w="120" w:type="dxa"/>
            </w:tcMar>
            <w:vAlign w:val="center"/>
          </w:tcPr>
          <w:p w14:paraId="75D05A9F" w14:textId="77777777" w:rsidR="00AB6DC4" w:rsidRDefault="00000000">
            <w:r>
              <w:rPr>
                <w:b/>
                <w:bCs/>
                <w:sz w:val="20"/>
                <w:szCs w:val="20"/>
              </w:rPr>
              <w:t>Contract-wise churn chart</w:t>
            </w:r>
          </w:p>
        </w:tc>
        <w:tc>
          <w:tcPr>
            <w:tcW w:w="6226" w:type="dxa"/>
            <w:tcBorders>
              <w:top w:val="single" w:sz="4" w:space="0" w:color="C9D6E6"/>
              <w:left w:val="single" w:sz="4" w:space="0" w:color="C9D6E6"/>
              <w:bottom w:val="single" w:sz="4" w:space="0" w:color="C9D6E6"/>
              <w:right w:val="single" w:sz="4" w:space="0" w:color="C9D6E6"/>
            </w:tcBorders>
            <w:shd w:val="clear" w:color="auto" w:fill="F3F8FD"/>
            <w:tcMar>
              <w:top w:w="70" w:type="dxa"/>
              <w:left w:w="120" w:type="dxa"/>
              <w:bottom w:w="70" w:type="dxa"/>
              <w:right w:w="120" w:type="dxa"/>
            </w:tcMar>
            <w:vAlign w:val="center"/>
          </w:tcPr>
          <w:p w14:paraId="55317016" w14:textId="77777777" w:rsidR="00AB6DC4" w:rsidRDefault="00000000">
            <w:r>
              <w:rPr>
                <w:sz w:val="20"/>
                <w:szCs w:val="20"/>
              </w:rPr>
              <w:t>Compares churn across month-to-month, one-year, and two-year contracts.</w:t>
            </w:r>
          </w:p>
        </w:tc>
      </w:tr>
      <w:tr w:rsidR="00AB6DC4" w14:paraId="70DFB6CE" w14:textId="77777777">
        <w:trPr>
          <w:cantSplit/>
        </w:trPr>
        <w:tc>
          <w:tcPr>
            <w:tcW w:w="2800" w:type="dxa"/>
            <w:tcBorders>
              <w:top w:val="single" w:sz="4" w:space="0" w:color="C9D6E6"/>
              <w:left w:val="single" w:sz="4" w:space="0" w:color="C9D6E6"/>
              <w:bottom w:val="single" w:sz="4" w:space="0" w:color="C9D6E6"/>
              <w:right w:val="single" w:sz="4" w:space="0" w:color="C9D6E6"/>
            </w:tcBorders>
            <w:shd w:val="clear" w:color="auto" w:fill="FFFFFF"/>
            <w:tcMar>
              <w:top w:w="70" w:type="dxa"/>
              <w:left w:w="120" w:type="dxa"/>
              <w:bottom w:w="70" w:type="dxa"/>
              <w:right w:w="120" w:type="dxa"/>
            </w:tcMar>
            <w:vAlign w:val="center"/>
          </w:tcPr>
          <w:p w14:paraId="47992E9B" w14:textId="77777777" w:rsidR="00AB6DC4" w:rsidRDefault="00000000">
            <w:r>
              <w:rPr>
                <w:b/>
                <w:bCs/>
                <w:sz w:val="20"/>
                <w:szCs w:val="20"/>
              </w:rPr>
              <w:t>Tenure-wise churn chart</w:t>
            </w:r>
          </w:p>
        </w:tc>
        <w:tc>
          <w:tcPr>
            <w:tcW w:w="6226" w:type="dxa"/>
            <w:tcBorders>
              <w:top w:val="single" w:sz="4" w:space="0" w:color="C9D6E6"/>
              <w:left w:val="single" w:sz="4" w:space="0" w:color="C9D6E6"/>
              <w:bottom w:val="single" w:sz="4" w:space="0" w:color="C9D6E6"/>
              <w:right w:val="single" w:sz="4" w:space="0" w:color="C9D6E6"/>
            </w:tcBorders>
            <w:shd w:val="clear" w:color="auto" w:fill="FFFFFF"/>
            <w:tcMar>
              <w:top w:w="70" w:type="dxa"/>
              <w:left w:w="120" w:type="dxa"/>
              <w:bottom w:w="70" w:type="dxa"/>
              <w:right w:w="120" w:type="dxa"/>
            </w:tcMar>
            <w:vAlign w:val="center"/>
          </w:tcPr>
          <w:p w14:paraId="5A9DC01B" w14:textId="77777777" w:rsidR="00AB6DC4" w:rsidRDefault="00000000">
            <w:r>
              <w:rPr>
                <w:sz w:val="20"/>
                <w:szCs w:val="20"/>
              </w:rPr>
              <w:t>Shows how churn falls across the four tenure groups.</w:t>
            </w:r>
          </w:p>
        </w:tc>
      </w:tr>
      <w:tr w:rsidR="00AB6DC4" w14:paraId="070DC626" w14:textId="77777777">
        <w:trPr>
          <w:cantSplit/>
        </w:trPr>
        <w:tc>
          <w:tcPr>
            <w:tcW w:w="2800" w:type="dxa"/>
            <w:tcBorders>
              <w:top w:val="single" w:sz="4" w:space="0" w:color="C9D6E6"/>
              <w:left w:val="single" w:sz="4" w:space="0" w:color="C9D6E6"/>
              <w:bottom w:val="single" w:sz="4" w:space="0" w:color="C9D6E6"/>
              <w:right w:val="single" w:sz="4" w:space="0" w:color="C9D6E6"/>
            </w:tcBorders>
            <w:shd w:val="clear" w:color="auto" w:fill="F3F8FD"/>
            <w:tcMar>
              <w:top w:w="70" w:type="dxa"/>
              <w:left w:w="120" w:type="dxa"/>
              <w:bottom w:w="70" w:type="dxa"/>
              <w:right w:w="120" w:type="dxa"/>
            </w:tcMar>
            <w:vAlign w:val="center"/>
          </w:tcPr>
          <w:p w14:paraId="5174E55C" w14:textId="77777777" w:rsidR="00AB6DC4" w:rsidRDefault="00000000">
            <w:r>
              <w:rPr>
                <w:b/>
                <w:bCs/>
                <w:sz w:val="20"/>
                <w:szCs w:val="20"/>
              </w:rPr>
              <w:t>Monthly-charge analysis</w:t>
            </w:r>
          </w:p>
        </w:tc>
        <w:tc>
          <w:tcPr>
            <w:tcW w:w="6226" w:type="dxa"/>
            <w:tcBorders>
              <w:top w:val="single" w:sz="4" w:space="0" w:color="C9D6E6"/>
              <w:left w:val="single" w:sz="4" w:space="0" w:color="C9D6E6"/>
              <w:bottom w:val="single" w:sz="4" w:space="0" w:color="C9D6E6"/>
              <w:right w:val="single" w:sz="4" w:space="0" w:color="C9D6E6"/>
            </w:tcBorders>
            <w:shd w:val="clear" w:color="auto" w:fill="F3F8FD"/>
            <w:tcMar>
              <w:top w:w="70" w:type="dxa"/>
              <w:left w:w="120" w:type="dxa"/>
              <w:bottom w:w="70" w:type="dxa"/>
              <w:right w:w="120" w:type="dxa"/>
            </w:tcMar>
            <w:vAlign w:val="center"/>
          </w:tcPr>
          <w:p w14:paraId="0C8FE340" w14:textId="77777777" w:rsidR="00AB6DC4" w:rsidRDefault="00000000">
            <w:r>
              <w:rPr>
                <w:sz w:val="20"/>
                <w:szCs w:val="20"/>
              </w:rPr>
              <w:t xml:space="preserve">Compares </w:t>
            </w:r>
            <w:proofErr w:type="spellStart"/>
            <w:r>
              <w:rPr>
                <w:sz w:val="20"/>
                <w:szCs w:val="20"/>
              </w:rPr>
              <w:t>MonthlyCharges</w:t>
            </w:r>
            <w:proofErr w:type="spellEnd"/>
            <w:r>
              <w:rPr>
                <w:sz w:val="20"/>
                <w:szCs w:val="20"/>
              </w:rPr>
              <w:t xml:space="preserve"> between churned and retained customers.</w:t>
            </w:r>
          </w:p>
        </w:tc>
      </w:tr>
      <w:tr w:rsidR="00AB6DC4" w14:paraId="5FAFD032" w14:textId="77777777">
        <w:trPr>
          <w:cantSplit/>
        </w:trPr>
        <w:tc>
          <w:tcPr>
            <w:tcW w:w="2800" w:type="dxa"/>
            <w:tcBorders>
              <w:top w:val="single" w:sz="4" w:space="0" w:color="C9D6E6"/>
              <w:left w:val="single" w:sz="4" w:space="0" w:color="C9D6E6"/>
              <w:bottom w:val="single" w:sz="4" w:space="0" w:color="C9D6E6"/>
              <w:right w:val="single" w:sz="4" w:space="0" w:color="C9D6E6"/>
            </w:tcBorders>
            <w:shd w:val="clear" w:color="auto" w:fill="FFFFFF"/>
            <w:tcMar>
              <w:top w:w="70" w:type="dxa"/>
              <w:left w:w="120" w:type="dxa"/>
              <w:bottom w:w="70" w:type="dxa"/>
              <w:right w:w="120" w:type="dxa"/>
            </w:tcMar>
            <w:vAlign w:val="center"/>
          </w:tcPr>
          <w:p w14:paraId="3677669D" w14:textId="77777777" w:rsidR="00AB6DC4" w:rsidRDefault="00000000">
            <w:r>
              <w:rPr>
                <w:b/>
                <w:bCs/>
                <w:sz w:val="20"/>
                <w:szCs w:val="20"/>
              </w:rPr>
              <w:t>Customer-segment slicers</w:t>
            </w:r>
          </w:p>
        </w:tc>
        <w:tc>
          <w:tcPr>
            <w:tcW w:w="6226" w:type="dxa"/>
            <w:tcBorders>
              <w:top w:val="single" w:sz="4" w:space="0" w:color="C9D6E6"/>
              <w:left w:val="single" w:sz="4" w:space="0" w:color="C9D6E6"/>
              <w:bottom w:val="single" w:sz="4" w:space="0" w:color="C9D6E6"/>
              <w:right w:val="single" w:sz="4" w:space="0" w:color="C9D6E6"/>
            </w:tcBorders>
            <w:shd w:val="clear" w:color="auto" w:fill="FFFFFF"/>
            <w:tcMar>
              <w:top w:w="70" w:type="dxa"/>
              <w:left w:w="120" w:type="dxa"/>
              <w:bottom w:w="70" w:type="dxa"/>
              <w:right w:w="120" w:type="dxa"/>
            </w:tcMar>
            <w:vAlign w:val="center"/>
          </w:tcPr>
          <w:p w14:paraId="1DA86177" w14:textId="77777777" w:rsidR="00AB6DC4" w:rsidRDefault="00000000">
            <w:proofErr w:type="spellStart"/>
            <w:proofErr w:type="gramStart"/>
            <w:r>
              <w:rPr>
                <w:sz w:val="20"/>
                <w:szCs w:val="20"/>
              </w:rPr>
              <w:t>Lets</w:t>
            </w:r>
            <w:proofErr w:type="spellEnd"/>
            <w:proofErr w:type="gramEnd"/>
            <w:r>
              <w:rPr>
                <w:sz w:val="20"/>
                <w:szCs w:val="20"/>
              </w:rPr>
              <w:t xml:space="preserve"> the viewer filter the whole page by available customer segments.</w:t>
            </w:r>
          </w:p>
        </w:tc>
      </w:tr>
    </w:tbl>
    <w:p w14:paraId="76D2F051" w14:textId="77777777" w:rsidR="00AB6DC4" w:rsidRDefault="00000000">
      <w:pPr>
        <w:spacing w:before="60" w:after="200"/>
      </w:pPr>
      <w:r>
        <w:rPr>
          <w:i/>
          <w:iCs/>
          <w:color w:val="595959"/>
          <w:sz w:val="18"/>
          <w:szCs w:val="18"/>
        </w:rPr>
        <w:t>Table 12. Executive Overview dashboard components.</w:t>
      </w:r>
    </w:p>
    <w:p w14:paraId="155A51AF" w14:textId="77777777" w:rsidR="00AB6DC4" w:rsidRDefault="00000000">
      <w:pPr>
        <w:pStyle w:val="Heading2"/>
      </w:pPr>
      <w:bookmarkStart w:id="26" w:name="h26"/>
      <w:r>
        <w:t>9.2 Suggested layout</w:t>
      </w:r>
      <w:bookmarkEnd w:id="26"/>
    </w:p>
    <w:p w14:paraId="44FC5C99" w14:textId="77777777" w:rsidR="00AB6DC4" w:rsidRDefault="00000000">
      <w:pPr>
        <w:pStyle w:val="ListParagraph"/>
        <w:numPr>
          <w:ilvl w:val="0"/>
          <w:numId w:val="2"/>
        </w:numPr>
        <w:spacing w:after="80" w:line="270" w:lineRule="auto"/>
      </w:pPr>
      <w:r>
        <w:t>Top row: five KPI cards, displayed as exact values (not abbreviated).</w:t>
      </w:r>
    </w:p>
    <w:p w14:paraId="20793200" w14:textId="77777777" w:rsidR="00AB6DC4" w:rsidRDefault="00000000">
      <w:pPr>
        <w:pStyle w:val="ListParagraph"/>
        <w:numPr>
          <w:ilvl w:val="0"/>
          <w:numId w:val="2"/>
        </w:numPr>
        <w:spacing w:after="80" w:line="270" w:lineRule="auto"/>
      </w:pPr>
      <w:r>
        <w:t>Middle: contract-wise and tenure-wise churn charts side by side.</w:t>
      </w:r>
    </w:p>
    <w:p w14:paraId="647FEA5D" w14:textId="77777777" w:rsidR="00AB6DC4" w:rsidRDefault="00000000">
      <w:pPr>
        <w:pStyle w:val="ListParagraph"/>
        <w:numPr>
          <w:ilvl w:val="0"/>
          <w:numId w:val="2"/>
        </w:numPr>
        <w:spacing w:after="80" w:line="270" w:lineRule="auto"/>
      </w:pPr>
      <w:r>
        <w:t>Lower section: monthly-charge analysis.</w:t>
      </w:r>
    </w:p>
    <w:p w14:paraId="1A4ECCC0" w14:textId="77777777" w:rsidR="00AB6DC4" w:rsidRDefault="00000000">
      <w:pPr>
        <w:pStyle w:val="ListParagraph"/>
        <w:numPr>
          <w:ilvl w:val="0"/>
          <w:numId w:val="2"/>
        </w:numPr>
        <w:spacing w:after="80" w:line="270" w:lineRule="auto"/>
      </w:pPr>
      <w:r>
        <w:t>Side or top panel: segment slicers.</w:t>
      </w:r>
    </w:p>
    <w:p w14:paraId="5C11A8DB" w14:textId="77777777" w:rsidR="00AB6DC4" w:rsidRDefault="00000000">
      <w:pPr>
        <w:pStyle w:val="Heading2"/>
      </w:pPr>
      <w:bookmarkStart w:id="27" w:name="h27"/>
      <w:r>
        <w:t>9.3 Usage guidance</w:t>
      </w:r>
      <w:bookmarkEnd w:id="27"/>
    </w:p>
    <w:p w14:paraId="2C87C1DC" w14:textId="77777777" w:rsidR="00AB6DC4" w:rsidRDefault="00000000">
      <w:pPr>
        <w:pStyle w:val="ListParagraph"/>
        <w:numPr>
          <w:ilvl w:val="0"/>
          <w:numId w:val="2"/>
        </w:numPr>
        <w:spacing w:after="80" w:line="270" w:lineRule="auto"/>
      </w:pPr>
      <w:r>
        <w:t>Start with slicers set to All; the cards should match the KPIs in Table 1.</w:t>
      </w:r>
    </w:p>
    <w:p w14:paraId="6F24E8C4" w14:textId="77777777" w:rsidR="00AB6DC4" w:rsidRDefault="00000000">
      <w:pPr>
        <w:pStyle w:val="ListParagraph"/>
        <w:numPr>
          <w:ilvl w:val="0"/>
          <w:numId w:val="2"/>
        </w:numPr>
        <w:spacing w:after="80" w:line="270" w:lineRule="auto"/>
      </w:pPr>
      <w:r>
        <w:t>Select a segment to see how churn rate, counts, and charge patterns change.</w:t>
      </w:r>
    </w:p>
    <w:p w14:paraId="76028ADB" w14:textId="77777777" w:rsidR="00AB6DC4" w:rsidRDefault="00000000">
      <w:pPr>
        <w:pStyle w:val="ListParagraph"/>
        <w:numPr>
          <w:ilvl w:val="0"/>
          <w:numId w:val="2"/>
        </w:numPr>
        <w:spacing w:after="80" w:line="270" w:lineRule="auto"/>
      </w:pPr>
      <w:r>
        <w:t>Read segment results as associations; small segments can produce unstable rates.</w:t>
      </w:r>
    </w:p>
    <w:p w14:paraId="5A95E3E0" w14:textId="77777777" w:rsidR="00AB6DC4" w:rsidRDefault="00000000">
      <w:pPr>
        <w:pBdr>
          <w:left w:val="single" w:sz="24" w:space="8" w:color="2E75B6"/>
        </w:pBdr>
        <w:shd w:val="clear" w:color="auto" w:fill="DEEAF6"/>
        <w:spacing w:before="120" w:after="200" w:line="270" w:lineRule="auto"/>
        <w:ind w:left="140" w:right="140"/>
      </w:pPr>
      <w:r>
        <w:rPr>
          <w:b/>
          <w:bCs/>
          <w:color w:val="1F3864"/>
        </w:rPr>
        <w:t xml:space="preserve">Validation status: </w:t>
      </w:r>
      <w:r>
        <w:t>This report describes the dashboard design. The dashboard file itself has not been independently audited as part of this report. Before submission, confirm that card values match this report, that chart rates match Tables 6 and 7, and that slicers behave as expected.</w:t>
      </w:r>
    </w:p>
    <w:p w14:paraId="4353ED01" w14:textId="77777777" w:rsidR="00AB6DC4" w:rsidRDefault="00000000">
      <w:pPr>
        <w:pStyle w:val="Heading1"/>
      </w:pPr>
      <w:bookmarkStart w:id="28" w:name="h28"/>
      <w:r>
        <w:t>10. Limitations</w:t>
      </w:r>
      <w:bookmarkEnd w:id="28"/>
    </w:p>
    <w:p w14:paraId="05B81709" w14:textId="77777777" w:rsidR="00AB6DC4" w:rsidRDefault="00000000">
      <w:pPr>
        <w:pStyle w:val="ListParagraph"/>
        <w:numPr>
          <w:ilvl w:val="0"/>
          <w:numId w:val="2"/>
        </w:numPr>
        <w:spacing w:after="80" w:line="270" w:lineRule="auto"/>
      </w:pPr>
      <w:r>
        <w:t>The analysis is descriptive and does not establish causation.</w:t>
      </w:r>
    </w:p>
    <w:p w14:paraId="02585551" w14:textId="77777777" w:rsidR="00AB6DC4" w:rsidRDefault="00000000">
      <w:pPr>
        <w:pStyle w:val="ListParagraph"/>
        <w:numPr>
          <w:ilvl w:val="0"/>
          <w:numId w:val="2"/>
        </w:numPr>
        <w:spacing w:after="80" w:line="270" w:lineRule="auto"/>
      </w:pPr>
      <w:r>
        <w:t>The dataset is a single static snapshot; findings may not generalize to other telecom companies, regions, or time periods.</w:t>
      </w:r>
    </w:p>
    <w:p w14:paraId="11CDBBE0" w14:textId="77777777" w:rsidR="00AB6DC4" w:rsidRDefault="00000000">
      <w:pPr>
        <w:pStyle w:val="ListParagraph"/>
        <w:numPr>
          <w:ilvl w:val="0"/>
          <w:numId w:val="2"/>
        </w:numPr>
        <w:spacing w:after="80" w:line="270" w:lineRule="auto"/>
      </w:pPr>
      <w:r>
        <w:t xml:space="preserve">Segments overlap (for example, </w:t>
      </w:r>
      <w:proofErr w:type="spellStart"/>
      <w:r>
        <w:t>fiber</w:t>
      </w:r>
      <w:proofErr w:type="spellEnd"/>
      <w:r>
        <w:t xml:space="preserve"> optic and electronic-check customers), so single-factor comparisons can be confounded.</w:t>
      </w:r>
    </w:p>
    <w:p w14:paraId="1CAD43BE" w14:textId="77777777" w:rsidR="00AB6DC4" w:rsidRDefault="00000000">
      <w:pPr>
        <w:pStyle w:val="ListParagraph"/>
        <w:numPr>
          <w:ilvl w:val="0"/>
          <w:numId w:val="2"/>
        </w:numPr>
        <w:spacing w:after="80" w:line="270" w:lineRule="auto"/>
      </w:pPr>
      <w:r>
        <w:t xml:space="preserve">The 11 missing </w:t>
      </w:r>
      <w:proofErr w:type="spellStart"/>
      <w:r>
        <w:t>TotalCharges</w:t>
      </w:r>
      <w:proofErr w:type="spellEnd"/>
      <w:r>
        <w:t xml:space="preserve"> values need documented handling if that field is used in further calculations.</w:t>
      </w:r>
    </w:p>
    <w:p w14:paraId="3E0C7F74" w14:textId="77777777" w:rsidR="00AB6DC4" w:rsidRDefault="00000000">
      <w:pPr>
        <w:pStyle w:val="ListParagraph"/>
        <w:numPr>
          <w:ilvl w:val="0"/>
          <w:numId w:val="2"/>
        </w:numPr>
        <w:spacing w:after="80" w:line="270" w:lineRule="auto"/>
      </w:pPr>
      <w:r>
        <w:t>The MySQL Churn-field normalization issue means SQL comparisons need normalized values until the field is revalidated.</w:t>
      </w:r>
    </w:p>
    <w:p w14:paraId="00825E29" w14:textId="77777777" w:rsidR="00AB6DC4" w:rsidRDefault="00000000">
      <w:pPr>
        <w:pStyle w:val="ListParagraph"/>
        <w:numPr>
          <w:ilvl w:val="0"/>
          <w:numId w:val="2"/>
        </w:numPr>
        <w:spacing w:after="80" w:line="270" w:lineRule="auto"/>
      </w:pPr>
      <w:r>
        <w:lastRenderedPageBreak/>
        <w:t>No predictive model, statistical significance testing, or controlled experiment is reported.</w:t>
      </w:r>
    </w:p>
    <w:p w14:paraId="2462F648" w14:textId="77777777" w:rsidR="00AB6DC4" w:rsidRDefault="00000000">
      <w:pPr>
        <w:pStyle w:val="ListParagraph"/>
        <w:numPr>
          <w:ilvl w:val="0"/>
          <w:numId w:val="2"/>
        </w:numPr>
        <w:spacing w:after="80" w:line="270" w:lineRule="auto"/>
      </w:pPr>
      <w:r>
        <w:t>Completion and quality of individual project deliverables have not been independently audited in this report (see Appendix B).</w:t>
      </w:r>
    </w:p>
    <w:p w14:paraId="038EE228" w14:textId="77777777" w:rsidR="00AB6DC4" w:rsidRDefault="00000000">
      <w:pPr>
        <w:pStyle w:val="Heading1"/>
      </w:pPr>
      <w:bookmarkStart w:id="29" w:name="h29"/>
      <w:r>
        <w:t>11. Conclusion</w:t>
      </w:r>
      <w:bookmarkEnd w:id="29"/>
    </w:p>
    <w:p w14:paraId="1B86C7C7" w14:textId="77777777" w:rsidR="00AB6DC4" w:rsidRDefault="00000000">
      <w:pPr>
        <w:spacing w:after="120" w:line="276" w:lineRule="auto"/>
      </w:pPr>
      <w:r>
        <w:t>Overall churn in the IBM Telco Customer Churn dataset is 26.54%, with retention at 73.46%. Churn is concentrated among month-to-month customers (42.71%) and customers in their first 12 months (47.44%), and churned customers have a higher average monthly charge (74.44 versus 61.27).</w:t>
      </w:r>
    </w:p>
    <w:p w14:paraId="1CAAD1B5" w14:textId="77777777" w:rsidR="00AB6DC4" w:rsidRDefault="00000000">
      <w:pPr>
        <w:spacing w:after="120" w:line="276" w:lineRule="auto"/>
      </w:pPr>
      <w:r>
        <w:t xml:space="preserve">These results give a clear, evidence-based starting point for prioritizing early-tenure retention, testing contract incentives, and investigating billing, service, and support experience. Because the analysis is descriptive, the natural next step is to run controlled tests and, where appropriate, more rigorous </w:t>
      </w:r>
      <w:proofErr w:type="spellStart"/>
      <w:r>
        <w:t>modeling</w:t>
      </w:r>
      <w:proofErr w:type="spellEnd"/>
      <w:r>
        <w:t xml:space="preserve"> to learn which interventions actually reduce churn, and to monitor results over time.</w:t>
      </w:r>
    </w:p>
    <w:p w14:paraId="603BD59F" w14:textId="77777777" w:rsidR="00AB6DC4" w:rsidRDefault="00000000">
      <w:pPr>
        <w:pStyle w:val="Heading1"/>
      </w:pPr>
      <w:bookmarkStart w:id="30" w:name="h30"/>
      <w:r>
        <w:t>Appendix A: KPI Definitions</w:t>
      </w:r>
      <w:bookmarkEnd w:id="3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326"/>
      </w:tblGrid>
      <w:tr w:rsidR="00AB6DC4" w14:paraId="07C116DC" w14:textId="77777777">
        <w:trPr>
          <w:cantSplit/>
          <w:tblHeader/>
        </w:trPr>
        <w:tc>
          <w:tcPr>
            <w:tcW w:w="2700" w:type="dxa"/>
            <w:tcBorders>
              <w:top w:val="single" w:sz="4" w:space="0" w:color="C9D6E6"/>
              <w:left w:val="single" w:sz="4" w:space="0" w:color="C9D6E6"/>
              <w:bottom w:val="single" w:sz="4" w:space="0" w:color="C9D6E6"/>
              <w:right w:val="single" w:sz="4" w:space="0" w:color="C9D6E6"/>
            </w:tcBorders>
            <w:shd w:val="clear" w:color="auto" w:fill="1F3864"/>
            <w:tcMar>
              <w:top w:w="70" w:type="dxa"/>
              <w:left w:w="120" w:type="dxa"/>
              <w:bottom w:w="70" w:type="dxa"/>
              <w:right w:w="120" w:type="dxa"/>
            </w:tcMar>
            <w:vAlign w:val="center"/>
          </w:tcPr>
          <w:p w14:paraId="727F142E" w14:textId="77777777" w:rsidR="00AB6DC4" w:rsidRDefault="00000000">
            <w:r>
              <w:rPr>
                <w:b/>
                <w:bCs/>
                <w:color w:val="FFFFFF"/>
                <w:sz w:val="20"/>
                <w:szCs w:val="20"/>
              </w:rPr>
              <w:t>KPI</w:t>
            </w:r>
          </w:p>
        </w:tc>
        <w:tc>
          <w:tcPr>
            <w:tcW w:w="6326" w:type="dxa"/>
            <w:tcBorders>
              <w:top w:val="single" w:sz="4" w:space="0" w:color="C9D6E6"/>
              <w:left w:val="single" w:sz="4" w:space="0" w:color="C9D6E6"/>
              <w:bottom w:val="single" w:sz="4" w:space="0" w:color="C9D6E6"/>
              <w:right w:val="single" w:sz="4" w:space="0" w:color="C9D6E6"/>
            </w:tcBorders>
            <w:shd w:val="clear" w:color="auto" w:fill="1F3864"/>
            <w:tcMar>
              <w:top w:w="70" w:type="dxa"/>
              <w:left w:w="120" w:type="dxa"/>
              <w:bottom w:w="70" w:type="dxa"/>
              <w:right w:w="120" w:type="dxa"/>
            </w:tcMar>
            <w:vAlign w:val="center"/>
          </w:tcPr>
          <w:p w14:paraId="103621F3" w14:textId="77777777" w:rsidR="00AB6DC4" w:rsidRDefault="00000000">
            <w:r>
              <w:rPr>
                <w:b/>
                <w:bCs/>
                <w:color w:val="FFFFFF"/>
                <w:sz w:val="20"/>
                <w:szCs w:val="20"/>
              </w:rPr>
              <w:t>Definition</w:t>
            </w:r>
          </w:p>
        </w:tc>
      </w:tr>
      <w:tr w:rsidR="00AB6DC4" w14:paraId="476C3ED3" w14:textId="77777777">
        <w:trPr>
          <w:cantSplit/>
        </w:trPr>
        <w:tc>
          <w:tcPr>
            <w:tcW w:w="2700" w:type="dxa"/>
            <w:tcBorders>
              <w:top w:val="single" w:sz="4" w:space="0" w:color="C9D6E6"/>
              <w:left w:val="single" w:sz="4" w:space="0" w:color="C9D6E6"/>
              <w:bottom w:val="single" w:sz="4" w:space="0" w:color="C9D6E6"/>
              <w:right w:val="single" w:sz="4" w:space="0" w:color="C9D6E6"/>
            </w:tcBorders>
            <w:shd w:val="clear" w:color="auto" w:fill="FFFFFF"/>
            <w:tcMar>
              <w:top w:w="70" w:type="dxa"/>
              <w:left w:w="120" w:type="dxa"/>
              <w:bottom w:w="70" w:type="dxa"/>
              <w:right w:w="120" w:type="dxa"/>
            </w:tcMar>
            <w:vAlign w:val="center"/>
          </w:tcPr>
          <w:p w14:paraId="1596B683" w14:textId="77777777" w:rsidR="00AB6DC4" w:rsidRDefault="00000000">
            <w:r>
              <w:rPr>
                <w:b/>
                <w:bCs/>
                <w:sz w:val="20"/>
                <w:szCs w:val="20"/>
              </w:rPr>
              <w:t>Total Customers</w:t>
            </w:r>
          </w:p>
        </w:tc>
        <w:tc>
          <w:tcPr>
            <w:tcW w:w="6326" w:type="dxa"/>
            <w:tcBorders>
              <w:top w:val="single" w:sz="4" w:space="0" w:color="C9D6E6"/>
              <w:left w:val="single" w:sz="4" w:space="0" w:color="C9D6E6"/>
              <w:bottom w:val="single" w:sz="4" w:space="0" w:color="C9D6E6"/>
              <w:right w:val="single" w:sz="4" w:space="0" w:color="C9D6E6"/>
            </w:tcBorders>
            <w:shd w:val="clear" w:color="auto" w:fill="FFFFFF"/>
            <w:tcMar>
              <w:top w:w="70" w:type="dxa"/>
              <w:left w:w="120" w:type="dxa"/>
              <w:bottom w:w="70" w:type="dxa"/>
              <w:right w:w="120" w:type="dxa"/>
            </w:tcMar>
            <w:vAlign w:val="center"/>
          </w:tcPr>
          <w:p w14:paraId="51E48918" w14:textId="77777777" w:rsidR="00AB6DC4" w:rsidRDefault="00000000">
            <w:r>
              <w:rPr>
                <w:sz w:val="20"/>
                <w:szCs w:val="20"/>
              </w:rPr>
              <w:t>Count of customer records in the analysis dataset.</w:t>
            </w:r>
          </w:p>
        </w:tc>
      </w:tr>
      <w:tr w:rsidR="00AB6DC4" w14:paraId="05796D11" w14:textId="77777777">
        <w:trPr>
          <w:cantSplit/>
        </w:trPr>
        <w:tc>
          <w:tcPr>
            <w:tcW w:w="2700" w:type="dxa"/>
            <w:tcBorders>
              <w:top w:val="single" w:sz="4" w:space="0" w:color="C9D6E6"/>
              <w:left w:val="single" w:sz="4" w:space="0" w:color="C9D6E6"/>
              <w:bottom w:val="single" w:sz="4" w:space="0" w:color="C9D6E6"/>
              <w:right w:val="single" w:sz="4" w:space="0" w:color="C9D6E6"/>
            </w:tcBorders>
            <w:shd w:val="clear" w:color="auto" w:fill="F3F8FD"/>
            <w:tcMar>
              <w:top w:w="70" w:type="dxa"/>
              <w:left w:w="120" w:type="dxa"/>
              <w:bottom w:w="70" w:type="dxa"/>
              <w:right w:w="120" w:type="dxa"/>
            </w:tcMar>
            <w:vAlign w:val="center"/>
          </w:tcPr>
          <w:p w14:paraId="1EB30E14" w14:textId="77777777" w:rsidR="00AB6DC4" w:rsidRDefault="00000000">
            <w:r>
              <w:rPr>
                <w:b/>
                <w:bCs/>
                <w:sz w:val="20"/>
                <w:szCs w:val="20"/>
              </w:rPr>
              <w:t>Churned Customers</w:t>
            </w:r>
          </w:p>
        </w:tc>
        <w:tc>
          <w:tcPr>
            <w:tcW w:w="6326" w:type="dxa"/>
            <w:tcBorders>
              <w:top w:val="single" w:sz="4" w:space="0" w:color="C9D6E6"/>
              <w:left w:val="single" w:sz="4" w:space="0" w:color="C9D6E6"/>
              <w:bottom w:val="single" w:sz="4" w:space="0" w:color="C9D6E6"/>
              <w:right w:val="single" w:sz="4" w:space="0" w:color="C9D6E6"/>
            </w:tcBorders>
            <w:shd w:val="clear" w:color="auto" w:fill="F3F8FD"/>
            <w:tcMar>
              <w:top w:w="70" w:type="dxa"/>
              <w:left w:w="120" w:type="dxa"/>
              <w:bottom w:w="70" w:type="dxa"/>
              <w:right w:w="120" w:type="dxa"/>
            </w:tcMar>
            <w:vAlign w:val="center"/>
          </w:tcPr>
          <w:p w14:paraId="562FDE8B" w14:textId="77777777" w:rsidR="00AB6DC4" w:rsidRDefault="00000000">
            <w:r>
              <w:rPr>
                <w:sz w:val="20"/>
                <w:szCs w:val="20"/>
              </w:rPr>
              <w:t>Count of records where Churn = Yes.</w:t>
            </w:r>
          </w:p>
        </w:tc>
      </w:tr>
      <w:tr w:rsidR="00AB6DC4" w14:paraId="06B07432" w14:textId="77777777">
        <w:trPr>
          <w:cantSplit/>
        </w:trPr>
        <w:tc>
          <w:tcPr>
            <w:tcW w:w="2700" w:type="dxa"/>
            <w:tcBorders>
              <w:top w:val="single" w:sz="4" w:space="0" w:color="C9D6E6"/>
              <w:left w:val="single" w:sz="4" w:space="0" w:color="C9D6E6"/>
              <w:bottom w:val="single" w:sz="4" w:space="0" w:color="C9D6E6"/>
              <w:right w:val="single" w:sz="4" w:space="0" w:color="C9D6E6"/>
            </w:tcBorders>
            <w:shd w:val="clear" w:color="auto" w:fill="FFFFFF"/>
            <w:tcMar>
              <w:top w:w="70" w:type="dxa"/>
              <w:left w:w="120" w:type="dxa"/>
              <w:bottom w:w="70" w:type="dxa"/>
              <w:right w:w="120" w:type="dxa"/>
            </w:tcMar>
            <w:vAlign w:val="center"/>
          </w:tcPr>
          <w:p w14:paraId="1E59CE3D" w14:textId="77777777" w:rsidR="00AB6DC4" w:rsidRDefault="00000000">
            <w:r>
              <w:rPr>
                <w:b/>
                <w:bCs/>
                <w:sz w:val="20"/>
                <w:szCs w:val="20"/>
              </w:rPr>
              <w:t>Retained Customers</w:t>
            </w:r>
          </w:p>
        </w:tc>
        <w:tc>
          <w:tcPr>
            <w:tcW w:w="6326" w:type="dxa"/>
            <w:tcBorders>
              <w:top w:val="single" w:sz="4" w:space="0" w:color="C9D6E6"/>
              <w:left w:val="single" w:sz="4" w:space="0" w:color="C9D6E6"/>
              <w:bottom w:val="single" w:sz="4" w:space="0" w:color="C9D6E6"/>
              <w:right w:val="single" w:sz="4" w:space="0" w:color="C9D6E6"/>
            </w:tcBorders>
            <w:shd w:val="clear" w:color="auto" w:fill="FFFFFF"/>
            <w:tcMar>
              <w:top w:w="70" w:type="dxa"/>
              <w:left w:w="120" w:type="dxa"/>
              <w:bottom w:w="70" w:type="dxa"/>
              <w:right w:w="120" w:type="dxa"/>
            </w:tcMar>
            <w:vAlign w:val="center"/>
          </w:tcPr>
          <w:p w14:paraId="7649C250" w14:textId="77777777" w:rsidR="00AB6DC4" w:rsidRDefault="00000000">
            <w:r>
              <w:rPr>
                <w:sz w:val="20"/>
                <w:szCs w:val="20"/>
              </w:rPr>
              <w:t>Count of records where Churn = No.</w:t>
            </w:r>
          </w:p>
        </w:tc>
      </w:tr>
      <w:tr w:rsidR="00AB6DC4" w14:paraId="272CAB66" w14:textId="77777777">
        <w:trPr>
          <w:cantSplit/>
        </w:trPr>
        <w:tc>
          <w:tcPr>
            <w:tcW w:w="2700" w:type="dxa"/>
            <w:tcBorders>
              <w:top w:val="single" w:sz="4" w:space="0" w:color="C9D6E6"/>
              <w:left w:val="single" w:sz="4" w:space="0" w:color="C9D6E6"/>
              <w:bottom w:val="single" w:sz="4" w:space="0" w:color="C9D6E6"/>
              <w:right w:val="single" w:sz="4" w:space="0" w:color="C9D6E6"/>
            </w:tcBorders>
            <w:shd w:val="clear" w:color="auto" w:fill="F3F8FD"/>
            <w:tcMar>
              <w:top w:w="70" w:type="dxa"/>
              <w:left w:w="120" w:type="dxa"/>
              <w:bottom w:w="70" w:type="dxa"/>
              <w:right w:w="120" w:type="dxa"/>
            </w:tcMar>
            <w:vAlign w:val="center"/>
          </w:tcPr>
          <w:p w14:paraId="3A6662D4" w14:textId="77777777" w:rsidR="00AB6DC4" w:rsidRDefault="00000000">
            <w:r>
              <w:rPr>
                <w:b/>
                <w:bCs/>
                <w:sz w:val="20"/>
                <w:szCs w:val="20"/>
              </w:rPr>
              <w:t>Churn Rate</w:t>
            </w:r>
          </w:p>
        </w:tc>
        <w:tc>
          <w:tcPr>
            <w:tcW w:w="6326" w:type="dxa"/>
            <w:tcBorders>
              <w:top w:val="single" w:sz="4" w:space="0" w:color="C9D6E6"/>
              <w:left w:val="single" w:sz="4" w:space="0" w:color="C9D6E6"/>
              <w:bottom w:val="single" w:sz="4" w:space="0" w:color="C9D6E6"/>
              <w:right w:val="single" w:sz="4" w:space="0" w:color="C9D6E6"/>
            </w:tcBorders>
            <w:shd w:val="clear" w:color="auto" w:fill="F3F8FD"/>
            <w:tcMar>
              <w:top w:w="70" w:type="dxa"/>
              <w:left w:w="120" w:type="dxa"/>
              <w:bottom w:w="70" w:type="dxa"/>
              <w:right w:w="120" w:type="dxa"/>
            </w:tcMar>
            <w:vAlign w:val="center"/>
          </w:tcPr>
          <w:p w14:paraId="04EA2F7E" w14:textId="77777777" w:rsidR="00AB6DC4" w:rsidRDefault="00000000">
            <w:r>
              <w:rPr>
                <w:sz w:val="20"/>
                <w:szCs w:val="20"/>
              </w:rPr>
              <w:t>Churned Customers ÷ Total Customers (overall or within a segment).</w:t>
            </w:r>
          </w:p>
        </w:tc>
      </w:tr>
      <w:tr w:rsidR="00AB6DC4" w14:paraId="34C3AD71" w14:textId="77777777">
        <w:trPr>
          <w:cantSplit/>
        </w:trPr>
        <w:tc>
          <w:tcPr>
            <w:tcW w:w="2700" w:type="dxa"/>
            <w:tcBorders>
              <w:top w:val="single" w:sz="4" w:space="0" w:color="C9D6E6"/>
              <w:left w:val="single" w:sz="4" w:space="0" w:color="C9D6E6"/>
              <w:bottom w:val="single" w:sz="4" w:space="0" w:color="C9D6E6"/>
              <w:right w:val="single" w:sz="4" w:space="0" w:color="C9D6E6"/>
            </w:tcBorders>
            <w:shd w:val="clear" w:color="auto" w:fill="FFFFFF"/>
            <w:tcMar>
              <w:top w:w="70" w:type="dxa"/>
              <w:left w:w="120" w:type="dxa"/>
              <w:bottom w:w="70" w:type="dxa"/>
              <w:right w:w="120" w:type="dxa"/>
            </w:tcMar>
            <w:vAlign w:val="center"/>
          </w:tcPr>
          <w:p w14:paraId="77B82B7D" w14:textId="77777777" w:rsidR="00AB6DC4" w:rsidRDefault="00000000">
            <w:r>
              <w:rPr>
                <w:b/>
                <w:bCs/>
                <w:sz w:val="20"/>
                <w:szCs w:val="20"/>
              </w:rPr>
              <w:t>Retention Rate</w:t>
            </w:r>
          </w:p>
        </w:tc>
        <w:tc>
          <w:tcPr>
            <w:tcW w:w="6326" w:type="dxa"/>
            <w:tcBorders>
              <w:top w:val="single" w:sz="4" w:space="0" w:color="C9D6E6"/>
              <w:left w:val="single" w:sz="4" w:space="0" w:color="C9D6E6"/>
              <w:bottom w:val="single" w:sz="4" w:space="0" w:color="C9D6E6"/>
              <w:right w:val="single" w:sz="4" w:space="0" w:color="C9D6E6"/>
            </w:tcBorders>
            <w:shd w:val="clear" w:color="auto" w:fill="FFFFFF"/>
            <w:tcMar>
              <w:top w:w="70" w:type="dxa"/>
              <w:left w:w="120" w:type="dxa"/>
              <w:bottom w:w="70" w:type="dxa"/>
              <w:right w:w="120" w:type="dxa"/>
            </w:tcMar>
            <w:vAlign w:val="center"/>
          </w:tcPr>
          <w:p w14:paraId="6F694687" w14:textId="77777777" w:rsidR="00AB6DC4" w:rsidRDefault="00000000">
            <w:r>
              <w:rPr>
                <w:sz w:val="20"/>
                <w:szCs w:val="20"/>
              </w:rPr>
              <w:t>Retained Customers ÷ Total Customers.</w:t>
            </w:r>
          </w:p>
        </w:tc>
      </w:tr>
      <w:tr w:rsidR="00AB6DC4" w14:paraId="541DB713" w14:textId="77777777">
        <w:trPr>
          <w:cantSplit/>
        </w:trPr>
        <w:tc>
          <w:tcPr>
            <w:tcW w:w="2700" w:type="dxa"/>
            <w:tcBorders>
              <w:top w:val="single" w:sz="4" w:space="0" w:color="C9D6E6"/>
              <w:left w:val="single" w:sz="4" w:space="0" w:color="C9D6E6"/>
              <w:bottom w:val="single" w:sz="4" w:space="0" w:color="C9D6E6"/>
              <w:right w:val="single" w:sz="4" w:space="0" w:color="C9D6E6"/>
            </w:tcBorders>
            <w:shd w:val="clear" w:color="auto" w:fill="F3F8FD"/>
            <w:tcMar>
              <w:top w:w="70" w:type="dxa"/>
              <w:left w:w="120" w:type="dxa"/>
              <w:bottom w:w="70" w:type="dxa"/>
              <w:right w:w="120" w:type="dxa"/>
            </w:tcMar>
            <w:vAlign w:val="center"/>
          </w:tcPr>
          <w:p w14:paraId="51E1A064" w14:textId="77777777" w:rsidR="00AB6DC4" w:rsidRDefault="00000000">
            <w:r>
              <w:rPr>
                <w:b/>
                <w:bCs/>
                <w:sz w:val="20"/>
                <w:szCs w:val="20"/>
              </w:rPr>
              <w:t xml:space="preserve">Average </w:t>
            </w:r>
            <w:proofErr w:type="spellStart"/>
            <w:r>
              <w:rPr>
                <w:b/>
                <w:bCs/>
                <w:sz w:val="20"/>
                <w:szCs w:val="20"/>
              </w:rPr>
              <w:t>MonthlyCharges</w:t>
            </w:r>
            <w:proofErr w:type="spellEnd"/>
          </w:p>
        </w:tc>
        <w:tc>
          <w:tcPr>
            <w:tcW w:w="6326" w:type="dxa"/>
            <w:tcBorders>
              <w:top w:val="single" w:sz="4" w:space="0" w:color="C9D6E6"/>
              <w:left w:val="single" w:sz="4" w:space="0" w:color="C9D6E6"/>
              <w:bottom w:val="single" w:sz="4" w:space="0" w:color="C9D6E6"/>
              <w:right w:val="single" w:sz="4" w:space="0" w:color="C9D6E6"/>
            </w:tcBorders>
            <w:shd w:val="clear" w:color="auto" w:fill="F3F8FD"/>
            <w:tcMar>
              <w:top w:w="70" w:type="dxa"/>
              <w:left w:w="120" w:type="dxa"/>
              <w:bottom w:w="70" w:type="dxa"/>
              <w:right w:w="120" w:type="dxa"/>
            </w:tcMar>
            <w:vAlign w:val="center"/>
          </w:tcPr>
          <w:p w14:paraId="57D2FC16" w14:textId="77777777" w:rsidR="00AB6DC4" w:rsidRDefault="00000000">
            <w:r>
              <w:rPr>
                <w:sz w:val="20"/>
                <w:szCs w:val="20"/>
              </w:rPr>
              <w:t xml:space="preserve">Mean of </w:t>
            </w:r>
            <w:proofErr w:type="spellStart"/>
            <w:r>
              <w:rPr>
                <w:sz w:val="20"/>
                <w:szCs w:val="20"/>
              </w:rPr>
              <w:t>MonthlyCharges</w:t>
            </w:r>
            <w:proofErr w:type="spellEnd"/>
            <w:r>
              <w:rPr>
                <w:sz w:val="20"/>
                <w:szCs w:val="20"/>
              </w:rPr>
              <w:t xml:space="preserve"> for the customer group being </w:t>
            </w:r>
            <w:proofErr w:type="spellStart"/>
            <w:r>
              <w:rPr>
                <w:sz w:val="20"/>
                <w:szCs w:val="20"/>
              </w:rPr>
              <w:t>analyzed</w:t>
            </w:r>
            <w:proofErr w:type="spellEnd"/>
            <w:r>
              <w:rPr>
                <w:sz w:val="20"/>
                <w:szCs w:val="20"/>
              </w:rPr>
              <w:t>.</w:t>
            </w:r>
          </w:p>
        </w:tc>
      </w:tr>
      <w:tr w:rsidR="00AB6DC4" w14:paraId="231D0AF5" w14:textId="77777777">
        <w:trPr>
          <w:cantSplit/>
        </w:trPr>
        <w:tc>
          <w:tcPr>
            <w:tcW w:w="2700" w:type="dxa"/>
            <w:tcBorders>
              <w:top w:val="single" w:sz="4" w:space="0" w:color="C9D6E6"/>
              <w:left w:val="single" w:sz="4" w:space="0" w:color="C9D6E6"/>
              <w:bottom w:val="single" w:sz="4" w:space="0" w:color="C9D6E6"/>
              <w:right w:val="single" w:sz="4" w:space="0" w:color="C9D6E6"/>
            </w:tcBorders>
            <w:shd w:val="clear" w:color="auto" w:fill="FFFFFF"/>
            <w:tcMar>
              <w:top w:w="70" w:type="dxa"/>
              <w:left w:w="120" w:type="dxa"/>
              <w:bottom w:w="70" w:type="dxa"/>
              <w:right w:w="120" w:type="dxa"/>
            </w:tcMar>
            <w:vAlign w:val="center"/>
          </w:tcPr>
          <w:p w14:paraId="13054100" w14:textId="77777777" w:rsidR="00AB6DC4" w:rsidRDefault="00000000">
            <w:r>
              <w:rPr>
                <w:b/>
                <w:bCs/>
                <w:sz w:val="20"/>
                <w:szCs w:val="20"/>
              </w:rPr>
              <w:t>Tenure Group</w:t>
            </w:r>
          </w:p>
        </w:tc>
        <w:tc>
          <w:tcPr>
            <w:tcW w:w="6326" w:type="dxa"/>
            <w:tcBorders>
              <w:top w:val="single" w:sz="4" w:space="0" w:color="C9D6E6"/>
              <w:left w:val="single" w:sz="4" w:space="0" w:color="C9D6E6"/>
              <w:bottom w:val="single" w:sz="4" w:space="0" w:color="C9D6E6"/>
              <w:right w:val="single" w:sz="4" w:space="0" w:color="C9D6E6"/>
            </w:tcBorders>
            <w:shd w:val="clear" w:color="auto" w:fill="FFFFFF"/>
            <w:tcMar>
              <w:top w:w="70" w:type="dxa"/>
              <w:left w:w="120" w:type="dxa"/>
              <w:bottom w:w="70" w:type="dxa"/>
              <w:right w:w="120" w:type="dxa"/>
            </w:tcMar>
            <w:vAlign w:val="center"/>
          </w:tcPr>
          <w:p w14:paraId="4B9B6275" w14:textId="77777777" w:rsidR="00AB6DC4" w:rsidRDefault="00000000">
            <w:r>
              <w:rPr>
                <w:sz w:val="20"/>
                <w:szCs w:val="20"/>
              </w:rPr>
              <w:t>Customer tenure in months, grouped as 0–12, 13–24, 25–48, and 49–72.</w:t>
            </w:r>
          </w:p>
        </w:tc>
      </w:tr>
    </w:tbl>
    <w:p w14:paraId="2C3A146C" w14:textId="77777777" w:rsidR="00AB6DC4" w:rsidRDefault="00000000">
      <w:pPr>
        <w:spacing w:before="60" w:after="200"/>
      </w:pPr>
      <w:r>
        <w:rPr>
          <w:i/>
          <w:iCs/>
          <w:color w:val="595959"/>
          <w:sz w:val="18"/>
          <w:szCs w:val="18"/>
        </w:rPr>
        <w:t>Table 13. KPI definitions.</w:t>
      </w:r>
    </w:p>
    <w:p w14:paraId="4B2E4EA6" w14:textId="77777777" w:rsidR="00AB6DC4" w:rsidRDefault="00000000">
      <w:pPr>
        <w:spacing w:after="120" w:line="276" w:lineRule="auto"/>
      </w:pPr>
      <w:r>
        <w:t>Worked example: overall churn rate = 1,869 ÷ 7,043 = 26.54%; retention rate = 5,174 ÷ 7,043 = 73.46%.</w:t>
      </w:r>
    </w:p>
    <w:p w14:paraId="4A8C00DC" w14:textId="77777777" w:rsidR="00AB6DC4" w:rsidRDefault="00000000">
      <w:pPr>
        <w:pStyle w:val="Heading1"/>
      </w:pPr>
      <w:bookmarkStart w:id="31" w:name="h31"/>
      <w:r>
        <w:t>Appendix B: Project Deliverables Checklist</w:t>
      </w:r>
      <w:bookmarkEnd w:id="31"/>
    </w:p>
    <w:p w14:paraId="7809C77E" w14:textId="77777777" w:rsidR="00AB6DC4" w:rsidRDefault="00000000">
      <w:pPr>
        <w:spacing w:after="120" w:line="276" w:lineRule="auto"/>
      </w:pPr>
      <w:r>
        <w:t>Statuses below are deliberately conservative. Items are not marked complete unless verified; before submission, update this checklist against the actual project folder, verify all metrics, and export the reviewed report to PDF.</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26"/>
      </w:tblGrid>
      <w:tr w:rsidR="00AB6DC4" w14:paraId="57D12C3C" w14:textId="77777777">
        <w:trPr>
          <w:cantSplit/>
          <w:tblHeader/>
        </w:trPr>
        <w:tc>
          <w:tcPr>
            <w:tcW w:w="3000" w:type="dxa"/>
            <w:tcBorders>
              <w:top w:val="single" w:sz="4" w:space="0" w:color="C9D6E6"/>
              <w:left w:val="single" w:sz="4" w:space="0" w:color="C9D6E6"/>
              <w:bottom w:val="single" w:sz="4" w:space="0" w:color="C9D6E6"/>
              <w:right w:val="single" w:sz="4" w:space="0" w:color="C9D6E6"/>
            </w:tcBorders>
            <w:shd w:val="clear" w:color="auto" w:fill="1F3864"/>
            <w:tcMar>
              <w:top w:w="70" w:type="dxa"/>
              <w:left w:w="120" w:type="dxa"/>
              <w:bottom w:w="70" w:type="dxa"/>
              <w:right w:w="120" w:type="dxa"/>
            </w:tcMar>
            <w:vAlign w:val="center"/>
          </w:tcPr>
          <w:p w14:paraId="2A37293B" w14:textId="77777777" w:rsidR="00AB6DC4" w:rsidRDefault="00000000">
            <w:r>
              <w:rPr>
                <w:b/>
                <w:bCs/>
                <w:color w:val="FFFFFF"/>
                <w:sz w:val="20"/>
                <w:szCs w:val="20"/>
              </w:rPr>
              <w:t>Deliverable</w:t>
            </w:r>
          </w:p>
        </w:tc>
        <w:tc>
          <w:tcPr>
            <w:tcW w:w="3000" w:type="dxa"/>
            <w:tcBorders>
              <w:top w:val="single" w:sz="4" w:space="0" w:color="C9D6E6"/>
              <w:left w:val="single" w:sz="4" w:space="0" w:color="C9D6E6"/>
              <w:bottom w:val="single" w:sz="4" w:space="0" w:color="C9D6E6"/>
              <w:right w:val="single" w:sz="4" w:space="0" w:color="C9D6E6"/>
            </w:tcBorders>
            <w:shd w:val="clear" w:color="auto" w:fill="1F3864"/>
            <w:tcMar>
              <w:top w:w="70" w:type="dxa"/>
              <w:left w:w="120" w:type="dxa"/>
              <w:bottom w:w="70" w:type="dxa"/>
              <w:right w:w="120" w:type="dxa"/>
            </w:tcMar>
            <w:vAlign w:val="center"/>
          </w:tcPr>
          <w:p w14:paraId="21358B09" w14:textId="77777777" w:rsidR="00AB6DC4" w:rsidRDefault="00000000">
            <w:r>
              <w:rPr>
                <w:b/>
                <w:bCs/>
                <w:color w:val="FFFFFF"/>
                <w:sz w:val="20"/>
                <w:szCs w:val="20"/>
              </w:rPr>
              <w:t>Expected filename</w:t>
            </w:r>
          </w:p>
        </w:tc>
        <w:tc>
          <w:tcPr>
            <w:tcW w:w="3026" w:type="dxa"/>
            <w:tcBorders>
              <w:top w:val="single" w:sz="4" w:space="0" w:color="C9D6E6"/>
              <w:left w:val="single" w:sz="4" w:space="0" w:color="C9D6E6"/>
              <w:bottom w:val="single" w:sz="4" w:space="0" w:color="C9D6E6"/>
              <w:right w:val="single" w:sz="4" w:space="0" w:color="C9D6E6"/>
            </w:tcBorders>
            <w:shd w:val="clear" w:color="auto" w:fill="1F3864"/>
            <w:tcMar>
              <w:top w:w="70" w:type="dxa"/>
              <w:left w:w="120" w:type="dxa"/>
              <w:bottom w:w="70" w:type="dxa"/>
              <w:right w:w="120" w:type="dxa"/>
            </w:tcMar>
            <w:vAlign w:val="center"/>
          </w:tcPr>
          <w:p w14:paraId="1E23A081" w14:textId="77777777" w:rsidR="00AB6DC4" w:rsidRDefault="00000000">
            <w:r>
              <w:rPr>
                <w:b/>
                <w:bCs/>
                <w:color w:val="FFFFFF"/>
                <w:sz w:val="20"/>
                <w:szCs w:val="20"/>
              </w:rPr>
              <w:t>Status</w:t>
            </w:r>
          </w:p>
        </w:tc>
      </w:tr>
      <w:tr w:rsidR="00AB6DC4" w14:paraId="305CFDEA" w14:textId="77777777">
        <w:trPr>
          <w:cantSplit/>
        </w:trPr>
        <w:tc>
          <w:tcPr>
            <w:tcW w:w="3000" w:type="dxa"/>
            <w:tcBorders>
              <w:top w:val="single" w:sz="4" w:space="0" w:color="C9D6E6"/>
              <w:left w:val="single" w:sz="4" w:space="0" w:color="C9D6E6"/>
              <w:bottom w:val="single" w:sz="4" w:space="0" w:color="C9D6E6"/>
              <w:right w:val="single" w:sz="4" w:space="0" w:color="C9D6E6"/>
            </w:tcBorders>
            <w:shd w:val="clear" w:color="auto" w:fill="FFFFFF"/>
            <w:tcMar>
              <w:top w:w="70" w:type="dxa"/>
              <w:left w:w="120" w:type="dxa"/>
              <w:bottom w:w="70" w:type="dxa"/>
              <w:right w:w="120" w:type="dxa"/>
            </w:tcMar>
            <w:vAlign w:val="center"/>
          </w:tcPr>
          <w:p w14:paraId="0E9ADC8E" w14:textId="77777777" w:rsidR="00AB6DC4" w:rsidRDefault="00000000">
            <w:r>
              <w:rPr>
                <w:b/>
                <w:bCs/>
                <w:sz w:val="20"/>
                <w:szCs w:val="20"/>
              </w:rPr>
              <w:t>Project report</w:t>
            </w:r>
          </w:p>
        </w:tc>
        <w:tc>
          <w:tcPr>
            <w:tcW w:w="3000" w:type="dxa"/>
            <w:tcBorders>
              <w:top w:val="single" w:sz="4" w:space="0" w:color="C9D6E6"/>
              <w:left w:val="single" w:sz="4" w:space="0" w:color="C9D6E6"/>
              <w:bottom w:val="single" w:sz="4" w:space="0" w:color="C9D6E6"/>
              <w:right w:val="single" w:sz="4" w:space="0" w:color="C9D6E6"/>
            </w:tcBorders>
            <w:shd w:val="clear" w:color="auto" w:fill="FFFFFF"/>
            <w:tcMar>
              <w:top w:w="70" w:type="dxa"/>
              <w:left w:w="120" w:type="dxa"/>
              <w:bottom w:w="70" w:type="dxa"/>
              <w:right w:w="120" w:type="dxa"/>
            </w:tcMar>
            <w:vAlign w:val="center"/>
          </w:tcPr>
          <w:p w14:paraId="660BF67F" w14:textId="77777777" w:rsidR="00AB6DC4" w:rsidRDefault="00000000">
            <w:r>
              <w:rPr>
                <w:sz w:val="20"/>
                <w:szCs w:val="20"/>
              </w:rPr>
              <w:t>01_Project_Report.docx / .pdf</w:t>
            </w:r>
          </w:p>
        </w:tc>
        <w:tc>
          <w:tcPr>
            <w:tcW w:w="3026" w:type="dxa"/>
            <w:tcBorders>
              <w:top w:val="single" w:sz="4" w:space="0" w:color="C9D6E6"/>
              <w:left w:val="single" w:sz="4" w:space="0" w:color="C9D6E6"/>
              <w:bottom w:val="single" w:sz="4" w:space="0" w:color="C9D6E6"/>
              <w:right w:val="single" w:sz="4" w:space="0" w:color="C9D6E6"/>
            </w:tcBorders>
            <w:shd w:val="clear" w:color="auto" w:fill="FFFFFF"/>
            <w:tcMar>
              <w:top w:w="70" w:type="dxa"/>
              <w:left w:w="120" w:type="dxa"/>
              <w:bottom w:w="70" w:type="dxa"/>
              <w:right w:w="120" w:type="dxa"/>
            </w:tcMar>
            <w:vAlign w:val="center"/>
          </w:tcPr>
          <w:p w14:paraId="73FC47D7" w14:textId="77777777" w:rsidR="00AB6DC4" w:rsidRDefault="00000000">
            <w:r>
              <w:rPr>
                <w:sz w:val="20"/>
                <w:szCs w:val="20"/>
              </w:rPr>
              <w:t>Word draft; review, then export to PDF</w:t>
            </w:r>
          </w:p>
        </w:tc>
      </w:tr>
      <w:tr w:rsidR="00AB6DC4" w14:paraId="280E48A6" w14:textId="77777777">
        <w:trPr>
          <w:cantSplit/>
        </w:trPr>
        <w:tc>
          <w:tcPr>
            <w:tcW w:w="3000" w:type="dxa"/>
            <w:tcBorders>
              <w:top w:val="single" w:sz="4" w:space="0" w:color="C9D6E6"/>
              <w:left w:val="single" w:sz="4" w:space="0" w:color="C9D6E6"/>
              <w:bottom w:val="single" w:sz="4" w:space="0" w:color="C9D6E6"/>
              <w:right w:val="single" w:sz="4" w:space="0" w:color="C9D6E6"/>
            </w:tcBorders>
            <w:shd w:val="clear" w:color="auto" w:fill="F3F8FD"/>
            <w:tcMar>
              <w:top w:w="70" w:type="dxa"/>
              <w:left w:w="120" w:type="dxa"/>
              <w:bottom w:w="70" w:type="dxa"/>
              <w:right w:w="120" w:type="dxa"/>
            </w:tcMar>
            <w:vAlign w:val="center"/>
          </w:tcPr>
          <w:p w14:paraId="7A85C8C1" w14:textId="77777777" w:rsidR="00AB6DC4" w:rsidRDefault="00000000">
            <w:r>
              <w:rPr>
                <w:b/>
                <w:bCs/>
                <w:sz w:val="20"/>
                <w:szCs w:val="20"/>
              </w:rPr>
              <w:t>Excel analysis</w:t>
            </w:r>
          </w:p>
        </w:tc>
        <w:tc>
          <w:tcPr>
            <w:tcW w:w="3000" w:type="dxa"/>
            <w:tcBorders>
              <w:top w:val="single" w:sz="4" w:space="0" w:color="C9D6E6"/>
              <w:left w:val="single" w:sz="4" w:space="0" w:color="C9D6E6"/>
              <w:bottom w:val="single" w:sz="4" w:space="0" w:color="C9D6E6"/>
              <w:right w:val="single" w:sz="4" w:space="0" w:color="C9D6E6"/>
            </w:tcBorders>
            <w:shd w:val="clear" w:color="auto" w:fill="F3F8FD"/>
            <w:tcMar>
              <w:top w:w="70" w:type="dxa"/>
              <w:left w:w="120" w:type="dxa"/>
              <w:bottom w:w="70" w:type="dxa"/>
              <w:right w:w="120" w:type="dxa"/>
            </w:tcMar>
            <w:vAlign w:val="center"/>
          </w:tcPr>
          <w:p w14:paraId="797390A4" w14:textId="77777777" w:rsidR="00AB6DC4" w:rsidRDefault="00000000">
            <w:r>
              <w:rPr>
                <w:sz w:val="20"/>
                <w:szCs w:val="20"/>
              </w:rPr>
              <w:t>02_Excel_Analysis.xlsx</w:t>
            </w:r>
          </w:p>
        </w:tc>
        <w:tc>
          <w:tcPr>
            <w:tcW w:w="3026" w:type="dxa"/>
            <w:tcBorders>
              <w:top w:val="single" w:sz="4" w:space="0" w:color="C9D6E6"/>
              <w:left w:val="single" w:sz="4" w:space="0" w:color="C9D6E6"/>
              <w:bottom w:val="single" w:sz="4" w:space="0" w:color="C9D6E6"/>
              <w:right w:val="single" w:sz="4" w:space="0" w:color="C9D6E6"/>
            </w:tcBorders>
            <w:shd w:val="clear" w:color="auto" w:fill="F3F8FD"/>
            <w:tcMar>
              <w:top w:w="70" w:type="dxa"/>
              <w:left w:w="120" w:type="dxa"/>
              <w:bottom w:w="70" w:type="dxa"/>
              <w:right w:w="120" w:type="dxa"/>
            </w:tcMar>
            <w:vAlign w:val="center"/>
          </w:tcPr>
          <w:p w14:paraId="6180DF95" w14:textId="77777777" w:rsidR="00AB6DC4" w:rsidRDefault="00000000">
            <w:r>
              <w:rPr>
                <w:sz w:val="20"/>
                <w:szCs w:val="20"/>
              </w:rPr>
              <w:t>Not verified here; confirm</w:t>
            </w:r>
          </w:p>
        </w:tc>
      </w:tr>
      <w:tr w:rsidR="00AB6DC4" w14:paraId="1327E9C6" w14:textId="77777777">
        <w:trPr>
          <w:cantSplit/>
        </w:trPr>
        <w:tc>
          <w:tcPr>
            <w:tcW w:w="3000" w:type="dxa"/>
            <w:tcBorders>
              <w:top w:val="single" w:sz="4" w:space="0" w:color="C9D6E6"/>
              <w:left w:val="single" w:sz="4" w:space="0" w:color="C9D6E6"/>
              <w:bottom w:val="single" w:sz="4" w:space="0" w:color="C9D6E6"/>
              <w:right w:val="single" w:sz="4" w:space="0" w:color="C9D6E6"/>
            </w:tcBorders>
            <w:shd w:val="clear" w:color="auto" w:fill="FFFFFF"/>
            <w:tcMar>
              <w:top w:w="70" w:type="dxa"/>
              <w:left w:w="120" w:type="dxa"/>
              <w:bottom w:w="70" w:type="dxa"/>
              <w:right w:w="120" w:type="dxa"/>
            </w:tcMar>
            <w:vAlign w:val="center"/>
          </w:tcPr>
          <w:p w14:paraId="4705C2E6" w14:textId="77777777" w:rsidR="00AB6DC4" w:rsidRDefault="00000000">
            <w:r>
              <w:rPr>
                <w:b/>
                <w:bCs/>
                <w:sz w:val="20"/>
                <w:szCs w:val="20"/>
              </w:rPr>
              <w:t>SQL queries</w:t>
            </w:r>
          </w:p>
        </w:tc>
        <w:tc>
          <w:tcPr>
            <w:tcW w:w="3000" w:type="dxa"/>
            <w:tcBorders>
              <w:top w:val="single" w:sz="4" w:space="0" w:color="C9D6E6"/>
              <w:left w:val="single" w:sz="4" w:space="0" w:color="C9D6E6"/>
              <w:bottom w:val="single" w:sz="4" w:space="0" w:color="C9D6E6"/>
              <w:right w:val="single" w:sz="4" w:space="0" w:color="C9D6E6"/>
            </w:tcBorders>
            <w:shd w:val="clear" w:color="auto" w:fill="FFFFFF"/>
            <w:tcMar>
              <w:top w:w="70" w:type="dxa"/>
              <w:left w:w="120" w:type="dxa"/>
              <w:bottom w:w="70" w:type="dxa"/>
              <w:right w:w="120" w:type="dxa"/>
            </w:tcMar>
            <w:vAlign w:val="center"/>
          </w:tcPr>
          <w:p w14:paraId="4312CD0B" w14:textId="77777777" w:rsidR="00AB6DC4" w:rsidRDefault="00000000">
            <w:r>
              <w:rPr>
                <w:sz w:val="20"/>
                <w:szCs w:val="20"/>
              </w:rPr>
              <w:t>03_SQL_Queries.sql</w:t>
            </w:r>
          </w:p>
        </w:tc>
        <w:tc>
          <w:tcPr>
            <w:tcW w:w="3026" w:type="dxa"/>
            <w:tcBorders>
              <w:top w:val="single" w:sz="4" w:space="0" w:color="C9D6E6"/>
              <w:left w:val="single" w:sz="4" w:space="0" w:color="C9D6E6"/>
              <w:bottom w:val="single" w:sz="4" w:space="0" w:color="C9D6E6"/>
              <w:right w:val="single" w:sz="4" w:space="0" w:color="C9D6E6"/>
            </w:tcBorders>
            <w:shd w:val="clear" w:color="auto" w:fill="FFFFFF"/>
            <w:tcMar>
              <w:top w:w="70" w:type="dxa"/>
              <w:left w:w="120" w:type="dxa"/>
              <w:bottom w:w="70" w:type="dxa"/>
              <w:right w:w="120" w:type="dxa"/>
            </w:tcMar>
            <w:vAlign w:val="center"/>
          </w:tcPr>
          <w:p w14:paraId="4350F085" w14:textId="77777777" w:rsidR="00AB6DC4" w:rsidRDefault="00000000">
            <w:r>
              <w:rPr>
                <w:sz w:val="20"/>
                <w:szCs w:val="20"/>
              </w:rPr>
              <w:t>Not verified here; confirm</w:t>
            </w:r>
          </w:p>
        </w:tc>
      </w:tr>
      <w:tr w:rsidR="00AB6DC4" w14:paraId="392F5861" w14:textId="77777777">
        <w:trPr>
          <w:cantSplit/>
        </w:trPr>
        <w:tc>
          <w:tcPr>
            <w:tcW w:w="3000" w:type="dxa"/>
            <w:tcBorders>
              <w:top w:val="single" w:sz="4" w:space="0" w:color="C9D6E6"/>
              <w:left w:val="single" w:sz="4" w:space="0" w:color="C9D6E6"/>
              <w:bottom w:val="single" w:sz="4" w:space="0" w:color="C9D6E6"/>
              <w:right w:val="single" w:sz="4" w:space="0" w:color="C9D6E6"/>
            </w:tcBorders>
            <w:shd w:val="clear" w:color="auto" w:fill="F3F8FD"/>
            <w:tcMar>
              <w:top w:w="70" w:type="dxa"/>
              <w:left w:w="120" w:type="dxa"/>
              <w:bottom w:w="70" w:type="dxa"/>
              <w:right w:w="120" w:type="dxa"/>
            </w:tcMar>
            <w:vAlign w:val="center"/>
          </w:tcPr>
          <w:p w14:paraId="7D400108" w14:textId="77777777" w:rsidR="00AB6DC4" w:rsidRDefault="00000000">
            <w:r>
              <w:rPr>
                <w:b/>
                <w:bCs/>
                <w:sz w:val="20"/>
                <w:szCs w:val="20"/>
              </w:rPr>
              <w:t>Python EDA</w:t>
            </w:r>
          </w:p>
        </w:tc>
        <w:tc>
          <w:tcPr>
            <w:tcW w:w="3000" w:type="dxa"/>
            <w:tcBorders>
              <w:top w:val="single" w:sz="4" w:space="0" w:color="C9D6E6"/>
              <w:left w:val="single" w:sz="4" w:space="0" w:color="C9D6E6"/>
              <w:bottom w:val="single" w:sz="4" w:space="0" w:color="C9D6E6"/>
              <w:right w:val="single" w:sz="4" w:space="0" w:color="C9D6E6"/>
            </w:tcBorders>
            <w:shd w:val="clear" w:color="auto" w:fill="F3F8FD"/>
            <w:tcMar>
              <w:top w:w="70" w:type="dxa"/>
              <w:left w:w="120" w:type="dxa"/>
              <w:bottom w:w="70" w:type="dxa"/>
              <w:right w:w="120" w:type="dxa"/>
            </w:tcMar>
            <w:vAlign w:val="center"/>
          </w:tcPr>
          <w:p w14:paraId="1B748146" w14:textId="77777777" w:rsidR="00AB6DC4" w:rsidRDefault="00000000">
            <w:r>
              <w:rPr>
                <w:sz w:val="20"/>
                <w:szCs w:val="20"/>
              </w:rPr>
              <w:t>04_Python_EDA.ipynb</w:t>
            </w:r>
          </w:p>
        </w:tc>
        <w:tc>
          <w:tcPr>
            <w:tcW w:w="3026" w:type="dxa"/>
            <w:tcBorders>
              <w:top w:val="single" w:sz="4" w:space="0" w:color="C9D6E6"/>
              <w:left w:val="single" w:sz="4" w:space="0" w:color="C9D6E6"/>
              <w:bottom w:val="single" w:sz="4" w:space="0" w:color="C9D6E6"/>
              <w:right w:val="single" w:sz="4" w:space="0" w:color="C9D6E6"/>
            </w:tcBorders>
            <w:shd w:val="clear" w:color="auto" w:fill="F3F8FD"/>
            <w:tcMar>
              <w:top w:w="70" w:type="dxa"/>
              <w:left w:w="120" w:type="dxa"/>
              <w:bottom w:w="70" w:type="dxa"/>
              <w:right w:w="120" w:type="dxa"/>
            </w:tcMar>
            <w:vAlign w:val="center"/>
          </w:tcPr>
          <w:p w14:paraId="5F902D86" w14:textId="77777777" w:rsidR="00AB6DC4" w:rsidRDefault="00000000">
            <w:r>
              <w:rPr>
                <w:sz w:val="20"/>
                <w:szCs w:val="20"/>
              </w:rPr>
              <w:t>Not verified here; confirm</w:t>
            </w:r>
          </w:p>
        </w:tc>
      </w:tr>
      <w:tr w:rsidR="00AB6DC4" w14:paraId="54317F4E" w14:textId="77777777">
        <w:trPr>
          <w:cantSplit/>
        </w:trPr>
        <w:tc>
          <w:tcPr>
            <w:tcW w:w="3000" w:type="dxa"/>
            <w:tcBorders>
              <w:top w:val="single" w:sz="4" w:space="0" w:color="C9D6E6"/>
              <w:left w:val="single" w:sz="4" w:space="0" w:color="C9D6E6"/>
              <w:bottom w:val="single" w:sz="4" w:space="0" w:color="C9D6E6"/>
              <w:right w:val="single" w:sz="4" w:space="0" w:color="C9D6E6"/>
            </w:tcBorders>
            <w:shd w:val="clear" w:color="auto" w:fill="FFFFFF"/>
            <w:tcMar>
              <w:top w:w="70" w:type="dxa"/>
              <w:left w:w="120" w:type="dxa"/>
              <w:bottom w:w="70" w:type="dxa"/>
              <w:right w:w="120" w:type="dxa"/>
            </w:tcMar>
            <w:vAlign w:val="center"/>
          </w:tcPr>
          <w:p w14:paraId="685E4DE3" w14:textId="77777777" w:rsidR="00AB6DC4" w:rsidRDefault="00000000">
            <w:r>
              <w:rPr>
                <w:b/>
                <w:bCs/>
                <w:sz w:val="20"/>
                <w:szCs w:val="20"/>
              </w:rPr>
              <w:lastRenderedPageBreak/>
              <w:t>Power BI dashboard</w:t>
            </w:r>
          </w:p>
        </w:tc>
        <w:tc>
          <w:tcPr>
            <w:tcW w:w="3000" w:type="dxa"/>
            <w:tcBorders>
              <w:top w:val="single" w:sz="4" w:space="0" w:color="C9D6E6"/>
              <w:left w:val="single" w:sz="4" w:space="0" w:color="C9D6E6"/>
              <w:bottom w:val="single" w:sz="4" w:space="0" w:color="C9D6E6"/>
              <w:right w:val="single" w:sz="4" w:space="0" w:color="C9D6E6"/>
            </w:tcBorders>
            <w:shd w:val="clear" w:color="auto" w:fill="FFFFFF"/>
            <w:tcMar>
              <w:top w:w="70" w:type="dxa"/>
              <w:left w:w="120" w:type="dxa"/>
              <w:bottom w:w="70" w:type="dxa"/>
              <w:right w:w="120" w:type="dxa"/>
            </w:tcMar>
            <w:vAlign w:val="center"/>
          </w:tcPr>
          <w:p w14:paraId="04DEF6B4" w14:textId="77777777" w:rsidR="00AB6DC4" w:rsidRDefault="00000000">
            <w:r>
              <w:rPr>
                <w:sz w:val="20"/>
                <w:szCs w:val="20"/>
              </w:rPr>
              <w:t>05_PowerBI_Dashboard.pbix</w:t>
            </w:r>
          </w:p>
        </w:tc>
        <w:tc>
          <w:tcPr>
            <w:tcW w:w="3026" w:type="dxa"/>
            <w:tcBorders>
              <w:top w:val="single" w:sz="4" w:space="0" w:color="C9D6E6"/>
              <w:left w:val="single" w:sz="4" w:space="0" w:color="C9D6E6"/>
              <w:bottom w:val="single" w:sz="4" w:space="0" w:color="C9D6E6"/>
              <w:right w:val="single" w:sz="4" w:space="0" w:color="C9D6E6"/>
            </w:tcBorders>
            <w:shd w:val="clear" w:color="auto" w:fill="FFFFFF"/>
            <w:tcMar>
              <w:top w:w="70" w:type="dxa"/>
              <w:left w:w="120" w:type="dxa"/>
              <w:bottom w:w="70" w:type="dxa"/>
              <w:right w:w="120" w:type="dxa"/>
            </w:tcMar>
            <w:vAlign w:val="center"/>
          </w:tcPr>
          <w:p w14:paraId="78AB06D1" w14:textId="77777777" w:rsidR="00AB6DC4" w:rsidRDefault="00000000">
            <w:r>
              <w:rPr>
                <w:sz w:val="20"/>
                <w:szCs w:val="20"/>
              </w:rPr>
              <w:t>Not independently audited; confirm</w:t>
            </w:r>
          </w:p>
        </w:tc>
      </w:tr>
      <w:tr w:rsidR="00AB6DC4" w14:paraId="2B01EFA8" w14:textId="77777777">
        <w:trPr>
          <w:cantSplit/>
        </w:trPr>
        <w:tc>
          <w:tcPr>
            <w:tcW w:w="3000" w:type="dxa"/>
            <w:tcBorders>
              <w:top w:val="single" w:sz="4" w:space="0" w:color="C9D6E6"/>
              <w:left w:val="single" w:sz="4" w:space="0" w:color="C9D6E6"/>
              <w:bottom w:val="single" w:sz="4" w:space="0" w:color="C9D6E6"/>
              <w:right w:val="single" w:sz="4" w:space="0" w:color="C9D6E6"/>
            </w:tcBorders>
            <w:shd w:val="clear" w:color="auto" w:fill="F3F8FD"/>
            <w:tcMar>
              <w:top w:w="70" w:type="dxa"/>
              <w:left w:w="120" w:type="dxa"/>
              <w:bottom w:w="70" w:type="dxa"/>
              <w:right w:w="120" w:type="dxa"/>
            </w:tcMar>
            <w:vAlign w:val="center"/>
          </w:tcPr>
          <w:p w14:paraId="09EDA516" w14:textId="77777777" w:rsidR="00AB6DC4" w:rsidRDefault="00000000">
            <w:r>
              <w:rPr>
                <w:b/>
                <w:bCs/>
                <w:sz w:val="20"/>
                <w:szCs w:val="20"/>
              </w:rPr>
              <w:t>Presentation</w:t>
            </w:r>
          </w:p>
        </w:tc>
        <w:tc>
          <w:tcPr>
            <w:tcW w:w="3000" w:type="dxa"/>
            <w:tcBorders>
              <w:top w:val="single" w:sz="4" w:space="0" w:color="C9D6E6"/>
              <w:left w:val="single" w:sz="4" w:space="0" w:color="C9D6E6"/>
              <w:bottom w:val="single" w:sz="4" w:space="0" w:color="C9D6E6"/>
              <w:right w:val="single" w:sz="4" w:space="0" w:color="C9D6E6"/>
            </w:tcBorders>
            <w:shd w:val="clear" w:color="auto" w:fill="F3F8FD"/>
            <w:tcMar>
              <w:top w:w="70" w:type="dxa"/>
              <w:left w:w="120" w:type="dxa"/>
              <w:bottom w:w="70" w:type="dxa"/>
              <w:right w:w="120" w:type="dxa"/>
            </w:tcMar>
            <w:vAlign w:val="center"/>
          </w:tcPr>
          <w:p w14:paraId="7CE2F6FC" w14:textId="77777777" w:rsidR="00AB6DC4" w:rsidRDefault="00000000">
            <w:r>
              <w:rPr>
                <w:sz w:val="20"/>
                <w:szCs w:val="20"/>
              </w:rPr>
              <w:t>06_Presentation.pptx</w:t>
            </w:r>
          </w:p>
        </w:tc>
        <w:tc>
          <w:tcPr>
            <w:tcW w:w="3026" w:type="dxa"/>
            <w:tcBorders>
              <w:top w:val="single" w:sz="4" w:space="0" w:color="C9D6E6"/>
              <w:left w:val="single" w:sz="4" w:space="0" w:color="C9D6E6"/>
              <w:bottom w:val="single" w:sz="4" w:space="0" w:color="C9D6E6"/>
              <w:right w:val="single" w:sz="4" w:space="0" w:color="C9D6E6"/>
            </w:tcBorders>
            <w:shd w:val="clear" w:color="auto" w:fill="F3F8FD"/>
            <w:tcMar>
              <w:top w:w="70" w:type="dxa"/>
              <w:left w:w="120" w:type="dxa"/>
              <w:bottom w:w="70" w:type="dxa"/>
              <w:right w:w="120" w:type="dxa"/>
            </w:tcMar>
            <w:vAlign w:val="center"/>
          </w:tcPr>
          <w:p w14:paraId="2A2A1204" w14:textId="77777777" w:rsidR="00AB6DC4" w:rsidRDefault="00000000">
            <w:r>
              <w:rPr>
                <w:sz w:val="20"/>
                <w:szCs w:val="20"/>
              </w:rPr>
              <w:t>Pending / unverified</w:t>
            </w:r>
          </w:p>
        </w:tc>
      </w:tr>
      <w:tr w:rsidR="00AB6DC4" w14:paraId="2A6428C6" w14:textId="77777777">
        <w:trPr>
          <w:cantSplit/>
        </w:trPr>
        <w:tc>
          <w:tcPr>
            <w:tcW w:w="3000" w:type="dxa"/>
            <w:tcBorders>
              <w:top w:val="single" w:sz="4" w:space="0" w:color="C9D6E6"/>
              <w:left w:val="single" w:sz="4" w:space="0" w:color="C9D6E6"/>
              <w:bottom w:val="single" w:sz="4" w:space="0" w:color="C9D6E6"/>
              <w:right w:val="single" w:sz="4" w:space="0" w:color="C9D6E6"/>
            </w:tcBorders>
            <w:shd w:val="clear" w:color="auto" w:fill="FFFFFF"/>
            <w:tcMar>
              <w:top w:w="70" w:type="dxa"/>
              <w:left w:w="120" w:type="dxa"/>
              <w:bottom w:w="70" w:type="dxa"/>
              <w:right w:w="120" w:type="dxa"/>
            </w:tcMar>
            <w:vAlign w:val="center"/>
          </w:tcPr>
          <w:p w14:paraId="0453CF76" w14:textId="77777777" w:rsidR="00AB6DC4" w:rsidRDefault="00000000">
            <w:r>
              <w:rPr>
                <w:b/>
                <w:bCs/>
                <w:sz w:val="20"/>
                <w:szCs w:val="20"/>
              </w:rPr>
              <w:t>README</w:t>
            </w:r>
          </w:p>
        </w:tc>
        <w:tc>
          <w:tcPr>
            <w:tcW w:w="3000" w:type="dxa"/>
            <w:tcBorders>
              <w:top w:val="single" w:sz="4" w:space="0" w:color="C9D6E6"/>
              <w:left w:val="single" w:sz="4" w:space="0" w:color="C9D6E6"/>
              <w:bottom w:val="single" w:sz="4" w:space="0" w:color="C9D6E6"/>
              <w:right w:val="single" w:sz="4" w:space="0" w:color="C9D6E6"/>
            </w:tcBorders>
            <w:shd w:val="clear" w:color="auto" w:fill="FFFFFF"/>
            <w:tcMar>
              <w:top w:w="70" w:type="dxa"/>
              <w:left w:w="120" w:type="dxa"/>
              <w:bottom w:w="70" w:type="dxa"/>
              <w:right w:w="120" w:type="dxa"/>
            </w:tcMar>
            <w:vAlign w:val="center"/>
          </w:tcPr>
          <w:p w14:paraId="1E4A83AA" w14:textId="77777777" w:rsidR="00AB6DC4" w:rsidRDefault="00000000">
            <w:r>
              <w:rPr>
                <w:sz w:val="20"/>
                <w:szCs w:val="20"/>
              </w:rPr>
              <w:t>07_ReadMe.pdf</w:t>
            </w:r>
          </w:p>
        </w:tc>
        <w:tc>
          <w:tcPr>
            <w:tcW w:w="3026" w:type="dxa"/>
            <w:tcBorders>
              <w:top w:val="single" w:sz="4" w:space="0" w:color="C9D6E6"/>
              <w:left w:val="single" w:sz="4" w:space="0" w:color="C9D6E6"/>
              <w:bottom w:val="single" w:sz="4" w:space="0" w:color="C9D6E6"/>
              <w:right w:val="single" w:sz="4" w:space="0" w:color="C9D6E6"/>
            </w:tcBorders>
            <w:shd w:val="clear" w:color="auto" w:fill="FFFFFF"/>
            <w:tcMar>
              <w:top w:w="70" w:type="dxa"/>
              <w:left w:w="120" w:type="dxa"/>
              <w:bottom w:w="70" w:type="dxa"/>
              <w:right w:w="120" w:type="dxa"/>
            </w:tcMar>
            <w:vAlign w:val="center"/>
          </w:tcPr>
          <w:p w14:paraId="2BA9C12A" w14:textId="77777777" w:rsidR="00AB6DC4" w:rsidRDefault="00000000">
            <w:r>
              <w:rPr>
                <w:sz w:val="20"/>
                <w:szCs w:val="20"/>
              </w:rPr>
              <w:t>Pending / unverified</w:t>
            </w:r>
          </w:p>
        </w:tc>
      </w:tr>
    </w:tbl>
    <w:p w14:paraId="5F7CF677" w14:textId="77777777" w:rsidR="00AB6DC4" w:rsidRDefault="00000000">
      <w:pPr>
        <w:spacing w:before="60" w:after="200"/>
      </w:pPr>
      <w:r>
        <w:rPr>
          <w:i/>
          <w:iCs/>
          <w:color w:val="595959"/>
          <w:sz w:val="18"/>
          <w:szCs w:val="18"/>
        </w:rPr>
        <w:t>Table 14. Deliverables checklist (statuses to be confirmed by the author).</w:t>
      </w:r>
    </w:p>
    <w:sectPr w:rsidR="00AB6DC4">
      <w:headerReference w:type="default" r:id="rId14"/>
      <w:footerReference w:type="default" r:id="rId15"/>
      <w:pgSz w:w="11906" w:h="16838"/>
      <w:pgMar w:top="1300" w:right="1440" w:bottom="1200" w:left="1440" w:header="600" w:footer="5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1D7CC79" w14:textId="77777777" w:rsidR="00025BE9" w:rsidRDefault="00025BE9">
      <w:r>
        <w:separator/>
      </w:r>
    </w:p>
  </w:endnote>
  <w:endnote w:type="continuationSeparator" w:id="0">
    <w:p w14:paraId="54FF12B2" w14:textId="77777777" w:rsidR="00025BE9" w:rsidRDefault="00025B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38FBFD" w14:textId="77777777" w:rsidR="00AB6DC4" w:rsidRDefault="00000000">
    <w:pPr>
      <w:pBdr>
        <w:top w:val="single" w:sz="4" w:space="4" w:color="C9D6E6"/>
      </w:pBdr>
      <w:tabs>
        <w:tab w:val="right" w:pos="9026"/>
      </w:tabs>
    </w:pPr>
    <w:r>
      <w:rPr>
        <w:color w:val="595959"/>
        <w:sz w:val="16"/>
        <w:szCs w:val="16"/>
      </w:rPr>
      <w:t xml:space="preserve">IBM Telco Customer </w:t>
    </w:r>
    <w:proofErr w:type="gramStart"/>
    <w:r>
      <w:rPr>
        <w:color w:val="595959"/>
        <w:sz w:val="16"/>
        <w:szCs w:val="16"/>
      </w:rPr>
      <w:t>Churn  •</w:t>
    </w:r>
    <w:proofErr w:type="gramEnd"/>
    <w:r>
      <w:rPr>
        <w:color w:val="595959"/>
        <w:sz w:val="16"/>
        <w:szCs w:val="16"/>
      </w:rPr>
      <w:t xml:space="preserve">  Descriptive analysis</w:t>
    </w:r>
    <w:r>
      <w:rPr>
        <w:color w:val="595959"/>
        <w:sz w:val="16"/>
        <w:szCs w:val="16"/>
      </w:rPr>
      <w:tab/>
      <w:t xml:space="preserve">Page </w:t>
    </w:r>
    <w:r>
      <w:rPr>
        <w:b/>
        <w:bCs/>
        <w:color w:val="1F3864"/>
        <w:sz w:val="16"/>
        <w:szCs w:val="16"/>
      </w:rPr>
      <w:fldChar w:fldCharType="begin"/>
    </w:r>
    <w:r>
      <w:rPr>
        <w:b/>
        <w:bCs/>
        <w:color w:val="1F3864"/>
        <w:sz w:val="16"/>
        <w:szCs w:val="16"/>
      </w:rPr>
      <w:instrText>PAGE</w:instrText>
    </w:r>
    <w:r>
      <w:rPr>
        <w:b/>
        <w:bCs/>
        <w:color w:val="1F3864"/>
        <w:sz w:val="16"/>
        <w:szCs w:val="16"/>
      </w:rPr>
      <w:fldChar w:fldCharType="separate"/>
    </w:r>
    <w:r w:rsidR="00531874">
      <w:rPr>
        <w:b/>
        <w:bCs/>
        <w:noProof/>
        <w:color w:val="1F3864"/>
        <w:sz w:val="16"/>
        <w:szCs w:val="16"/>
      </w:rPr>
      <w:t>2</w:t>
    </w:r>
    <w:r>
      <w:rPr>
        <w:b/>
        <w:bCs/>
        <w:color w:val="1F3864"/>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531874">
      <w:rPr>
        <w:noProof/>
        <w:color w:val="595959"/>
        <w:sz w:val="16"/>
        <w:szCs w:val="16"/>
      </w:rPr>
      <w:t>3</w:t>
    </w:r>
    <w:r>
      <w:rPr>
        <w:color w:val="595959"/>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44D3A3" w14:textId="77777777" w:rsidR="00AB6DC4" w:rsidRDefault="00AB6DC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FF80D8" w14:textId="77777777" w:rsidR="00AB6DC4" w:rsidRDefault="00000000">
    <w:pPr>
      <w:pBdr>
        <w:top w:val="single" w:sz="4" w:space="4" w:color="C9D6E6"/>
      </w:pBdr>
      <w:tabs>
        <w:tab w:val="right" w:pos="9026"/>
      </w:tabs>
    </w:pPr>
    <w:r>
      <w:rPr>
        <w:color w:val="595959"/>
        <w:sz w:val="16"/>
        <w:szCs w:val="16"/>
      </w:rPr>
      <w:t xml:space="preserve">IBM Telco Customer </w:t>
    </w:r>
    <w:proofErr w:type="gramStart"/>
    <w:r>
      <w:rPr>
        <w:color w:val="595959"/>
        <w:sz w:val="16"/>
        <w:szCs w:val="16"/>
      </w:rPr>
      <w:t>Churn  •</w:t>
    </w:r>
    <w:proofErr w:type="gramEnd"/>
    <w:r>
      <w:rPr>
        <w:color w:val="595959"/>
        <w:sz w:val="16"/>
        <w:szCs w:val="16"/>
      </w:rPr>
      <w:t xml:space="preserve">  Descriptive analysis</w:t>
    </w:r>
    <w:r>
      <w:rPr>
        <w:color w:val="595959"/>
        <w:sz w:val="16"/>
        <w:szCs w:val="16"/>
      </w:rPr>
      <w:tab/>
      <w:t xml:space="preserve">Page </w:t>
    </w:r>
    <w:r>
      <w:rPr>
        <w:b/>
        <w:bCs/>
        <w:color w:val="1F3864"/>
        <w:sz w:val="16"/>
        <w:szCs w:val="16"/>
      </w:rPr>
      <w:fldChar w:fldCharType="begin"/>
    </w:r>
    <w:r>
      <w:rPr>
        <w:b/>
        <w:bCs/>
        <w:color w:val="1F3864"/>
        <w:sz w:val="16"/>
        <w:szCs w:val="16"/>
      </w:rPr>
      <w:instrText>PAGE</w:instrText>
    </w:r>
    <w:r>
      <w:rPr>
        <w:b/>
        <w:bCs/>
        <w:color w:val="1F3864"/>
        <w:sz w:val="16"/>
        <w:szCs w:val="16"/>
      </w:rPr>
      <w:fldChar w:fldCharType="separate"/>
    </w:r>
    <w:r w:rsidR="00531874">
      <w:rPr>
        <w:b/>
        <w:bCs/>
        <w:noProof/>
        <w:color w:val="1F3864"/>
        <w:sz w:val="16"/>
        <w:szCs w:val="16"/>
      </w:rPr>
      <w:t>3</w:t>
    </w:r>
    <w:r>
      <w:rPr>
        <w:b/>
        <w:bCs/>
        <w:color w:val="1F3864"/>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531874">
      <w:rPr>
        <w:noProof/>
        <w:color w:val="595959"/>
        <w:sz w:val="16"/>
        <w:szCs w:val="16"/>
      </w:rPr>
      <w:t>4</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7115164" w14:textId="77777777" w:rsidR="00025BE9" w:rsidRDefault="00025BE9">
      <w:r>
        <w:separator/>
      </w:r>
    </w:p>
  </w:footnote>
  <w:footnote w:type="continuationSeparator" w:id="0">
    <w:p w14:paraId="1917A8C8" w14:textId="77777777" w:rsidR="00025BE9" w:rsidRDefault="00025B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D7B3CB" w14:textId="77777777" w:rsidR="00AB6DC4" w:rsidRDefault="00000000">
    <w:pPr>
      <w:pBdr>
        <w:bottom w:val="single" w:sz="6" w:space="4" w:color="2E75B6"/>
      </w:pBdr>
      <w:jc w:val="right"/>
    </w:pPr>
    <w:r>
      <w:rPr>
        <w:b/>
        <w:bCs/>
        <w:color w:val="1F3864"/>
        <w:sz w:val="18"/>
        <w:szCs w:val="18"/>
      </w:rPr>
      <w:t>Telecom Customer Churn &amp; Retention Analytics</w:t>
    </w:r>
    <w:r>
      <w:rPr>
        <w:color w:val="595959"/>
        <w:sz w:val="18"/>
        <w:szCs w:val="18"/>
      </w:rPr>
      <w:t xml:space="preserve">   |   Data Science Project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B771F6" w14:textId="77777777" w:rsidR="00AB6DC4" w:rsidRDefault="00AB6DC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02EB9E" w14:textId="77777777" w:rsidR="00AB6DC4" w:rsidRDefault="00000000">
    <w:pPr>
      <w:pBdr>
        <w:bottom w:val="single" w:sz="6" w:space="4" w:color="2E75B6"/>
      </w:pBdr>
      <w:jc w:val="right"/>
    </w:pPr>
    <w:r>
      <w:rPr>
        <w:b/>
        <w:bCs/>
        <w:color w:val="1F3864"/>
        <w:sz w:val="18"/>
        <w:szCs w:val="18"/>
      </w:rPr>
      <w:t>Telecom Customer Churn &amp; Retention Analytics</w:t>
    </w:r>
    <w:r>
      <w:rPr>
        <w:color w:val="595959"/>
        <w:sz w:val="18"/>
        <w:szCs w:val="18"/>
      </w:rPr>
      <w:t xml:space="preserve">   |   Data Science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F17D86"/>
    <w:multiLevelType w:val="hybridMultilevel"/>
    <w:tmpl w:val="A608EF34"/>
    <w:lvl w:ilvl="0" w:tplc="4FB08242">
      <w:start w:val="1"/>
      <w:numFmt w:val="bullet"/>
      <w:lvlText w:val="●"/>
      <w:lvlJc w:val="left"/>
      <w:pPr>
        <w:ind w:left="720" w:hanging="360"/>
      </w:pPr>
    </w:lvl>
    <w:lvl w:ilvl="1" w:tplc="B54EDFE4">
      <w:start w:val="1"/>
      <w:numFmt w:val="bullet"/>
      <w:lvlText w:val="○"/>
      <w:lvlJc w:val="left"/>
      <w:pPr>
        <w:ind w:left="1440" w:hanging="360"/>
      </w:pPr>
    </w:lvl>
    <w:lvl w:ilvl="2" w:tplc="D3A28848">
      <w:start w:val="1"/>
      <w:numFmt w:val="bullet"/>
      <w:lvlText w:val="■"/>
      <w:lvlJc w:val="left"/>
      <w:pPr>
        <w:ind w:left="2160" w:hanging="360"/>
      </w:pPr>
    </w:lvl>
    <w:lvl w:ilvl="3" w:tplc="B12087A2">
      <w:start w:val="1"/>
      <w:numFmt w:val="bullet"/>
      <w:lvlText w:val="●"/>
      <w:lvlJc w:val="left"/>
      <w:pPr>
        <w:ind w:left="2880" w:hanging="360"/>
      </w:pPr>
    </w:lvl>
    <w:lvl w:ilvl="4" w:tplc="B5EEFBFA">
      <w:start w:val="1"/>
      <w:numFmt w:val="bullet"/>
      <w:lvlText w:val="○"/>
      <w:lvlJc w:val="left"/>
      <w:pPr>
        <w:ind w:left="3600" w:hanging="360"/>
      </w:pPr>
    </w:lvl>
    <w:lvl w:ilvl="5" w:tplc="4CCEE13C">
      <w:start w:val="1"/>
      <w:numFmt w:val="bullet"/>
      <w:lvlText w:val="■"/>
      <w:lvlJc w:val="left"/>
      <w:pPr>
        <w:ind w:left="4320" w:hanging="360"/>
      </w:pPr>
    </w:lvl>
    <w:lvl w:ilvl="6" w:tplc="76D065D0">
      <w:start w:val="1"/>
      <w:numFmt w:val="bullet"/>
      <w:lvlText w:val="●"/>
      <w:lvlJc w:val="left"/>
      <w:pPr>
        <w:ind w:left="5040" w:hanging="360"/>
      </w:pPr>
    </w:lvl>
    <w:lvl w:ilvl="7" w:tplc="66A0996E">
      <w:start w:val="1"/>
      <w:numFmt w:val="bullet"/>
      <w:lvlText w:val="●"/>
      <w:lvlJc w:val="left"/>
      <w:pPr>
        <w:ind w:left="5760" w:hanging="360"/>
      </w:pPr>
    </w:lvl>
    <w:lvl w:ilvl="8" w:tplc="B392768E">
      <w:start w:val="1"/>
      <w:numFmt w:val="bullet"/>
      <w:lvlText w:val="●"/>
      <w:lvlJc w:val="left"/>
      <w:pPr>
        <w:ind w:left="6480" w:hanging="360"/>
      </w:pPr>
    </w:lvl>
  </w:abstractNum>
  <w:abstractNum w:abstractNumId="1" w15:restartNumberingAfterBreak="0">
    <w:nsid w:val="53675253"/>
    <w:multiLevelType w:val="hybridMultilevel"/>
    <w:tmpl w:val="1C9A8530"/>
    <w:lvl w:ilvl="0" w:tplc="E0B6276A">
      <w:start w:val="1"/>
      <w:numFmt w:val="bullet"/>
      <w:lvlText w:val="•"/>
      <w:lvlJc w:val="left"/>
      <w:pPr>
        <w:ind w:left="540" w:hanging="270"/>
      </w:pPr>
      <w:rPr>
        <w:color w:val="2E75B6"/>
      </w:rPr>
    </w:lvl>
    <w:lvl w:ilvl="1" w:tplc="7B7CAC1A">
      <w:numFmt w:val="decimal"/>
      <w:lvlText w:val=""/>
      <w:lvlJc w:val="left"/>
    </w:lvl>
    <w:lvl w:ilvl="2" w:tplc="17B4CAFE">
      <w:numFmt w:val="decimal"/>
      <w:lvlText w:val=""/>
      <w:lvlJc w:val="left"/>
    </w:lvl>
    <w:lvl w:ilvl="3" w:tplc="0342611A">
      <w:numFmt w:val="decimal"/>
      <w:lvlText w:val=""/>
      <w:lvlJc w:val="left"/>
    </w:lvl>
    <w:lvl w:ilvl="4" w:tplc="A77CB120">
      <w:numFmt w:val="decimal"/>
      <w:lvlText w:val=""/>
      <w:lvlJc w:val="left"/>
    </w:lvl>
    <w:lvl w:ilvl="5" w:tplc="CB5621DE">
      <w:numFmt w:val="decimal"/>
      <w:lvlText w:val=""/>
      <w:lvlJc w:val="left"/>
    </w:lvl>
    <w:lvl w:ilvl="6" w:tplc="9AEE0A88">
      <w:numFmt w:val="decimal"/>
      <w:lvlText w:val=""/>
      <w:lvlJc w:val="left"/>
    </w:lvl>
    <w:lvl w:ilvl="7" w:tplc="3F062270">
      <w:numFmt w:val="decimal"/>
      <w:lvlText w:val=""/>
      <w:lvlJc w:val="left"/>
    </w:lvl>
    <w:lvl w:ilvl="8" w:tplc="9D647BEC">
      <w:numFmt w:val="decimal"/>
      <w:lvlText w:val=""/>
      <w:lvlJc w:val="left"/>
    </w:lvl>
  </w:abstractNum>
  <w:num w:numId="1" w16cid:durableId="1423718222">
    <w:abstractNumId w:val="0"/>
    <w:lvlOverride w:ilvl="0">
      <w:startOverride w:val="1"/>
    </w:lvlOverride>
  </w:num>
  <w:num w:numId="2" w16cid:durableId="127273621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6DC4"/>
    <w:rsid w:val="00025BE9"/>
    <w:rsid w:val="00531874"/>
    <w:rsid w:val="005F7725"/>
    <w:rsid w:val="009B2CFB"/>
    <w:rsid w:val="009C5B2E"/>
    <w:rsid w:val="00AB6DC4"/>
    <w:rsid w:val="00F073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84905"/>
  <w15:docId w15:val="{5CF12B79-2D8C-4183-A00F-DB3AF2768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8" w:space="4" w:color="2E75B6"/>
      </w:pBdr>
      <w:spacing w:before="360" w:after="160"/>
      <w:outlineLvl w:val="0"/>
    </w:pPr>
    <w:rPr>
      <w:b/>
      <w:bCs/>
      <w:color w:val="1F3864"/>
      <w:sz w:val="34"/>
      <w:szCs w:val="34"/>
    </w:rPr>
  </w:style>
  <w:style w:type="paragraph" w:styleId="Heading2">
    <w:name w:val="heading 2"/>
    <w:uiPriority w:val="9"/>
    <w:unhideWhenUsed/>
    <w:qFormat/>
    <w:pPr>
      <w:keepNext/>
      <w:spacing w:before="240" w:after="10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2857</Words>
  <Characters>16286</Characters>
  <Application>Microsoft Office Word</Application>
  <DocSecurity>0</DocSecurity>
  <Lines>135</Lines>
  <Paragraphs>38</Paragraphs>
  <ScaleCrop>false</ScaleCrop>
  <Company/>
  <LinksUpToDate>false</LinksUpToDate>
  <CharactersWithSpaces>19105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Telecom Customer Churn &amp; Retention Analytics</dc:title>
  <dc:creator>Data Science Portfolio</dc:creator>
  <cp:lastModifiedBy>Virender Sahu</cp:lastModifiedBy>
  <cp:revision>5</cp:revision>
  <cp:lastPrinted>2026-10-24T19:08:00Z</cp:lastPrinted>
  <dcterms:created xsi:type="dcterms:W3CDTF">2026-10-24T18:32:00Z</dcterms:created>
  <dcterms:modified xsi:type="dcterms:W3CDTF">2026-10-24T19:08:00Z</dcterms:modified>
</cp:coreProperties>
</file>