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0E7490"/>
          <w:sz w:val="72"/>
          <w:szCs w:val="72"/>
        </w:rPr>
        <w:t xml:space="preserve">EcoBorder</w:t>
      </w:r>
    </w:p>
    <w:p>
      <w:pPr>
        <w:spacing w:after="40"/>
      </w:pPr>
      <w:r>
        <w:rPr>
          <w:color w:val="0891B2"/>
          <w:sz w:val="36"/>
          <w:szCs w:val="36"/>
        </w:rPr>
        <w:t xml:space="preserve">The Free CBAM Toolkit</w:t>
      </w:r>
    </w:p>
    <w:p>
      <w:pPr>
        <w:spacing w:after="240"/>
      </w:pPr>
      <w:r>
        <w:rPr>
          <w:color w:val="475569"/>
          <w:sz w:val="26"/>
          <w:szCs w:val="26"/>
        </w:rPr>
        <w:t xml:space="preserve">Product &amp; Technical Documentation</w:t>
      </w:r>
    </w:p>
    <w:p>
      <w:r>
        <w:rPr>
          <w:i/>
          <w:iCs/>
          <w:color w:val="64748B"/>
          <w:sz w:val="22"/>
          <w:szCs w:val="22"/>
        </w:rPr>
        <w:t xml:space="preserve">Features · Functionalities · Requirements Mapping · Calculation Logic · Data Flows</w:t>
      </w:r>
    </w:p>
    <w:p>
      <w:pPr>
        <w:spacing w:before="240"/>
      </w:pPr>
      <w:r>
        <w:rPr>
          <w:sz w:val="22"/>
          <w:szCs w:val="22"/>
        </w:rPr>
        <w:t xml:space="preserve">Live application: </w:t>
      </w:r>
      <w:hyperlink w:history="1" r:id="rIdqhojwfepe5avgmakt4syy">
        <w:r>
          <w:rPr>
            <w:rStyle w:val="Hyperlink"/>
          </w:rPr>
          <w:t xml:space="preserve">https://ecoborder.app</w:t>
        </w:r>
      </w:hyperlink>
    </w:p>
    <w:p>
      <w:r>
        <w:rPr>
          <w:color w:val="64748B"/>
          <w:sz w:val="22"/>
          <w:szCs w:val="22"/>
        </w:rPr>
        <w:t xml:space="preserve">Status: Production · CBAM-aligned estimation toolkit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EcoBorder is a free, browser-based toolkit for the European Union’s Carbon Border Adjustment Mechanism (CBAM). It helps exporters and importers calculate the embedded emissions of CBAM-covered goods, estimate the resulting carbon-border tax, look up CN codes, assess readiness, and assemble the official installation emissions communication.</w:t>
      </w:r>
    </w:p>
    <w:p>
      <w:pPr>
        <w:spacing w:after="120"/>
      </w:pPr>
      <w:r>
        <w:t xml:space="preserve">Every tool runs entirely in the user’s browser — there is no signup, and no data entered into the tools is transmitted to or stored on any server. The product is deliberately tools-first: the useful functionality is open and ungated, rather than gated behind a sales process.</w:t>
      </w:r>
    </w:p>
    <w:p>
      <w:pPr>
        <w:spacing w:after="120"/>
      </w:pPr>
      <w:r>
        <w:rPr>
          <w:b/>
          <w:bCs/>
        </w:rPr>
        <w:t xml:space="preserve">Baseline principle: </w:t>
      </w:r>
      <w:r>
        <w:t xml:space="preserve">CBAM is the single source of truth. All inputs, factors, vocabularies and outputs are anchored to the official EU CBAM regulation, default values, CN code list, production routes and the SEE communication template.</w:t>
      </w:r>
    </w:p>
    <w:p>
      <w:pPr>
        <w:pStyle w:val="Heading2"/>
      </w:pPr>
      <w:r>
        <w:t xml:space="preserve">1.1 Tool suite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Tool</w:t>
            </w:r>
          </w:p>
        </w:tc>
        <w:tc>
          <w:tcPr>
            <w:tcW w:type="dxa" w:w="436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What it does</w:t>
            </w:r>
          </w:p>
        </w:tc>
        <w:tc>
          <w:tcPr>
            <w:tcW w:type="dxa" w:w="260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Primary output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Emissions Calculator</w:t>
            </w:r>
          </w:p>
        </w:tc>
        <w:tc>
          <w:tcPr>
            <w:tcW w:type="dxa" w:w="4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Bottom-up embedded emissions from activity data</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SEE direct / indirect / intensity (tCO₂e/t)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CBAM Tax Calculator</w:t>
            </w:r>
          </w:p>
        </w:tc>
        <w:tc>
          <w:tcPr>
            <w:tcW w:type="dxa" w:w="4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Carbon-border liability across product lines</w:t>
            </w:r>
          </w:p>
        </w:tc>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Net liability (€) + breakdown, CSV/JSON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CN Code Checker</w:t>
            </w:r>
          </w:p>
        </w:tc>
        <w:tc>
          <w:tcPr>
            <w:tcW w:type="dxa" w:w="4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Search the official CBAM CN code list</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Code, name, category, default factors, cost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Readiness Check</w:t>
            </w:r>
          </w:p>
        </w:tc>
        <w:tc>
          <w:tcPr>
            <w:tcW w:type="dxa" w:w="4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Self-assessment of CBAM preparedness</w:t>
            </w:r>
          </w:p>
        </w:tc>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Score (%) + prioritised action list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Communication Builder</w:t>
            </w:r>
          </w:p>
        </w:tc>
        <w:tc>
          <w:tcPr>
            <w:tcW w:type="dxa" w:w="4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Official installation SEE communication</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Excel template (Installation / Products / Communication) + JSON</w:t>
            </w:r>
          </w:p>
        </w:tc>
      </w:tr>
    </w:tbl>
    <w:p>
      <w:r>
        <w:br w:type="page"/>
      </w:r>
    </w:p>
    <w:p>
      <w:pPr>
        <w:pStyle w:val="Heading1"/>
      </w:pPr>
      <w:r>
        <w:t xml:space="preserve">2. Requirements and How They Were Incorporated</w:t>
      </w:r>
    </w:p>
    <w:p>
      <w:pPr>
        <w:spacing w:after="120"/>
      </w:pPr>
      <w:r>
        <w:t xml:space="preserve">The following table maps each requirement raised during the project to the way it was implemented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Requirement</w:t>
            </w:r>
          </w:p>
        </w:tc>
        <w:tc>
          <w:tcPr>
            <w:tcW w:type="dxa" w:w="636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How it was incorporated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Rebrand and deploy a CBAM web app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Original ‘EcoBorder’ brand and identity; deployed and live on the web.</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Do not copy any third-party contact details or content</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All phone numbers, emails, client names, testimonials and accreditation claims from the reference site were removed; all copy is original.</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Tools fully functional, not gated behind consulting</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Every result is shown in full and exportable; no email walls or lead gates.</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Minimal, tools-first website with a distinct look</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Lean marketing surface; the five tools are the product. Cyan/teal + navy ‘data’ identity.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Calculate emissions before tax</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A dedicated Emissions Calculator derives the intensity, which feeds the Tax Calculator via a one-click hand-off.</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Use exact / official numbers</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Official EU CBAM transitional default values (22 Dec 2023) and the full 749-code CN catalogue from the official template are encoded with citations.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Reporting period</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Annual reporting basis for the installation communication; reporting year drives the CBAM phase-in factor.</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Purchased precursor details and calculation</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Purchased precursors captured with country, route, quantity and SEE, and cascaded into the consuming process / product.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Internal vs purchased precursors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Precursors produced inside the installation are modelled as linked production processes (and the bubble approach); purchased ones are separate.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Production routes as options</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Official route vocabulary per aggregated goods category (e.g. BF-BOF, EAF, Blast furnace, Smelting reduction, All / Other / Unknown).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Process-wise emissions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Per process: fuel combustion + process emissions + measurable heat and waste-gas import/export + indirect electricity + electricity export.</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SEE direct vs indirect split</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Direct and indirect specific embedded emissions are computed and shown separately throughout.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Installation and product details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Full installation block (incl. verifier &amp; accreditation) and per-product CN code, properties and carbon price.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Exportable CBAM template</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Excel export mirroring the official Installation, Summary_Products and Communication tabs (plus JSON and print).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CN code → product → precursor mapping</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Selecting a CN code sets the category and auto-lists that category’s relevant precursors as direct-emission inputs.</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Remove reporting quarter</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The Emissions Calculator uses reporting year only (annual basis).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Verify the process-emissions multiplier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The fixed 0.25 factor was replaced; process emissions are an explicit, measured input, with the old factor available only as a clearly-labelled indicative estimate.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Two-decimal accuracy</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All emission figures are standardised to two decimal places.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Map Emissions Calculator to Communication Builder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The emissions section captures every Communication-Builder header, with a ‘Send to Communication Builder’ hand-off.</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Carbon-tax threshold logic</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Taxable share = embedded × CBAM phase-in factor; exempted share = free allocation (1 − factor); origin carbon price credited.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Next-level UI/UX with 3D design</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Animated aurora backgrounds, glassmorphism, mouse-tracking 3D tilt cards, gradient glow and depth across the app.</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Validate against a filled steel example</w:t>
            </w:r>
          </w:p>
        </w:tc>
        <w:tc>
          <w:tcPr>
            <w:tcW w:type="dxa" w:w="6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Engine reproduces the official EU steel blast-furnace example exactly; a ‘Load steel example’ button pre-fills it.</w:t>
            </w:r>
          </w:p>
        </w:tc>
      </w:tr>
    </w:tbl>
    <w:p>
      <w:r>
        <w:br w:type="page"/>
      </w:r>
    </w:p>
    <w:p>
      <w:pPr>
        <w:pStyle w:val="Heading1"/>
      </w:pPr>
      <w:r>
        <w:t xml:space="preserve">3. Architecture and Data Flow</w:t>
      </w:r>
    </w:p>
    <w:p>
      <w:pPr>
        <w:spacing w:after="120"/>
      </w:pPr>
      <w:r>
        <w:t xml:space="preserve">The tools form a single CBAM chain. A user can start anywhere, but the natural flow is left to right:</w:t>
      </w:r>
    </w:p>
    <w:p>
      <w:pPr>
        <w:pBdr>
          <w:left w:val="single" w:color="0891B2" w:sz="18" w:space="8"/>
        </w:pBdr>
        <w:shd w:fill="F1F5F9" w:val="clear"/>
        <w:spacing w:after="80" w:before="40"/>
      </w:pPr>
      <w:r>
        <w:rPr>
          <w:rFonts w:ascii="Consolas" w:cs="Consolas" w:eastAsia="Consolas" w:hAnsi="Consolas"/>
          <w:sz w:val="19"/>
          <w:szCs w:val="19"/>
        </w:rPr>
        <w:t xml:space="preserve">Activity data  →  Embedded emissions  →  Emission intensity  →  CBAM tax  →  Official communication</w:t>
      </w:r>
    </w:p>
    <w:p>
      <w:pPr>
        <w:spacing w:after="120"/>
      </w:pPr>
      <w:r>
        <w:rPr>
          <w:b/>
          <w:bCs/>
        </w:rPr>
        <w:t xml:space="preserve">Hand-offs between tools </w:t>
      </w:r>
      <w:r>
        <w:t xml:space="preserve">(all client-side, via browser storage — nothing is sent to a server):</w:t>
      </w:r>
    </w:p>
    <w:p>
      <w:pPr>
        <w:pStyle w:val="ListParagraph"/>
        <w:numPr>
          <w:ilvl w:val="0"/>
          <w:numId w:val="2"/>
        </w:numPr>
        <w:spacing w:after="60"/>
      </w:pPr>
      <w:r>
        <w:rPr>
          <w:b/>
          <w:bCs/>
        </w:rPr>
        <w:t xml:space="preserve">Emissions Calculator → Tax Calculator: </w:t>
      </w:r>
      <w:r>
        <w:t xml:space="preserve">the computed intensity (tCO₂e/t), product, sector, tonnes and year are carried over and prefill a tax line.</w:t>
      </w:r>
    </w:p>
    <w:p>
      <w:pPr>
        <w:pStyle w:val="ListParagraph"/>
        <w:numPr>
          <w:ilvl w:val="0"/>
          <w:numId w:val="2"/>
        </w:numPr>
        <w:spacing w:after="60"/>
      </w:pPr>
      <w:r>
        <w:rPr>
          <w:b/>
          <w:bCs/>
        </w:rPr>
        <w:t xml:space="preserve">Emissions Calculator → Communication Builder: </w:t>
      </w:r>
      <w:r>
        <w:t xml:space="preserve">a complete production process (production, direct emissions, heat, waste gas, electricity, route, precursors) and a product are created automatically.</w:t>
      </w:r>
    </w:p>
    <w:p>
      <w:pPr>
        <w:spacing w:after="120"/>
      </w:pPr>
      <w:r>
        <w:rPr>
          <w:b/>
          <w:bCs/>
        </w:rPr>
        <w:t xml:space="preserve">Privacy: </w:t>
      </w:r>
      <w:r>
        <w:t xml:space="preserve">all calculations are performed locally in the browser. No inputs are transmitted or persisted server-side.</w:t>
      </w:r>
    </w:p>
    <w:p>
      <w:r>
        <w:br w:type="page"/>
      </w:r>
    </w:p>
    <w:p>
      <w:pPr>
        <w:pStyle w:val="Heading1"/>
      </w:pPr>
      <w:r>
        <w:t xml:space="preserve">4. Tools — Inputs, Calculations and Outputs</w:t>
      </w:r>
    </w:p>
    <w:p>
      <w:pPr>
        <w:pStyle w:val="Heading2"/>
      </w:pPr>
      <w:r>
        <w:t xml:space="preserve">4.1 Emissions Calculator</w:t>
      </w:r>
    </w:p>
    <w:p>
      <w:pPr>
        <w:spacing w:after="120"/>
      </w:pPr>
      <w:r>
        <w:rPr>
          <w:b/>
          <w:bCs/>
        </w:rPr>
        <w:t xml:space="preserve">Purpose: </w:t>
      </w:r>
      <w:r>
        <w:t xml:space="preserve">Compute the bottom-up embedded emissions and the specific embedded emissions (SEE) intensity of a product from real activity data, following the CBAM SEE methodology.</w:t>
      </w:r>
    </w:p>
    <w:p>
      <w:pPr>
        <w:pStyle w:val="Heading3"/>
      </w:pPr>
      <w:r>
        <w:t xml:space="preserve">Inputs</w:t>
      </w:r>
    </w:p>
    <w:p>
      <w:pPr>
        <w:pStyle w:val="ListParagraph"/>
        <w:numPr>
          <w:ilvl w:val="0"/>
          <w:numId w:val="2"/>
        </w:numPr>
        <w:spacing w:after="60"/>
      </w:pPr>
      <w:r>
        <w:t xml:space="preserve">Product &amp; reporting period: official CN code (drives the aggregated goods category and relevant precursors), product name, sector, category, production route, annual production (tonnes), reporting year.</w:t>
      </w:r>
    </w:p>
    <w:p>
      <w:pPr>
        <w:pStyle w:val="ListParagraph"/>
        <w:numPr>
          <w:ilvl w:val="0"/>
          <w:numId w:val="2"/>
        </w:numPr>
        <w:spacing w:after="60"/>
      </w:pPr>
      <w:r>
        <w:t xml:space="preserve">Direct emissions (Scope 1): fuel combustion rows (fuel type × quantity in native units); CN-derived precursor inputs (amount used × category SEE); explicit process emissions; measurable heat and waste-gas import/export with emission factors.</w:t>
      </w:r>
    </w:p>
    <w:p>
      <w:pPr>
        <w:pStyle w:val="ListParagraph"/>
        <w:numPr>
          <w:ilvl w:val="0"/>
          <w:numId w:val="2"/>
        </w:numPr>
        <w:spacing w:after="60"/>
      </w:pPr>
      <w:r>
        <w:t xml:space="preserve">Indirect emissions (Scope 2): electricity consumed (MWh) × grid emission factor, minus exported electricity.</w:t>
      </w:r>
    </w:p>
    <w:p>
      <w:pPr>
        <w:pStyle w:val="Heading3"/>
      </w:pPr>
      <w:r>
        <w:t xml:space="preserve">Calculation</w:t>
      </w:r>
    </w:p>
    <w:p>
      <w:pPr>
        <w:pBdr>
          <w:left w:val="single" w:color="0891B2" w:sz="18" w:space="8"/>
        </w:pBdr>
        <w:shd w:fill="F1F5F9" w:val="clear"/>
        <w:spacing w:after="80" w:before="40"/>
      </w:pPr>
      <w:r>
        <w:rPr>
          <w:rFonts w:ascii="Consolas" w:cs="Consolas" w:eastAsia="Consolas" w:hAnsi="Consolas"/>
          <w:sz w:val="19"/>
          <w:szCs w:val="19"/>
        </w:rPr>
        <w:t xml:space="preserve">fuelDirect   = Σ (fuel quantity × fuel emission factor)</w:t>
      </w:r>
    </w:p>
    <w:p>
      <w:pPr>
        <w:pBdr>
          <w:left w:val="single" w:color="0891B2" w:sz="18" w:space="8"/>
        </w:pBdr>
        <w:shd w:fill="F1F5F9" w:val="clear"/>
        <w:spacing w:after="80" w:before="40"/>
      </w:pPr>
      <w:r>
        <w:rPr>
          <w:rFonts w:ascii="Consolas" w:cs="Consolas" w:eastAsia="Consolas" w:hAnsi="Consolas"/>
          <w:sz w:val="19"/>
          <w:szCs w:val="19"/>
        </w:rPr>
        <w:t xml:space="preserve">precDirect   = Σ (precursor amount × precursor SEE_direct)</w:t>
      </w:r>
    </w:p>
    <w:p>
      <w:pPr>
        <w:pBdr>
          <w:left w:val="single" w:color="0891B2" w:sz="18" w:space="8"/>
        </w:pBdr>
        <w:shd w:fill="F1F5F9" w:val="clear"/>
        <w:spacing w:after="80" w:before="40"/>
      </w:pPr>
      <w:r>
        <w:rPr>
          <w:rFonts w:ascii="Consolas" w:cs="Consolas" w:eastAsia="Consolas" w:hAnsi="Consolas"/>
          <w:sz w:val="19"/>
          <w:szCs w:val="19"/>
        </w:rPr>
        <w:t xml:space="preserve">precIndirect = Σ (precursor amount × precursor SEE_indirect)</w:t>
      </w:r>
    </w:p>
    <w:p>
      <w:pPr>
        <w:pBdr>
          <w:left w:val="single" w:color="0891B2" w:sz="18" w:space="8"/>
        </w:pBdr>
        <w:shd w:fill="F1F5F9" w:val="clear"/>
        <w:spacing w:after="80" w:before="40"/>
      </w:pPr>
      <w:r>
        <w:rPr>
          <w:rFonts w:ascii="Consolas" w:cs="Consolas" w:eastAsia="Consolas" w:hAnsi="Consolas"/>
          <w:sz w:val="19"/>
          <w:szCs w:val="19"/>
        </w:rPr>
        <w:t xml:space="preserve">heatAdj      = (heat imported − heat exported) × heat EF</w:t>
      </w:r>
    </w:p>
    <w:p>
      <w:pPr>
        <w:pBdr>
          <w:left w:val="single" w:color="0891B2" w:sz="18" w:space="8"/>
        </w:pBdr>
        <w:shd w:fill="F1F5F9" w:val="clear"/>
        <w:spacing w:after="80" w:before="40"/>
      </w:pPr>
      <w:r>
        <w:rPr>
          <w:rFonts w:ascii="Consolas" w:cs="Consolas" w:eastAsia="Consolas" w:hAnsi="Consolas"/>
          <w:sz w:val="19"/>
          <w:szCs w:val="19"/>
        </w:rPr>
        <w:t xml:space="preserve">wasteGasAdj  = (WG imported − WG exported) × WG EF</w:t>
      </w:r>
    </w:p>
    <w:p>
      <w:pPr>
        <w:pBdr>
          <w:left w:val="single" w:color="0891B2" w:sz="18" w:space="8"/>
        </w:pBdr>
        <w:shd w:fill="F1F5F9" w:val="clear"/>
        <w:spacing w:after="80" w:before="40"/>
      </w:pPr>
      <w:r>
        <w:rPr>
          <w:rFonts w:ascii="Consolas" w:cs="Consolas" w:eastAsia="Consolas" w:hAnsi="Consolas"/>
          <w:sz w:val="19"/>
          <w:szCs w:val="19"/>
        </w:rPr>
        <w:t xml:space="preserve">ownDirect    = fuelDirect + processEmissions + heatAdj + wasteGasAdj</w:t>
      </w:r>
    </w:p>
    <w:p>
      <w:pPr>
        <w:pBdr>
          <w:left w:val="single" w:color="0891B2" w:sz="18" w:space="8"/>
        </w:pBdr>
        <w:shd w:fill="F1F5F9" w:val="clear"/>
        <w:spacing w:after="80" w:before="40"/>
      </w:pPr>
      <w:r>
        <w:rPr>
          <w:rFonts w:ascii="Consolas" w:cs="Consolas" w:eastAsia="Consolas" w:hAnsi="Consolas"/>
          <w:sz w:val="19"/>
          <w:szCs w:val="19"/>
        </w:rPr>
        <w:t xml:space="preserve">direct       = ownDirect + precDirect</w:t>
      </w:r>
    </w:p>
    <w:p>
      <w:pPr>
        <w:pBdr>
          <w:left w:val="single" w:color="0891B2" w:sz="18" w:space="8"/>
        </w:pBdr>
        <w:shd w:fill="F1F5F9" w:val="clear"/>
        <w:spacing w:after="80" w:before="40"/>
      </w:pPr>
      <w:r>
        <w:rPr>
          <w:rFonts w:ascii="Consolas" w:cs="Consolas" w:eastAsia="Consolas" w:hAnsi="Consolas"/>
          <w:sz w:val="19"/>
          <w:szCs w:val="19"/>
        </w:rPr>
        <w:t xml:space="preserve">ownIndirect  = (electricity MWh × grid EF) − (exported MWh × export EF)</w:t>
      </w:r>
    </w:p>
    <w:p>
      <w:pPr>
        <w:pBdr>
          <w:left w:val="single" w:color="0891B2" w:sz="18" w:space="8"/>
        </w:pBdr>
        <w:shd w:fill="F1F5F9" w:val="clear"/>
        <w:spacing w:after="80" w:before="40"/>
      </w:pPr>
      <w:r>
        <w:rPr>
          <w:rFonts w:ascii="Consolas" w:cs="Consolas" w:eastAsia="Consolas" w:hAnsi="Consolas"/>
          <w:sz w:val="19"/>
          <w:szCs w:val="19"/>
        </w:rPr>
        <w:t xml:space="preserve">indirect     = ownIndirect + precIndirect</w:t>
      </w:r>
    </w:p>
    <w:p>
      <w:pPr>
        <w:pBdr>
          <w:left w:val="single" w:color="0891B2" w:sz="18" w:space="8"/>
        </w:pBdr>
        <w:shd w:fill="F1F5F9" w:val="clear"/>
        <w:spacing w:after="80" w:before="40"/>
      </w:pPr>
      <w:r>
        <w:rPr>
          <w:rFonts w:ascii="Consolas" w:cs="Consolas" w:eastAsia="Consolas" w:hAnsi="Consolas"/>
          <w:sz w:val="19"/>
          <w:szCs w:val="19"/>
        </w:rPr>
        <w:t xml:space="preserve">SEE direct   = direct  ÷ production       SEE indirect = indirect ÷ production</w:t>
      </w:r>
    </w:p>
    <w:p>
      <w:pPr>
        <w:pBdr>
          <w:left w:val="single" w:color="0891B2" w:sz="18" w:space="8"/>
        </w:pBdr>
        <w:shd w:fill="F1F5F9" w:val="clear"/>
        <w:spacing w:after="80" w:before="40"/>
      </w:pPr>
      <w:r>
        <w:rPr>
          <w:rFonts w:ascii="Consolas" w:cs="Consolas" w:eastAsia="Consolas" w:hAnsi="Consolas"/>
          <w:sz w:val="19"/>
          <w:szCs w:val="19"/>
        </w:rPr>
        <w:t xml:space="preserve">intensity    = (direct + indirect) ÷ production        (all values to 2 dp)</w:t>
      </w:r>
    </w:p>
    <w:p>
      <w:pPr>
        <w:spacing w:after="120"/>
      </w:pPr>
      <w:r>
        <w:rPr>
          <w:b/>
          <w:bCs/>
        </w:rPr>
        <w:t xml:space="preserve">Double-count protection: </w:t>
      </w:r>
      <w:r>
        <w:t xml:space="preserve">fuels represent combustion at the user’s own installation; a precursor’s emission factor already includes the energy used to make it. The two are kept in separate sub-sections with an on-screen warning so the same energy is never counted twice.</w:t>
      </w:r>
    </w:p>
    <w:p>
      <w:pPr>
        <w:spacing w:after="120"/>
      </w:pPr>
      <w:r>
        <w:rPr>
          <w:b/>
          <w:bCs/>
        </w:rPr>
        <w:t xml:space="preserve">Process emissions: </w:t>
      </w:r>
      <w:r>
        <w:t xml:space="preserve">entered explicitly as measured non-combustion chemistry (calcination, reduction, PFCs), kept separate from fuels and precursors exactly as the CBAM template does. A one-click indicative sector estimate is offered but clearly labelled ‘indicative, not official’.</w:t>
      </w:r>
    </w:p>
    <w:p>
      <w:pPr>
        <w:pStyle w:val="Heading3"/>
      </w:pPr>
      <w:r>
        <w:t xml:space="preserve">Outputs</w:t>
      </w:r>
    </w:p>
    <w:p>
      <w:pPr>
        <w:pStyle w:val="ListParagraph"/>
        <w:numPr>
          <w:ilvl w:val="0"/>
          <w:numId w:val="2"/>
        </w:numPr>
        <w:spacing w:after="60"/>
      </w:pPr>
      <w:r>
        <w:t xml:space="preserve">SEE direct, SEE indirect, total embedded emissions, emission intensity (tCO₂e/t), indicative CBAM cost — all to two decimals.</w:t>
      </w:r>
    </w:p>
    <w:p>
      <w:pPr>
        <w:pStyle w:val="ListParagraph"/>
        <w:numPr>
          <w:ilvl w:val="0"/>
          <w:numId w:val="2"/>
        </w:numPr>
        <w:spacing w:after="60"/>
      </w:pPr>
      <w:r>
        <w:t xml:space="preserve">Hand-off buttons: ‘Use in Tax Calculator’ and ‘Send to Communication Builder’; plus JSON export.</w:t>
      </w:r>
    </w:p>
    <w:p>
      <w:r>
        <w:br w:type="page"/>
      </w:r>
    </w:p>
    <w:p>
      <w:pPr>
        <w:pStyle w:val="Heading2"/>
      </w:pPr>
      <w:r>
        <w:t xml:space="preserve">4.2 CBAM Tax Calculator</w:t>
      </w:r>
    </w:p>
    <w:p>
      <w:pPr>
        <w:spacing w:after="120"/>
      </w:pPr>
      <w:r>
        <w:rPr>
          <w:b/>
          <w:bCs/>
        </w:rPr>
        <w:t xml:space="preserve">Purpose: </w:t>
      </w:r>
      <w:r>
        <w:t xml:space="preserve">Estimate the CBAM certificate liability across one or more product lines, applying the year-based phase-in, free allocation and any carbon price already paid at origin.</w:t>
      </w:r>
    </w:p>
    <w:p>
      <w:pPr>
        <w:pStyle w:val="Heading3"/>
      </w:pPr>
      <w:r>
        <w:t xml:space="preserve">Inputs</w:t>
      </w:r>
    </w:p>
    <w:p>
      <w:pPr>
        <w:pStyle w:val="ListParagraph"/>
        <w:numPr>
          <w:ilvl w:val="0"/>
          <w:numId w:val="2"/>
        </w:numPr>
        <w:spacing w:after="60"/>
      </w:pPr>
      <w:r>
        <w:t xml:space="preserve">Reporting year (sets the CBAM phase-in factor); EU ETS reference price (default €82/tCO₂).</w:t>
      </w:r>
    </w:p>
    <w:p>
      <w:pPr>
        <w:pStyle w:val="ListParagraph"/>
        <w:numPr>
          <w:ilvl w:val="0"/>
          <w:numId w:val="2"/>
        </w:numPr>
        <w:spacing w:after="60"/>
      </w:pPr>
      <w:r>
        <w:t xml:space="preserve">Per product line: product, sector, annual volume (t), emission intensity (tCO₂/t — typically imported from the Emissions Calculator), carbon price already paid at origin (€/tCO₂).</w:t>
      </w:r>
    </w:p>
    <w:p>
      <w:pPr>
        <w:pStyle w:val="Heading3"/>
      </w:pPr>
      <w:r>
        <w:t xml:space="preserve">Calculation</w:t>
      </w:r>
    </w:p>
    <w:p>
      <w:pPr>
        <w:pBdr>
          <w:left w:val="single" w:color="0891B2" w:sz="18" w:space="8"/>
        </w:pBdr>
        <w:shd w:fill="F1F5F9" w:val="clear"/>
        <w:spacing w:after="80" w:before="40"/>
      </w:pPr>
      <w:r>
        <w:rPr>
          <w:rFonts w:ascii="Consolas" w:cs="Consolas" w:eastAsia="Consolas" w:hAnsi="Consolas"/>
          <w:sz w:val="19"/>
          <w:szCs w:val="19"/>
        </w:rPr>
        <w:t xml:space="preserve">embedded     = volume × intensity</w:t>
      </w:r>
    </w:p>
    <w:p>
      <w:pPr>
        <w:pBdr>
          <w:left w:val="single" w:color="0891B2" w:sz="18" w:space="8"/>
        </w:pBdr>
        <w:shd w:fill="F1F5F9" w:val="clear"/>
        <w:spacing w:after="80" w:before="40"/>
      </w:pPr>
      <w:r>
        <w:rPr>
          <w:rFonts w:ascii="Consolas" w:cs="Consolas" w:eastAsia="Consolas" w:hAnsi="Consolas"/>
          <w:sz w:val="19"/>
          <w:szCs w:val="19"/>
        </w:rPr>
        <w:t xml:space="preserve">factor       = CBAM phase-in factor for the year   (taxable share)</w:t>
      </w:r>
    </w:p>
    <w:p>
      <w:pPr>
        <w:pBdr>
          <w:left w:val="single" w:color="0891B2" w:sz="18" w:space="8"/>
        </w:pBdr>
        <w:shd w:fill="F1F5F9" w:val="clear"/>
        <w:spacing w:after="80" w:before="40"/>
      </w:pPr>
      <w:r>
        <w:rPr>
          <w:rFonts w:ascii="Consolas" w:cs="Consolas" w:eastAsia="Consolas" w:hAnsi="Consolas"/>
          <w:sz w:val="19"/>
          <w:szCs w:val="19"/>
        </w:rPr>
        <w:t xml:space="preserve">chargeable   = embedded × factor</w:t>
      </w:r>
    </w:p>
    <w:p>
      <w:pPr>
        <w:pBdr>
          <w:left w:val="single" w:color="0891B2" w:sz="18" w:space="8"/>
        </w:pBdr>
        <w:shd w:fill="F1F5F9" w:val="clear"/>
        <w:spacing w:after="80" w:before="40"/>
      </w:pPr>
      <w:r>
        <w:rPr>
          <w:rFonts w:ascii="Consolas" w:cs="Consolas" w:eastAsia="Consolas" w:hAnsi="Consolas"/>
          <w:sz w:val="19"/>
          <w:szCs w:val="19"/>
        </w:rPr>
        <w:t xml:space="preserve">gross        = embedded × ETS price</w:t>
      </w:r>
    </w:p>
    <w:p>
      <w:pPr>
        <w:pBdr>
          <w:left w:val="single" w:color="0891B2" w:sz="18" w:space="8"/>
        </w:pBdr>
        <w:shd w:fill="F1F5F9" w:val="clear"/>
        <w:spacing w:after="80" w:before="40"/>
      </w:pPr>
      <w:r>
        <w:rPr>
          <w:rFonts w:ascii="Consolas" w:cs="Consolas" w:eastAsia="Consolas" w:hAnsi="Consolas"/>
          <w:sz w:val="19"/>
          <w:szCs w:val="19"/>
        </w:rPr>
        <w:t xml:space="preserve">freeRelief   = gross × (1 − factor)                (exempted: free allocation)</w:t>
      </w:r>
    </w:p>
    <w:p>
      <w:pPr>
        <w:pBdr>
          <w:left w:val="single" w:color="0891B2" w:sz="18" w:space="8"/>
        </w:pBdr>
        <w:shd w:fill="F1F5F9" w:val="clear"/>
        <w:spacing w:after="80" w:before="40"/>
      </w:pPr>
      <w:r>
        <w:rPr>
          <w:rFonts w:ascii="Consolas" w:cs="Consolas" w:eastAsia="Consolas" w:hAnsi="Consolas"/>
          <w:sz w:val="19"/>
          <w:szCs w:val="19"/>
        </w:rPr>
        <w:t xml:space="preserve">originCredit = chargeable × min(origin price, ETS price)</w:t>
      </w:r>
    </w:p>
    <w:p>
      <w:pPr>
        <w:pBdr>
          <w:left w:val="single" w:color="0891B2" w:sz="18" w:space="8"/>
        </w:pBdr>
        <w:shd w:fill="F1F5F9" w:val="clear"/>
        <w:spacing w:after="80" w:before="40"/>
      </w:pPr>
      <w:r>
        <w:rPr>
          <w:rFonts w:ascii="Consolas" w:cs="Consolas" w:eastAsia="Consolas" w:hAnsi="Consolas"/>
          <w:sz w:val="19"/>
          <w:szCs w:val="19"/>
        </w:rPr>
        <w:t xml:space="preserve">net          = max(gross − freeRelief − originCredit, 0)</w:t>
      </w:r>
    </w:p>
    <w:p>
      <w:pPr>
        <w:pBdr>
          <w:left w:val="single" w:color="0891B2" w:sz="18" w:space="8"/>
        </w:pBdr>
        <w:shd w:fill="F1F5F9" w:val="clear"/>
        <w:spacing w:after="80" w:before="40"/>
      </w:pPr>
      <w:r>
        <w:rPr>
          <w:rFonts w:ascii="Consolas" w:cs="Consolas" w:eastAsia="Consolas" w:hAnsi="Consolas"/>
          <w:sz w:val="19"/>
          <w:szCs w:val="19"/>
        </w:rPr>
        <w:t xml:space="preserve">quarterly    = net ÷ 4</w:t>
      </w:r>
    </w:p>
    <w:p>
      <w:pPr>
        <w:pStyle w:val="Heading3"/>
      </w:pPr>
      <w:r>
        <w:t xml:space="preserve">Threshold logic (taxable vs exempted)</w:t>
      </w:r>
    </w:p>
    <w:p>
      <w:pPr>
        <w:spacing w:after="120"/>
      </w:pPr>
      <w:r>
        <w:t xml:space="preserve">There is no emissions-quantity threshold. The taxable portion is the embedded emissions multiplied by the CBAM phase-in factor for the reporting year. The exempted portion is the free-allocation share (1 − factor), which declines each year as free allocation is withdrawn. Any carbon price already paid in the country of origin is credited against the chargeable portion.</w:t>
      </w:r>
    </w:p>
    <w:p>
      <w:pPr>
        <w:pStyle w:val="Heading3"/>
      </w:pPr>
      <w:r>
        <w:t xml:space="preserve">Outputs</w:t>
      </w:r>
    </w:p>
    <w:p>
      <w:pPr>
        <w:pStyle w:val="ListParagraph"/>
        <w:numPr>
          <w:ilvl w:val="0"/>
          <w:numId w:val="2"/>
        </w:numPr>
        <w:spacing w:after="60"/>
      </w:pPr>
      <w:r>
        <w:t xml:space="preserve">Per line: embedded, chargeable, relief + credits, net liability; plus a liability-by-line chart, total, and an indicative quarterly figure.</w:t>
      </w:r>
    </w:p>
    <w:p>
      <w:pPr>
        <w:pStyle w:val="ListParagraph"/>
        <w:numPr>
          <w:ilvl w:val="0"/>
          <w:numId w:val="2"/>
        </w:numPr>
        <w:spacing w:after="60"/>
      </w:pPr>
      <w:r>
        <w:t xml:space="preserve">CSV and JSON export.</w:t>
      </w:r>
    </w:p>
    <w:p>
      <w:pPr>
        <w:pStyle w:val="Heading3"/>
      </w:pPr>
      <w:r>
        <w:t xml:space="preserve">CBAM phase-in factor schedule</w:t>
      </w:r>
    </w:p>
    <w:p>
      <w:pPr>
        <w:spacing w:after="120"/>
      </w:pPr>
      <w:r>
        <w:t xml:space="preserve">The free-allocation phase-out (and the corresponding CBAM factor) used by the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Year</w:t>
            </w:r>
          </w:p>
        </w:tc>
        <w:tc>
          <w:tcPr>
            <w:tcW w:type="dxa" w:w="312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CBAM factor (taxable)</w:t>
            </w:r>
          </w:p>
        </w:tc>
        <w:tc>
          <w:tcPr>
            <w:tcW w:type="dxa" w:w="312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Free allocation (exempt)</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2026</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2.5%</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97.5%</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2027</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5%</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95%</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2028</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10%</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90%</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2029</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22.5%</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77.5%</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2030</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28.5%</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71.5%</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2031</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48.75%</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51.25%</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2032</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63.75%</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36.25%</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2033</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86%</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14%</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2034</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100%</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0%</w:t>
            </w:r>
          </w:p>
        </w:tc>
      </w:tr>
    </w:tbl>
    <w:p>
      <w:pPr>
        <w:spacing w:after="120"/>
      </w:pPr>
      <w:r>
        <w:rPr>
          <w:i/>
          <w:iCs/>
          <w:color w:val="64748B"/>
          <w:sz w:val="19"/>
          <w:szCs w:val="19"/>
        </w:rPr>
        <w:t xml:space="preserve">Later-year values remain subject to EU confirmation and are editable in the tool.</w:t>
      </w:r>
    </w:p>
    <w:p>
      <w:r>
        <w:br w:type="page"/>
      </w:r>
    </w:p>
    <w:p>
      <w:pPr>
        <w:pStyle w:val="Heading2"/>
      </w:pPr>
      <w:r>
        <w:t xml:space="preserve">4.3 CN Code Checker</w:t>
      </w:r>
    </w:p>
    <w:p>
      <w:pPr>
        <w:spacing w:after="120"/>
      </w:pPr>
      <w:r>
        <w:rPr>
          <w:b/>
          <w:bCs/>
        </w:rPr>
        <w:t xml:space="preserve">Purpose: </w:t>
      </w:r>
      <w:r>
        <w:t xml:space="preserve">Determine whether a product is covered by CBAM and retrieve its official classification and default emission factors.</w:t>
      </w:r>
    </w:p>
    <w:p>
      <w:pPr>
        <w:pStyle w:val="Heading3"/>
      </w:pPr>
      <w:r>
        <w:t xml:space="preserve">Inputs</w:t>
      </w:r>
    </w:p>
    <w:p>
      <w:pPr>
        <w:pStyle w:val="ListParagraph"/>
        <w:numPr>
          <w:ilvl w:val="0"/>
          <w:numId w:val="2"/>
        </w:numPr>
        <w:spacing w:after="60"/>
      </w:pPr>
      <w:r>
        <w:t xml:space="preserve">Free-text search (code, product name or category) and a sector filter.</w:t>
      </w:r>
    </w:p>
    <w:p>
      <w:pPr>
        <w:pStyle w:val="Heading3"/>
      </w:pPr>
      <w:r>
        <w:t xml:space="preserve">Data &amp; calculation</w:t>
      </w:r>
    </w:p>
    <w:p>
      <w:pPr>
        <w:pStyle w:val="ListParagraph"/>
        <w:numPr>
          <w:ilvl w:val="0"/>
          <w:numId w:val="2"/>
        </w:numPr>
        <w:spacing w:after="60"/>
      </w:pPr>
      <w:r>
        <w:t xml:space="preserve">All 749 CBAM CN codes parsed from the official EU communication template — exact code, CN name and aggregated goods category.</w:t>
      </w:r>
    </w:p>
    <w:p>
      <w:pPr>
        <w:pStyle w:val="ListParagraph"/>
        <w:numPr>
          <w:ilvl w:val="0"/>
          <w:numId w:val="2"/>
        </w:numPr>
        <w:spacing w:after="60"/>
      </w:pPr>
      <w:r>
        <w:t xml:space="preserve">Default direct and indirect emission factors at aggregated-category level (official transitional values). Total = direct + indirect.</w:t>
      </w:r>
    </w:p>
    <w:p>
      <w:pPr>
        <w:pBdr>
          <w:left w:val="single" w:color="0891B2" w:sz="18" w:space="8"/>
        </w:pBdr>
        <w:shd w:fill="F1F5F9" w:val="clear"/>
        <w:spacing w:after="80" w:before="40"/>
      </w:pPr>
      <w:r>
        <w:rPr>
          <w:rFonts w:ascii="Consolas" w:cs="Consolas" w:eastAsia="Consolas" w:hAnsi="Consolas"/>
          <w:sz w:val="19"/>
          <w:szCs w:val="19"/>
        </w:rPr>
        <w:t xml:space="preserve">cost per tonne = (direct + indirect) × ETS price (€82)        annual = factor × 1,000 t × €82</w:t>
      </w:r>
    </w:p>
    <w:p>
      <w:pPr>
        <w:pStyle w:val="ListParagraph"/>
        <w:numPr>
          <w:ilvl w:val="0"/>
          <w:numId w:val="2"/>
        </w:numPr>
        <w:spacing w:after="60"/>
      </w:pPr>
      <w:r>
        <w:t xml:space="preserve">Electricity is flagged as country-specific (IEA factor), not a single tCO₂/t default.</w:t>
      </w:r>
    </w:p>
    <w:p>
      <w:pPr>
        <w:pStyle w:val="Heading3"/>
      </w:pPr>
      <w:r>
        <w:t xml:space="preserve">Outputs</w:t>
      </w:r>
    </w:p>
    <w:p>
      <w:pPr>
        <w:pStyle w:val="ListParagraph"/>
        <w:numPr>
          <w:ilvl w:val="0"/>
          <w:numId w:val="2"/>
        </w:numPr>
        <w:spacing w:after="60"/>
      </w:pPr>
      <w:r>
        <w:t xml:space="preserve">Filtered list, plus a detail panel: category, direct/indirect/total factors, per-tonne and 1,000-tonne cost estimate, and a link to model it in the Tax Calculator.</w:t>
      </w:r>
    </w:p>
    <w:p>
      <w:pPr>
        <w:pStyle w:val="Heading2"/>
      </w:pPr>
      <w:r>
        <w:t xml:space="preserve">4.4 Readiness Check</w:t>
      </w:r>
    </w:p>
    <w:p>
      <w:pPr>
        <w:spacing w:after="120"/>
      </w:pPr>
      <w:r>
        <w:rPr>
          <w:b/>
          <w:bCs/>
        </w:rPr>
        <w:t xml:space="preserve">Purpose: </w:t>
      </w:r>
      <w:r>
        <w:t xml:space="preserve">A two-minute self-assessment of CBAM preparedness with a concrete action list.</w:t>
      </w:r>
    </w:p>
    <w:p>
      <w:pPr>
        <w:pStyle w:val="Heading3"/>
      </w:pPr>
      <w:r>
        <w:t xml:space="preserve">Inputs &amp; scoring</w:t>
      </w:r>
    </w:p>
    <w:p>
      <w:pPr>
        <w:pStyle w:val="ListParagraph"/>
        <w:numPr>
          <w:ilvl w:val="0"/>
          <w:numId w:val="2"/>
        </w:numPr>
        <w:spacing w:after="60"/>
      </w:pPr>
      <w:r>
        <w:t xml:space="preserve">Five questions (exports in scope, CN classification, emissions measurement, supplier data, reporting), each scored 0–2.</w:t>
      </w:r>
    </w:p>
    <w:p>
      <w:pPr>
        <w:pBdr>
          <w:left w:val="single" w:color="0891B2" w:sz="18" w:space="8"/>
        </w:pBdr>
        <w:shd w:fill="F1F5F9" w:val="clear"/>
        <w:spacing w:after="80" w:before="40"/>
      </w:pPr>
      <w:r>
        <w:rPr>
          <w:rFonts w:ascii="Consolas" w:cs="Consolas" w:eastAsia="Consolas" w:hAnsi="Consolas"/>
          <w:sz w:val="19"/>
          <w:szCs w:val="19"/>
        </w:rPr>
        <w:t xml:space="preserve">score% = (Σ answers ÷ 10) × 100</w:t>
      </w:r>
    </w:p>
    <w:p>
      <w:pPr>
        <w:pStyle w:val="ListParagraph"/>
        <w:numPr>
          <w:ilvl w:val="0"/>
          <w:numId w:val="2"/>
        </w:numPr>
        <w:spacing w:after="60"/>
      </w:pPr>
      <w:r>
        <w:t xml:space="preserve">Tiers: ≥ 75% ‘CBAM Ready’, 40–74% ‘Getting There’, &lt; 40% ‘At Risk’.</w:t>
      </w:r>
    </w:p>
    <w:p>
      <w:pPr>
        <w:pStyle w:val="Heading3"/>
      </w:pPr>
      <w:r>
        <w:t xml:space="preserve">Outputs</w:t>
      </w:r>
    </w:p>
    <w:p>
      <w:pPr>
        <w:pStyle w:val="ListParagraph"/>
        <w:numPr>
          <w:ilvl w:val="0"/>
          <w:numId w:val="2"/>
        </w:numPr>
        <w:spacing w:after="60"/>
      </w:pPr>
      <w:r>
        <w:t xml:space="preserve">A score gauge and a prioritised action list generated from the gaps (questions scored below the maximum). Shown free — no email required.</w:t>
      </w:r>
    </w:p>
    <w:p>
      <w:r>
        <w:br w:type="page"/>
      </w:r>
    </w:p>
    <w:p>
      <w:pPr>
        <w:pStyle w:val="Heading2"/>
      </w:pPr>
      <w:r>
        <w:t xml:space="preserve">4.5 CBAM Communication Builder</w:t>
      </w:r>
    </w:p>
    <w:p>
      <w:pPr>
        <w:spacing w:after="120"/>
      </w:pPr>
      <w:r>
        <w:rPr>
          <w:b/>
          <w:bCs/>
        </w:rPr>
        <w:t xml:space="preserve">Purpose: </w:t>
      </w:r>
      <w:r>
        <w:t xml:space="preserve">Assemble the official installation SEE communication — the document an installation operator (producer) provides to EU importers — and export it in the official template structure.</w:t>
      </w:r>
    </w:p>
    <w:p>
      <w:pPr>
        <w:pStyle w:val="Heading3"/>
      </w:pPr>
      <w:r>
        <w:t xml:space="preserve">Inputs (five guided steps)</w:t>
      </w:r>
    </w:p>
    <w:p>
      <w:pPr>
        <w:pStyle w:val="ListParagraph"/>
        <w:numPr>
          <w:ilvl w:val="0"/>
          <w:numId w:val="3"/>
        </w:numPr>
        <w:spacing w:after="60"/>
      </w:pPr>
      <w:r>
        <w:rPr>
          <w:b/>
          <w:bCs/>
        </w:rPr>
        <w:t xml:space="preserve">Installation: </w:t>
      </w:r>
      <w:r>
        <w:t xml:space="preserve">name (local &amp; English), economic activity, full address, country (origin), UNLOCODE, coordinates, authorised representative; annual reporting period; optional verifier &amp; accreditation block.</w:t>
      </w:r>
    </w:p>
    <w:p>
      <w:pPr>
        <w:pStyle w:val="ListParagraph"/>
        <w:numPr>
          <w:ilvl w:val="0"/>
          <w:numId w:val="3"/>
        </w:numPr>
        <w:spacing w:after="60"/>
      </w:pPr>
      <w:r>
        <w:rPr>
          <w:b/>
          <w:bCs/>
        </w:rPr>
        <w:t xml:space="preserve">Production processes: </w:t>
      </w:r>
      <w:r>
        <w:t xml:space="preserve">aggregated goods category, official production route, total production, directly attributable emissions, measurable heat and waste-gas import/export, electricity and electricity export. Internal precursors produced by other processes can feed in.</w:t>
      </w:r>
    </w:p>
    <w:p>
      <w:pPr>
        <w:pStyle w:val="ListParagraph"/>
        <w:numPr>
          <w:ilvl w:val="0"/>
          <w:numId w:val="3"/>
        </w:numPr>
        <w:spacing w:after="60"/>
      </w:pPr>
      <w:r>
        <w:rPr>
          <w:b/>
          <w:bCs/>
        </w:rPr>
        <w:t xml:space="preserve">Purchased precursors: </w:t>
      </w:r>
      <w:r>
        <w:t xml:space="preserve">country, route, quantity and SEE — cascaded into the consuming process.</w:t>
      </w:r>
    </w:p>
    <w:p>
      <w:pPr>
        <w:pStyle w:val="ListParagraph"/>
        <w:numPr>
          <w:ilvl w:val="0"/>
          <w:numId w:val="3"/>
        </w:numPr>
        <w:spacing w:after="60"/>
      </w:pPr>
      <w:r>
        <w:rPr>
          <w:b/>
          <w:bCs/>
        </w:rPr>
        <w:t xml:space="preserve">Products: </w:t>
      </w:r>
      <w:r>
        <w:t xml:space="preserve">official CN code (auto-name and category), product name for invoices, SEE direct/indirect (prefilled from the process, editable), share-by-default, sector-specific properties (e.g. %Mn/%Cr/%Ni/scrap for steel; clinker factor for cement; %N for fertilisers), and carbon price paid at origin.</w:t>
      </w:r>
    </w:p>
    <w:p>
      <w:pPr>
        <w:pStyle w:val="ListParagraph"/>
        <w:numPr>
          <w:ilvl w:val="0"/>
          <w:numId w:val="3"/>
        </w:numPr>
        <w:spacing w:after="60"/>
      </w:pPr>
      <w:r>
        <w:rPr>
          <w:b/>
          <w:bCs/>
        </w:rPr>
        <w:t xml:space="preserve">Export: </w:t>
      </w:r>
      <w:r>
        <w:t xml:space="preserve">review and download.</w:t>
      </w:r>
    </w:p>
    <w:p>
      <w:pPr>
        <w:pStyle w:val="Heading3"/>
      </w:pPr>
      <w:r>
        <w:t xml:space="preserve">Calculation (SEE resolver)</w:t>
      </w:r>
    </w:p>
    <w:p>
      <w:pPr>
        <w:pBdr>
          <w:left w:val="single" w:color="0891B2" w:sz="18" w:space="8"/>
        </w:pBdr>
        <w:shd w:fill="F1F5F9" w:val="clear"/>
        <w:spacing w:after="80" w:before="40"/>
      </w:pPr>
      <w:r>
        <w:rPr>
          <w:rFonts w:ascii="Consolas" w:cs="Consolas" w:eastAsia="Consolas" w:hAnsi="Consolas"/>
          <w:sz w:val="19"/>
          <w:szCs w:val="19"/>
        </w:rPr>
        <w:t xml:space="preserve">ownDirect(process)   = directEmissions + heatAdj + wasteGasAdj</w:t>
      </w:r>
    </w:p>
    <w:p>
      <w:pPr>
        <w:pBdr>
          <w:left w:val="single" w:color="0891B2" w:sz="18" w:space="8"/>
        </w:pBdr>
        <w:shd w:fill="F1F5F9" w:val="clear"/>
        <w:spacing w:after="80" w:before="40"/>
      </w:pPr>
      <w:r>
        <w:rPr>
          <w:rFonts w:ascii="Consolas" w:cs="Consolas" w:eastAsia="Consolas" w:hAnsi="Consolas"/>
          <w:sz w:val="19"/>
          <w:szCs w:val="19"/>
        </w:rPr>
        <w:t xml:space="preserve">ownIndirect(process) = (electricity × EF) − (exported × EF)</w:t>
      </w:r>
    </w:p>
    <w:p>
      <w:pPr>
        <w:pBdr>
          <w:left w:val="single" w:color="0891B2" w:sz="18" w:space="8"/>
        </w:pBdr>
        <w:shd w:fill="F1F5F9" w:val="clear"/>
        <w:spacing w:after="80" w:before="40"/>
      </w:pPr>
      <w:r>
        <w:rPr>
          <w:rFonts w:ascii="Consolas" w:cs="Consolas" w:eastAsia="Consolas" w:hAnsi="Consolas"/>
          <w:sz w:val="19"/>
          <w:szCs w:val="19"/>
        </w:rPr>
        <w:t xml:space="preserve">direct   = ownDirect   + Σ purchased(qty × SEE_direct)   + Σ internal(qty × upstreamSEE_direct)</w:t>
      </w:r>
    </w:p>
    <w:p>
      <w:pPr>
        <w:pBdr>
          <w:left w:val="single" w:color="0891B2" w:sz="18" w:space="8"/>
        </w:pBdr>
        <w:shd w:fill="F1F5F9" w:val="clear"/>
        <w:spacing w:after="80" w:before="40"/>
      </w:pPr>
      <w:r>
        <w:rPr>
          <w:rFonts w:ascii="Consolas" w:cs="Consolas" w:eastAsia="Consolas" w:hAnsi="Consolas"/>
          <w:sz w:val="19"/>
          <w:szCs w:val="19"/>
        </w:rPr>
        <w:t xml:space="preserve">indirect = ownIndirect + Σ purchased(qty × SEE_indirect) + Σ internal(qty × upstreamSEE_indirect)</w:t>
      </w:r>
    </w:p>
    <w:p>
      <w:pPr>
        <w:pBdr>
          <w:left w:val="single" w:color="0891B2" w:sz="18" w:space="8"/>
        </w:pBdr>
        <w:shd w:fill="F1F5F9" w:val="clear"/>
        <w:spacing w:after="80" w:before="40"/>
      </w:pPr>
      <w:r>
        <w:rPr>
          <w:rFonts w:ascii="Consolas" w:cs="Consolas" w:eastAsia="Consolas" w:hAnsi="Consolas"/>
          <w:sz w:val="19"/>
          <w:szCs w:val="19"/>
        </w:rPr>
        <w:t xml:space="preserve">SEE direct = direct ÷ production      SEE indirect = indirect ÷ production</w:t>
      </w:r>
    </w:p>
    <w:p>
      <w:pPr>
        <w:spacing w:after="120"/>
      </w:pPr>
      <w:r>
        <w:t xml:space="preserve">Internal precursor chains (e.g. sintered ore → pig iron → crude steel → steel products) are resolved recursively with a cycle guard. Products inherit their process SEE. Effective carbon price = max(carbon price due − rebate, 0).</w:t>
      </w:r>
    </w:p>
    <w:p>
      <w:pPr>
        <w:pStyle w:val="Heading3"/>
      </w:pPr>
      <w:r>
        <w:t xml:space="preserve">Outputs</w:t>
      </w:r>
    </w:p>
    <w:p>
      <w:pPr>
        <w:pStyle w:val="ListParagraph"/>
        <w:numPr>
          <w:ilvl w:val="0"/>
          <w:numId w:val="2"/>
        </w:numPr>
        <w:spacing w:after="60"/>
      </w:pPr>
      <w:r>
        <w:t xml:space="preserve">An Excel workbook mirroring the official template tabs: Installation (incl. verifier &amp; totals), Summary_Products (CN code, name, product name, SEE direct/indirect/total, route, properties, carbon price), and Communication (importer-facing summary).</w:t>
      </w:r>
    </w:p>
    <w:p>
      <w:pPr>
        <w:pStyle w:val="ListParagraph"/>
        <w:numPr>
          <w:ilvl w:val="0"/>
          <w:numId w:val="2"/>
        </w:numPr>
        <w:spacing w:after="60"/>
      </w:pPr>
      <w:r>
        <w:t xml:space="preserve">JSON export and print. A ‘Load steel example’ button pre-fills the validated blast-furnace case.</w:t>
      </w:r>
    </w:p>
    <w:p>
      <w:r>
        <w:br w:type="page"/>
      </w:r>
    </w:p>
    <w:p>
      <w:pPr>
        <w:pStyle w:val="Heading1"/>
      </w:pPr>
      <w:r>
        <w:t xml:space="preserve">5. Data Sources and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Data</w:t>
            </w:r>
          </w:p>
        </w:tc>
        <w:tc>
          <w:tcPr>
            <w:tcW w:type="dxa" w:w="436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Source</w:t>
            </w:r>
          </w:p>
        </w:tc>
        <w:tc>
          <w:tcPr>
            <w:tcW w:type="dxa" w:w="180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Status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CN-code default emission factors (direct/indirect)</w:t>
            </w:r>
          </w:p>
        </w:tc>
        <w:tc>
          <w:tcPr>
            <w:tcW w:type="dxa" w:w="4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EU Commission ‘Default values for the transitional period of the CBAM’, 22 Dec 2023</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Official</w:t>
            </w:r>
          </w:p>
        </w:tc>
      </w:tr>
      <w:tr>
        <w:tc>
          <w:tcPr>
            <w:tcW w:type="dxa" w:w="32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749 CN codes, names, aggregated categories</w:t>
            </w:r>
          </w:p>
        </w:tc>
        <w:tc>
          <w:tcPr>
            <w:tcW w:type="dxa" w:w="4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Official EU ‘CBAM Communication template for installations’ (V2, 2024)</w:t>
            </w:r>
          </w:p>
        </w:tc>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Official</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Production routes &amp; relevant-precursor relationships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Same official template (Parameters)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Official</w:t>
            </w:r>
          </w:p>
        </w:tc>
      </w:tr>
      <w:tr>
        <w:tc>
          <w:tcPr>
            <w:tcW w:type="dxa" w:w="32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CBAM phase-in factor schedule</w:t>
            </w:r>
          </w:p>
        </w:tc>
        <w:tc>
          <w:tcPr>
            <w:tcW w:type="dxa" w:w="4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EU free-allocation phase-out (2.5% 2026 → 100% 2034)</w:t>
            </w:r>
          </w:p>
        </w:tc>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Official (later years to be confirmed)</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Fuel &amp; grid emission factors (Emissions Calculator)</w:t>
            </w:r>
          </w:p>
        </w:tc>
        <w:tc>
          <w:tcPr>
            <w:tcW w:type="dxa" w:w="4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IPCC / IEA-style reference values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Indicative (estimation)</w:t>
            </w:r>
          </w:p>
        </w:tc>
      </w:tr>
      <w:tr>
        <w:tc>
          <w:tcPr>
            <w:tcW w:type="dxa" w:w="32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EU ETS reference price (€82/tCO₂)</w:t>
            </w:r>
          </w:p>
        </w:tc>
        <w:tc>
          <w:tcPr>
            <w:tcW w:type="dxa" w:w="43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Reference price for valuation</w:t>
            </w:r>
          </w:p>
        </w:tc>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Editable assumption</w:t>
            </w:r>
          </w:p>
        </w:tc>
      </w:tr>
    </w:tbl>
    <w:p>
      <w:pPr>
        <w:spacing w:after="120"/>
      </w:pPr>
      <w:r>
        <w:rPr>
          <w:i/>
          <w:iCs/>
          <w:color w:val="64748B"/>
          <w:sz w:val="19"/>
          <w:szCs w:val="19"/>
        </w:rPr>
        <w:t xml:space="preserve">Definitive-regime (2026+) default values are country-specific (Implementing Regulation (EU) 2025/2621) and are not yet encoded; the transitional EU-wide values are used.</w:t>
      </w:r>
    </w:p>
    <w:p>
      <w:pPr>
        <w:pStyle w:val="Heading1"/>
      </w:pPr>
      <w:r>
        <w:t xml:space="preserve">6. Validation</w:t>
      </w:r>
    </w:p>
    <w:p>
      <w:pPr>
        <w:spacing w:after="120"/>
      </w:pPr>
      <w:r>
        <w:t xml:space="preserve">The engine was validated against the official filled example ‘CBAM SEE V2.1 — Example Steel 1 (Blast furnace)’. Using the workbook’s inputs (4,800,000 t production; 7,866,044 tCO₂e directly attributable; 12,800 TJ waste-gas exported; 1,658,844 MWh × 0.589):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Result</w:t>
            </w:r>
          </w:p>
        </w:tc>
        <w:tc>
          <w:tcPr>
            <w:tcW w:type="dxa" w:w="312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EcoBorder</w:t>
            </w:r>
          </w:p>
        </w:tc>
        <w:tc>
          <w:tcPr>
            <w:tcW w:type="dxa" w:w="3120"/>
            <w:tcBorders>
              <w:top w:val="single" w:color="CBD5E1" w:sz="1"/>
              <w:left w:val="single" w:color="CBD5E1" w:sz="1"/>
              <w:bottom w:val="single" w:color="CBD5E1" w:sz="1"/>
              <w:right w:val="single" w:color="CBD5E1" w:sz="1"/>
            </w:tcBorders>
            <w:shd w:fill="0E7490" w:val="clear"/>
            <w:tcMar>
              <w:top w:type="dxa" w:w="70"/>
              <w:left w:type="dxa" w:w="110"/>
              <w:bottom w:type="dxa" w:w="70"/>
              <w:right w:type="dxa" w:w="110"/>
            </w:tcMar>
          </w:tcPr>
          <w:p>
            <w:r>
              <w:rPr>
                <w:b/>
                <w:bCs/>
                <w:color w:val="FFFFFF"/>
                <w:sz w:val="20"/>
                <w:szCs w:val="20"/>
              </w:rPr>
              <w:t xml:space="preserve">Official workbook</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SEE direct</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1.54 (1.5390)</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1.53898</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SEE indirect</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0.20 (0.2036)</w:t>
            </w:r>
          </w:p>
        </w:tc>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b w:val="false"/>
                <w:bCs w:val="false"/>
                <w:sz w:val="19"/>
                <w:szCs w:val="19"/>
              </w:rPr>
              <w:t xml:space="preserve">0.20355</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SEE total</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1.74 (1.7425)</w:t>
            </w:r>
          </w:p>
        </w:tc>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b w:val="false"/>
                <w:bCs w:val="false"/>
                <w:sz w:val="19"/>
                <w:szCs w:val="19"/>
              </w:rPr>
              <w:t xml:space="preserve">1.74253</w:t>
            </w:r>
          </w:p>
        </w:tc>
      </w:tr>
    </w:tbl>
    <w:p>
      <w:pPr>
        <w:spacing w:after="120"/>
      </w:pPr>
      <w:r>
        <w:t xml:space="preserve">The figures match exactly; values are displayed to two decimals per requirement.</w:t>
      </w:r>
    </w:p>
    <w:p>
      <w:pPr>
        <w:pStyle w:val="Heading1"/>
      </w:pPr>
      <w:r>
        <w:t xml:space="preserve">7. User Experience and Design</w:t>
      </w:r>
    </w:p>
    <w:p>
      <w:pPr>
        <w:pStyle w:val="ListParagraph"/>
        <w:numPr>
          <w:ilvl w:val="0"/>
          <w:numId w:val="2"/>
        </w:numPr>
        <w:spacing w:after="60"/>
      </w:pPr>
      <w:r>
        <w:t xml:space="preserve">Distinct cyan/teal + navy ‘data’ identity; animated aurora backgrounds and depth.</w:t>
      </w:r>
    </w:p>
    <w:p>
      <w:pPr>
        <w:pStyle w:val="ListParagraph"/>
        <w:numPr>
          <w:ilvl w:val="0"/>
          <w:numId w:val="2"/>
        </w:numPr>
        <w:spacing w:after="60"/>
      </w:pPr>
      <w:r>
        <w:t xml:space="preserve">Glassmorphism panels, mouse-tracking 3D tilt cards, gradient glow and floating elements on the marketing surfaces.</w:t>
      </w:r>
    </w:p>
    <w:p>
      <w:pPr>
        <w:pStyle w:val="ListParagraph"/>
        <w:numPr>
          <w:ilvl w:val="0"/>
          <w:numId w:val="2"/>
        </w:numPr>
        <w:spacing w:after="60"/>
      </w:pPr>
      <w:r>
        <w:t xml:space="preserve">Clean, form-focused tool interiors with live results, charts and exports; respects reduced-motion preferences.</w:t>
      </w:r>
    </w:p>
    <w:p>
      <w:pPr>
        <w:pStyle w:val="Heading1"/>
      </w:pPr>
      <w:r>
        <w:t xml:space="preserve">8. Scope and Caveats</w:t>
      </w:r>
    </w:p>
    <w:p>
      <w:pPr>
        <w:pStyle w:val="ListParagraph"/>
        <w:numPr>
          <w:ilvl w:val="0"/>
          <w:numId w:val="2"/>
        </w:numPr>
        <w:spacing w:after="60"/>
      </w:pPr>
      <w:r>
        <w:t xml:space="preserve">EcoBorder is an estimation and planning toolkit — not legal, financial or compliance advice.</w:t>
      </w:r>
    </w:p>
    <w:p>
      <w:pPr>
        <w:pStyle w:val="ListParagraph"/>
        <w:numPr>
          <w:ilvl w:val="0"/>
          <w:numId w:val="2"/>
        </w:numPr>
        <w:spacing w:after="60"/>
      </w:pPr>
      <w:r>
        <w:t xml:space="preserve">CN-code default values are official; the Emissions Calculator’s fuel/grid factors are indicative.</w:t>
      </w:r>
    </w:p>
    <w:p>
      <w:pPr>
        <w:pStyle w:val="ListParagraph"/>
        <w:numPr>
          <w:ilvl w:val="0"/>
          <w:numId w:val="2"/>
        </w:numPr>
        <w:spacing w:after="60"/>
      </w:pPr>
      <w:r>
        <w:t xml:space="preserve">The Excel export mirrors the official template’s structure and columns (a clean workbook), not the protected original with its embedded formulas. Validate against the current EU template/registry before any real submission.</w:t>
      </w:r>
    </w:p>
    <w:p>
      <w:pPr>
        <w:pStyle w:val="ListParagraph"/>
        <w:numPr>
          <w:ilvl w:val="0"/>
          <w:numId w:val="2"/>
        </w:numPr>
        <w:spacing w:after="60"/>
      </w:pPr>
      <w:r>
        <w:t xml:space="preserve">A submittable registry XML still requires the official EU XSD and is flagged as a future step.</w:t>
      </w:r>
    </w:p>
    <w:p>
      <w:pPr>
        <w:spacing w:after="60"/>
      </w:pPr>
      <w:r>
        <w:t xml:space="preserve"/>
      </w:r>
    </w:p>
    <w:p>
      <w:pPr>
        <w:spacing w:after="120"/>
      </w:pPr>
      <w:r>
        <w:rPr>
          <w:i/>
          <w:iCs/>
          <w:color w:val="64748B"/>
          <w:sz w:val="19"/>
          <w:szCs w:val="19"/>
        </w:rPr>
        <w:t xml:space="preserve">© EcoBorder — independent CBAM estimation toolkit. CBAM remains the baseline for all input and output logic.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EcoBorder — CBAM Toolkit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E749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891B2"/>
      <w:sz w:val="26"/>
      <w:szCs w:val="26"/>
    </w:rPr>
  </w:style>
  <w:style w:type="paragraph" w:styleId="Heading3">
    <w:name w:val="Heading 3"/>
    <w:basedOn w:val="Normal"/>
    <w:next w:val="Normal"/>
    <w:qFormat/>
    <w:pPr>
      <w:spacing w:after="80" w:before="140"/>
      <w:outlineLvl w:val="2"/>
    </w:pPr>
    <w:rPr>
      <w:rFonts w:ascii="Arial" w:cs="Arial" w:eastAsia="Arial" w:hAnsi="Arial"/>
      <w:b/>
      <w:bCs/>
      <w:color w:val="0B12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hojwfepe5avgmakt4syy" Type="http://schemas.openxmlformats.org/officeDocument/2006/relationships/hyperlink" Target="https://ecoborder.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EcoBorder — CBAM Toolkit Documentation</dc:title>
  <dc:creator>EcoBorder</dc:creator>
  <cp:lastModifiedBy>Un-named</cp:lastModifiedBy>
  <cp:revision>1</cp:revision>
  <dcterms:created xsi:type="dcterms:W3CDTF">2026-06-04T19:29:39.468Z</dcterms:created>
  <dcterms:modified xsi:type="dcterms:W3CDTF">2026-06-04T19:29:39.469Z</dcterms:modified>
</cp:coreProperties>
</file>

<file path=docProps/custom.xml><?xml version="1.0" encoding="utf-8"?>
<Properties xmlns="http://schemas.openxmlformats.org/officeDocument/2006/custom-properties" xmlns:vt="http://schemas.openxmlformats.org/officeDocument/2006/docPropsVTypes"/>
</file>